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1EB9C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highlight w:val="none"/>
        </w:rPr>
      </w:pPr>
      <w:bookmarkStart w:id="1024" w:name="_GoBack"/>
    </w:p>
    <w:p w14:paraId="508F24BA">
      <w:pPr>
        <w:pStyle w:val="58"/>
        <w:keepNext w:val="0"/>
        <w:keepLines w:val="0"/>
        <w:pageBreakBefore w:val="0"/>
        <w:widowControl w:val="0"/>
        <w:kinsoku/>
        <w:wordWrap/>
        <w:overflowPunct/>
        <w:topLinePunct w:val="0"/>
        <w:autoSpaceDE/>
        <w:autoSpaceDN/>
        <w:bidi w:val="0"/>
        <w:adjustRightInd/>
        <w:snapToGrid/>
        <w:ind w:firstLine="480"/>
        <w:rPr>
          <w:rFonts w:cs="Times New Roman"/>
          <w:color w:val="auto"/>
          <w:spacing w:val="0"/>
          <w:w w:val="100"/>
          <w:kern w:val="24"/>
          <w:position w:val="0"/>
          <w:szCs w:val="24"/>
        </w:rPr>
      </w:pPr>
    </w:p>
    <w:p w14:paraId="79C61765">
      <w:pPr>
        <w:pStyle w:val="58"/>
        <w:keepNext w:val="0"/>
        <w:keepLines w:val="0"/>
        <w:pageBreakBefore w:val="0"/>
        <w:widowControl w:val="0"/>
        <w:kinsoku/>
        <w:wordWrap/>
        <w:overflowPunct/>
        <w:topLinePunct w:val="0"/>
        <w:autoSpaceDE/>
        <w:autoSpaceDN/>
        <w:bidi w:val="0"/>
        <w:adjustRightInd/>
        <w:snapToGrid/>
        <w:ind w:firstLine="480"/>
        <w:rPr>
          <w:rFonts w:cs="Times New Roman"/>
          <w:color w:val="auto"/>
          <w:spacing w:val="0"/>
          <w:w w:val="100"/>
          <w:kern w:val="24"/>
          <w:position w:val="0"/>
          <w:szCs w:val="24"/>
        </w:rPr>
      </w:pPr>
    </w:p>
    <w:bookmarkEnd w:id="1024"/>
    <w:p w14:paraId="22E066B5">
      <w:pPr>
        <w:pStyle w:val="58"/>
        <w:keepNext w:val="0"/>
        <w:keepLines w:val="0"/>
        <w:pageBreakBefore w:val="0"/>
        <w:widowControl w:val="0"/>
        <w:kinsoku/>
        <w:wordWrap/>
        <w:overflowPunct/>
        <w:topLinePunct w:val="0"/>
        <w:autoSpaceDE/>
        <w:autoSpaceDN/>
        <w:bidi w:val="0"/>
        <w:adjustRightInd/>
        <w:snapToGrid/>
        <w:ind w:firstLine="480"/>
        <w:rPr>
          <w:rFonts w:cs="Times New Roman"/>
          <w:color w:val="auto"/>
          <w:spacing w:val="0"/>
          <w:w w:val="100"/>
          <w:kern w:val="24"/>
          <w:position w:val="0"/>
          <w:szCs w:val="24"/>
        </w:rPr>
      </w:pPr>
    </w:p>
    <w:p w14:paraId="3A1D301B">
      <w:pPr>
        <w:pStyle w:val="58"/>
        <w:keepNext w:val="0"/>
        <w:keepLines w:val="0"/>
        <w:pageBreakBefore w:val="0"/>
        <w:widowControl w:val="0"/>
        <w:kinsoku/>
        <w:wordWrap/>
        <w:overflowPunct/>
        <w:topLinePunct w:val="0"/>
        <w:autoSpaceDE/>
        <w:autoSpaceDN/>
        <w:bidi w:val="0"/>
        <w:adjustRightInd/>
        <w:snapToGrid/>
        <w:ind w:firstLine="480"/>
        <w:rPr>
          <w:rFonts w:cs="Times New Roman"/>
          <w:color w:val="auto"/>
          <w:spacing w:val="0"/>
          <w:w w:val="100"/>
          <w:kern w:val="24"/>
          <w:position w:val="0"/>
          <w:szCs w:val="24"/>
        </w:rPr>
      </w:pPr>
    </w:p>
    <w:p w14:paraId="2F246B4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color w:val="auto"/>
          <w:spacing w:val="0"/>
          <w:w w:val="100"/>
          <w:kern w:val="24"/>
          <w:position w:val="0"/>
          <w:sz w:val="48"/>
          <w:szCs w:val="48"/>
        </w:rPr>
      </w:pPr>
    </w:p>
    <w:p w14:paraId="4EE04661">
      <w:pPr>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baseline"/>
        <w:rPr>
          <w:rFonts w:hint="eastAsia" w:ascii="Times New Roman" w:hAnsi="Times New Roman" w:eastAsia="宋体" w:cs="Times New Roman"/>
          <w:b/>
          <w:bCs/>
          <w:color w:val="auto"/>
          <w:spacing w:val="0"/>
          <w:w w:val="100"/>
          <w:kern w:val="24"/>
          <w:position w:val="0"/>
          <w:sz w:val="52"/>
          <w:szCs w:val="52"/>
          <w:lang w:eastAsia="zh-CN"/>
        </w:rPr>
      </w:pPr>
      <w:r>
        <w:rPr>
          <w:rFonts w:hint="eastAsia" w:ascii="Times New Roman" w:hAnsi="Times New Roman" w:eastAsia="宋体" w:cs="Times New Roman"/>
          <w:b/>
          <w:bCs/>
          <w:color w:val="auto"/>
          <w:spacing w:val="0"/>
          <w:w w:val="100"/>
          <w:kern w:val="24"/>
          <w:position w:val="0"/>
          <w:sz w:val="52"/>
          <w:szCs w:val="52"/>
          <w:lang w:eastAsia="zh-CN"/>
        </w:rPr>
        <w:t>新疆吉宸建材有限公司建设年产120万平方米铝塑复合板生产线项目</w:t>
      </w:r>
    </w:p>
    <w:p w14:paraId="656BEA16">
      <w:pPr>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baseline"/>
        <w:rPr>
          <w:rFonts w:hint="default" w:ascii="Times New Roman" w:hAnsi="Times New Roman" w:eastAsia="宋体" w:cs="Times New Roman"/>
          <w:b/>
          <w:color w:val="auto"/>
          <w:spacing w:val="0"/>
          <w:w w:val="100"/>
          <w:kern w:val="24"/>
          <w:position w:val="0"/>
          <w:sz w:val="72"/>
          <w:szCs w:val="72"/>
        </w:rPr>
      </w:pPr>
      <w:r>
        <w:rPr>
          <w:rFonts w:hint="default" w:ascii="Times New Roman" w:hAnsi="Times New Roman" w:eastAsia="宋体" w:cs="Times New Roman"/>
          <w:b/>
          <w:color w:val="auto"/>
          <w:spacing w:val="0"/>
          <w:w w:val="100"/>
          <w:kern w:val="24"/>
          <w:position w:val="0"/>
          <w:sz w:val="72"/>
          <w:szCs w:val="72"/>
        </w:rPr>
        <w:t>环境影响报告书</w:t>
      </w:r>
    </w:p>
    <w:p w14:paraId="1ADFD2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color w:val="auto"/>
          <w:spacing w:val="0"/>
          <w:w w:val="100"/>
          <w:kern w:val="24"/>
          <w:position w:val="0"/>
          <w:sz w:val="32"/>
          <w:szCs w:val="32"/>
        </w:rPr>
      </w:pPr>
    </w:p>
    <w:p w14:paraId="323687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color w:val="auto"/>
          <w:spacing w:val="0"/>
          <w:w w:val="100"/>
          <w:kern w:val="24"/>
          <w:position w:val="0"/>
          <w:sz w:val="30"/>
        </w:rPr>
      </w:pPr>
    </w:p>
    <w:p w14:paraId="41B98EDE">
      <w:pPr>
        <w:pStyle w:val="5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cs="Times New Roman"/>
          <w:color w:val="auto"/>
          <w:spacing w:val="0"/>
          <w:w w:val="100"/>
          <w:kern w:val="24"/>
          <w:position w:val="0"/>
          <w:szCs w:val="24"/>
        </w:rPr>
      </w:pPr>
    </w:p>
    <w:p w14:paraId="12C819F1">
      <w:pPr>
        <w:pStyle w:val="5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cs="Times New Roman"/>
          <w:color w:val="auto"/>
          <w:spacing w:val="0"/>
          <w:w w:val="100"/>
          <w:kern w:val="24"/>
          <w:position w:val="0"/>
          <w:szCs w:val="24"/>
        </w:rPr>
      </w:pPr>
    </w:p>
    <w:p w14:paraId="4334A342">
      <w:pPr>
        <w:pStyle w:val="5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cs="Times New Roman"/>
          <w:color w:val="auto"/>
          <w:spacing w:val="0"/>
          <w:w w:val="100"/>
          <w:kern w:val="24"/>
          <w:position w:val="0"/>
          <w:szCs w:val="24"/>
        </w:rPr>
      </w:pPr>
    </w:p>
    <w:p w14:paraId="0CC340D9">
      <w:pPr>
        <w:pStyle w:val="5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cs="Times New Roman"/>
          <w:color w:val="auto"/>
          <w:spacing w:val="0"/>
          <w:w w:val="100"/>
          <w:kern w:val="24"/>
          <w:position w:val="0"/>
          <w:szCs w:val="24"/>
        </w:rPr>
      </w:pPr>
    </w:p>
    <w:p w14:paraId="4AE702CD">
      <w:pPr>
        <w:pStyle w:val="5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cs="Times New Roman"/>
          <w:color w:val="auto"/>
          <w:spacing w:val="0"/>
          <w:w w:val="100"/>
          <w:kern w:val="24"/>
          <w:position w:val="0"/>
          <w:szCs w:val="24"/>
        </w:rPr>
      </w:pPr>
    </w:p>
    <w:p w14:paraId="1D38D53C">
      <w:pPr>
        <w:pStyle w:val="5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cs="Times New Roman"/>
          <w:color w:val="auto"/>
          <w:spacing w:val="0"/>
          <w:w w:val="100"/>
          <w:kern w:val="24"/>
          <w:position w:val="0"/>
          <w:szCs w:val="24"/>
        </w:rPr>
      </w:pPr>
    </w:p>
    <w:p w14:paraId="7ED5E0AE">
      <w:pPr>
        <w:pStyle w:val="5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cs="Times New Roman"/>
          <w:color w:val="auto"/>
          <w:spacing w:val="0"/>
          <w:w w:val="100"/>
          <w:kern w:val="24"/>
          <w:position w:val="0"/>
          <w:szCs w:val="24"/>
        </w:rPr>
      </w:pPr>
    </w:p>
    <w:p w14:paraId="41CE395D">
      <w:pPr>
        <w:pStyle w:val="58"/>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cs="Times New Roman"/>
          <w:color w:val="auto"/>
          <w:spacing w:val="0"/>
          <w:w w:val="100"/>
          <w:kern w:val="24"/>
          <w:position w:val="0"/>
          <w:szCs w:val="24"/>
        </w:rPr>
      </w:pPr>
    </w:p>
    <w:p w14:paraId="6D1274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b/>
          <w:color w:val="auto"/>
          <w:spacing w:val="0"/>
          <w:w w:val="100"/>
          <w:kern w:val="24"/>
          <w:position w:val="0"/>
          <w:sz w:val="36"/>
        </w:rPr>
      </w:pPr>
    </w:p>
    <w:p w14:paraId="070D94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b/>
          <w:color w:val="auto"/>
          <w:spacing w:val="0"/>
          <w:w w:val="100"/>
          <w:kern w:val="24"/>
          <w:position w:val="0"/>
          <w:sz w:val="36"/>
        </w:rPr>
      </w:pPr>
    </w:p>
    <w:p w14:paraId="30933173">
      <w:pPr>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baseline"/>
        <w:rPr>
          <w:rFonts w:hint="default" w:ascii="Times New Roman" w:hAnsi="Times New Roman" w:eastAsia="宋体" w:cs="Times New Roman"/>
          <w:b/>
          <w:color w:val="auto"/>
          <w:spacing w:val="0"/>
          <w:w w:val="100"/>
          <w:kern w:val="24"/>
          <w:position w:val="0"/>
          <w:sz w:val="36"/>
          <w:szCs w:val="36"/>
          <w:lang w:val="en-US" w:eastAsia="zh-CN"/>
        </w:rPr>
      </w:pPr>
      <w:r>
        <w:rPr>
          <w:rFonts w:hint="default" w:ascii="Times New Roman" w:hAnsi="Times New Roman" w:cs="Times New Roman"/>
          <w:b/>
          <w:color w:val="auto"/>
          <w:spacing w:val="0"/>
          <w:w w:val="100"/>
          <w:kern w:val="24"/>
          <w:position w:val="0"/>
          <w:sz w:val="36"/>
          <w:szCs w:val="36"/>
        </w:rPr>
        <w:t>建设单位：新疆吉宸建材有限公司</w:t>
      </w:r>
    </w:p>
    <w:p w14:paraId="4276B3A6">
      <w:pPr>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baseline"/>
        <w:rPr>
          <w:rFonts w:hint="default" w:ascii="Times New Roman" w:hAnsi="Times New Roman" w:cs="Times New Roman"/>
          <w:b/>
          <w:color w:val="auto"/>
          <w:spacing w:val="0"/>
          <w:w w:val="100"/>
          <w:kern w:val="24"/>
          <w:position w:val="0"/>
          <w:sz w:val="36"/>
          <w:szCs w:val="36"/>
        </w:rPr>
      </w:pPr>
      <w:r>
        <w:rPr>
          <w:rFonts w:hint="default" w:ascii="Times New Roman" w:hAnsi="Times New Roman" w:cs="Times New Roman"/>
          <w:b/>
          <w:color w:val="auto"/>
          <w:spacing w:val="0"/>
          <w:w w:val="100"/>
          <w:kern w:val="24"/>
          <w:position w:val="0"/>
          <w:sz w:val="36"/>
          <w:szCs w:val="36"/>
        </w:rPr>
        <w:t>编制单位：新疆</w:t>
      </w:r>
      <w:r>
        <w:rPr>
          <w:rFonts w:hint="default" w:ascii="Times New Roman" w:hAnsi="Times New Roman" w:eastAsia="宋体" w:cs="Times New Roman"/>
          <w:b/>
          <w:color w:val="auto"/>
          <w:spacing w:val="0"/>
          <w:w w:val="100"/>
          <w:kern w:val="24"/>
          <w:position w:val="0"/>
          <w:sz w:val="36"/>
          <w:szCs w:val="36"/>
          <w:lang w:val="en-US" w:eastAsia="zh-CN"/>
        </w:rPr>
        <w:t>慧源德利</w:t>
      </w:r>
      <w:r>
        <w:rPr>
          <w:rFonts w:hint="default" w:ascii="Times New Roman" w:hAnsi="Times New Roman" w:cs="Times New Roman"/>
          <w:b/>
          <w:color w:val="auto"/>
          <w:spacing w:val="0"/>
          <w:w w:val="100"/>
          <w:kern w:val="24"/>
          <w:position w:val="0"/>
          <w:sz w:val="36"/>
          <w:szCs w:val="36"/>
        </w:rPr>
        <w:t>环保科技有限公司</w:t>
      </w:r>
    </w:p>
    <w:p w14:paraId="5EE497CD">
      <w:pPr>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baseline"/>
        <w:rPr>
          <w:rFonts w:hint="default" w:ascii="Times New Roman" w:hAnsi="Times New Roman" w:cs="Times New Roman"/>
          <w:b/>
          <w:color w:val="auto"/>
          <w:spacing w:val="0"/>
          <w:w w:val="100"/>
          <w:kern w:val="24"/>
          <w:position w:val="0"/>
          <w:sz w:val="36"/>
          <w:szCs w:val="36"/>
        </w:rPr>
      </w:pPr>
      <w:r>
        <w:rPr>
          <w:rFonts w:hint="default" w:ascii="Times New Roman" w:hAnsi="Times New Roman" w:cs="Times New Roman"/>
          <w:b/>
          <w:color w:val="auto"/>
          <w:spacing w:val="0"/>
          <w:w w:val="100"/>
          <w:kern w:val="24"/>
          <w:position w:val="0"/>
          <w:sz w:val="36"/>
          <w:szCs w:val="36"/>
        </w:rPr>
        <w:t>202</w:t>
      </w:r>
      <w:r>
        <w:rPr>
          <w:rFonts w:hint="default" w:ascii="Times New Roman" w:hAnsi="Times New Roman" w:eastAsia="宋体" w:cs="Times New Roman"/>
          <w:b/>
          <w:color w:val="auto"/>
          <w:spacing w:val="0"/>
          <w:w w:val="100"/>
          <w:kern w:val="24"/>
          <w:position w:val="0"/>
          <w:sz w:val="36"/>
          <w:szCs w:val="36"/>
          <w:lang w:val="en-US" w:eastAsia="zh-CN"/>
        </w:rPr>
        <w:t>6</w:t>
      </w:r>
      <w:r>
        <w:rPr>
          <w:rFonts w:hint="default" w:ascii="Times New Roman" w:hAnsi="Times New Roman" w:cs="Times New Roman"/>
          <w:b/>
          <w:color w:val="auto"/>
          <w:spacing w:val="0"/>
          <w:w w:val="100"/>
          <w:kern w:val="24"/>
          <w:position w:val="0"/>
          <w:sz w:val="36"/>
          <w:szCs w:val="36"/>
        </w:rPr>
        <w:t>年</w:t>
      </w:r>
      <w:r>
        <w:rPr>
          <w:rFonts w:hint="eastAsia" w:cs="Times New Roman"/>
          <w:b/>
          <w:color w:val="auto"/>
          <w:spacing w:val="0"/>
          <w:w w:val="100"/>
          <w:kern w:val="24"/>
          <w:position w:val="0"/>
          <w:sz w:val="36"/>
          <w:szCs w:val="36"/>
          <w:lang w:val="en-US" w:eastAsia="zh-CN"/>
        </w:rPr>
        <w:t>8</w:t>
      </w:r>
      <w:r>
        <w:rPr>
          <w:rFonts w:hint="default" w:ascii="Times New Roman" w:hAnsi="Times New Roman" w:cs="Times New Roman"/>
          <w:b/>
          <w:color w:val="auto"/>
          <w:spacing w:val="0"/>
          <w:w w:val="100"/>
          <w:kern w:val="24"/>
          <w:position w:val="0"/>
          <w:sz w:val="36"/>
          <w:szCs w:val="36"/>
        </w:rPr>
        <w:t>月</w:t>
      </w:r>
    </w:p>
    <w:p w14:paraId="4A11A5FA">
      <w:pPr>
        <w:keepNext w:val="0"/>
        <w:keepLines w:val="0"/>
        <w:pageBreakBefore w:val="0"/>
        <w:widowControl w:val="0"/>
        <w:kinsoku/>
        <w:wordWrap/>
        <w:overflowPunct/>
        <w:topLinePunct w:val="0"/>
        <w:autoSpaceDE/>
        <w:autoSpaceDN/>
        <w:bidi w:val="0"/>
        <w:adjustRightInd/>
        <w:snapToGrid/>
        <w:ind w:left="0" w:leftChars="0" w:firstLine="0" w:firstLineChars="0"/>
        <w:jc w:val="center"/>
        <w:rPr>
          <w:rFonts w:hint="eastAsia"/>
          <w:b/>
          <w:bCs/>
          <w:color w:val="auto"/>
          <w:spacing w:val="0"/>
          <w:w w:val="100"/>
          <w:position w:val="0"/>
          <w:sz w:val="36"/>
          <w:szCs w:val="36"/>
          <w:highlight w:val="none"/>
          <w:lang w:val="en-US" w:eastAsia="zh-CN"/>
        </w:rPr>
      </w:pPr>
    </w:p>
    <w:p w14:paraId="37E2840E">
      <w:pPr>
        <w:keepNext w:val="0"/>
        <w:keepLines w:val="0"/>
        <w:pageBreakBefore w:val="0"/>
        <w:widowControl w:val="0"/>
        <w:kinsoku/>
        <w:wordWrap/>
        <w:overflowPunct/>
        <w:topLinePunct w:val="0"/>
        <w:autoSpaceDE/>
        <w:autoSpaceDN/>
        <w:bidi w:val="0"/>
        <w:adjustRightInd/>
        <w:snapToGrid/>
        <w:rPr>
          <w:rFonts w:hint="eastAsia"/>
          <w:b/>
          <w:bCs/>
          <w:color w:val="auto"/>
          <w:spacing w:val="0"/>
          <w:w w:val="100"/>
          <w:position w:val="0"/>
          <w:sz w:val="36"/>
          <w:szCs w:val="36"/>
          <w:highlight w:val="none"/>
          <w:lang w:val="en-US" w:eastAsia="zh-CN"/>
        </w:rPr>
        <w:sectPr>
          <w:pgSz w:w="11906" w:h="16838"/>
          <w:pgMar w:top="1701" w:right="1701" w:bottom="1701" w:left="1701" w:header="851" w:footer="992" w:gutter="0"/>
          <w:pgBorders>
            <w:top w:val="none" w:sz="0" w:space="0"/>
            <w:left w:val="none" w:sz="0" w:space="0"/>
            <w:bottom w:val="none" w:sz="0" w:space="0"/>
            <w:right w:val="none" w:sz="0" w:space="0"/>
          </w:pgBorders>
          <w:cols w:space="425" w:num="1"/>
          <w:docGrid w:type="lines" w:linePitch="312" w:charSpace="0"/>
        </w:sectPr>
      </w:pPr>
    </w:p>
    <w:p w14:paraId="0DF4618D">
      <w:pPr>
        <w:pStyle w:val="18"/>
        <w:keepNext w:val="0"/>
        <w:keepLines w:val="0"/>
        <w:pageBreakBefore w:val="0"/>
        <w:widowControl w:val="0"/>
        <w:tabs>
          <w:tab w:val="right" w:leader="dot" w:pos="8306"/>
        </w:tabs>
        <w:kinsoku/>
        <w:wordWrap/>
        <w:overflowPunct/>
        <w:topLinePunct w:val="0"/>
        <w:autoSpaceDE/>
        <w:autoSpaceDN/>
        <w:bidi w:val="0"/>
        <w:adjustRightInd/>
        <w:snapToGrid/>
        <w:jc w:val="center"/>
        <w:rPr>
          <w:rFonts w:hint="default"/>
          <w:b/>
          <w:bCs/>
          <w:color w:val="auto"/>
          <w:spacing w:val="0"/>
          <w:w w:val="100"/>
          <w:position w:val="0"/>
          <w:sz w:val="36"/>
          <w:szCs w:val="36"/>
          <w:highlight w:val="none"/>
          <w:lang w:val="en-US" w:eastAsia="zh-CN"/>
        </w:rPr>
      </w:pPr>
      <w:r>
        <w:rPr>
          <w:rFonts w:hint="eastAsia"/>
          <w:b/>
          <w:bCs/>
          <w:color w:val="auto"/>
          <w:spacing w:val="0"/>
          <w:w w:val="100"/>
          <w:position w:val="0"/>
          <w:sz w:val="36"/>
          <w:szCs w:val="36"/>
          <w:highlight w:val="none"/>
          <w:lang w:val="en-US" w:eastAsia="zh-CN"/>
        </w:rPr>
        <w:t>目录</w:t>
      </w:r>
    </w:p>
    <w:p w14:paraId="526B1AC6">
      <w:pPr>
        <w:pStyle w:val="18"/>
        <w:keepNext w:val="0"/>
        <w:keepLines w:val="0"/>
        <w:pageBreakBefore w:val="0"/>
        <w:widowControl w:val="0"/>
        <w:tabs>
          <w:tab w:val="right" w:leader="dot" w:pos="8306"/>
        </w:tabs>
        <w:kinsoku/>
        <w:wordWrap/>
        <w:overflowPunct/>
        <w:topLinePunct w:val="0"/>
        <w:autoSpaceDE/>
        <w:autoSpaceDN/>
        <w:bidi w:val="0"/>
        <w:rPr>
          <w:b/>
          <w:bCs/>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TOC \o "1-2" \h \u </w:instrText>
      </w:r>
      <w:r>
        <w:rPr>
          <w:color w:val="auto"/>
          <w:spacing w:val="0"/>
          <w:w w:val="100"/>
          <w:position w:val="0"/>
          <w:highlight w:val="none"/>
        </w:rPr>
        <w:fldChar w:fldCharType="separate"/>
      </w:r>
      <w:r>
        <w:rPr>
          <w:b/>
          <w:bCs/>
          <w:color w:val="auto"/>
          <w:spacing w:val="0"/>
          <w:w w:val="100"/>
          <w:position w:val="0"/>
          <w:highlight w:val="none"/>
        </w:rPr>
        <w:fldChar w:fldCharType="begin"/>
      </w:r>
      <w:r>
        <w:rPr>
          <w:b/>
          <w:bCs/>
          <w:color w:val="auto"/>
          <w:spacing w:val="0"/>
          <w:w w:val="100"/>
          <w:position w:val="0"/>
          <w:highlight w:val="none"/>
        </w:rPr>
        <w:instrText xml:space="preserve"> HYPERLINK \l _Toc1886 </w:instrText>
      </w:r>
      <w:r>
        <w:rPr>
          <w:b/>
          <w:bCs/>
          <w:color w:val="auto"/>
          <w:spacing w:val="0"/>
          <w:w w:val="100"/>
          <w:position w:val="0"/>
          <w:highlight w:val="none"/>
        </w:rPr>
        <w:fldChar w:fldCharType="separate"/>
      </w:r>
      <w:r>
        <w:rPr>
          <w:rFonts w:hint="eastAsia"/>
          <w:b/>
          <w:bCs/>
          <w:color w:val="auto"/>
          <w:spacing w:val="0"/>
          <w:w w:val="100"/>
          <w:position w:val="0"/>
          <w:highlight w:val="none"/>
          <w:lang w:val="en-US" w:eastAsia="zh-CN"/>
        </w:rPr>
        <w:t>1概述</w:t>
      </w:r>
      <w:r>
        <w:rPr>
          <w:b/>
          <w:bCs/>
          <w:color w:val="auto"/>
          <w:spacing w:val="0"/>
        </w:rPr>
        <w:tab/>
      </w:r>
      <w:r>
        <w:rPr>
          <w:b/>
          <w:bCs/>
          <w:color w:val="auto"/>
          <w:spacing w:val="0"/>
        </w:rPr>
        <w:fldChar w:fldCharType="begin"/>
      </w:r>
      <w:r>
        <w:rPr>
          <w:b/>
          <w:bCs/>
          <w:color w:val="auto"/>
          <w:spacing w:val="0"/>
        </w:rPr>
        <w:instrText xml:space="preserve"> PAGEREF _Toc1886 \h </w:instrText>
      </w:r>
      <w:r>
        <w:rPr>
          <w:b/>
          <w:bCs/>
          <w:color w:val="auto"/>
          <w:spacing w:val="0"/>
        </w:rPr>
        <w:fldChar w:fldCharType="separate"/>
      </w:r>
      <w:r>
        <w:rPr>
          <w:b/>
          <w:bCs/>
          <w:color w:val="auto"/>
          <w:spacing w:val="0"/>
        </w:rPr>
        <w:t>1</w:t>
      </w:r>
      <w:r>
        <w:rPr>
          <w:b/>
          <w:bCs/>
          <w:color w:val="auto"/>
          <w:spacing w:val="0"/>
        </w:rPr>
        <w:fldChar w:fldCharType="end"/>
      </w:r>
      <w:r>
        <w:rPr>
          <w:b/>
          <w:bCs/>
          <w:color w:val="auto"/>
          <w:spacing w:val="0"/>
          <w:w w:val="100"/>
          <w:position w:val="0"/>
          <w:highlight w:val="none"/>
        </w:rPr>
        <w:fldChar w:fldCharType="end"/>
      </w:r>
    </w:p>
    <w:p w14:paraId="032C0167">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_Toc31391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1.1项目建设背景及建设项目特点</w:t>
      </w:r>
      <w:r>
        <w:rPr>
          <w:color w:val="auto"/>
          <w:spacing w:val="0"/>
        </w:rPr>
        <w:tab/>
      </w:r>
      <w:r>
        <w:rPr>
          <w:color w:val="auto"/>
          <w:spacing w:val="0"/>
        </w:rPr>
        <w:fldChar w:fldCharType="begin"/>
      </w:r>
      <w:r>
        <w:rPr>
          <w:color w:val="auto"/>
          <w:spacing w:val="0"/>
        </w:rPr>
        <w:instrText xml:space="preserve"> PAGEREF _Toc31391 \h </w:instrText>
      </w:r>
      <w:r>
        <w:rPr>
          <w:color w:val="auto"/>
          <w:spacing w:val="0"/>
        </w:rPr>
        <w:fldChar w:fldCharType="separate"/>
      </w:r>
      <w:r>
        <w:rPr>
          <w:color w:val="auto"/>
          <w:spacing w:val="0"/>
        </w:rPr>
        <w:t>1</w:t>
      </w:r>
      <w:r>
        <w:rPr>
          <w:color w:val="auto"/>
          <w:spacing w:val="0"/>
        </w:rPr>
        <w:fldChar w:fldCharType="end"/>
      </w:r>
      <w:r>
        <w:rPr>
          <w:color w:val="auto"/>
          <w:spacing w:val="0"/>
          <w:w w:val="100"/>
          <w:position w:val="0"/>
          <w:highlight w:val="none"/>
        </w:rPr>
        <w:fldChar w:fldCharType="end"/>
      </w:r>
    </w:p>
    <w:p w14:paraId="46A24491">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_Toc25083 </w:instrText>
      </w:r>
      <w:r>
        <w:rPr>
          <w:color w:val="auto"/>
          <w:spacing w:val="0"/>
          <w:w w:val="100"/>
          <w:position w:val="0"/>
          <w:highlight w:val="none"/>
        </w:rPr>
        <w:fldChar w:fldCharType="separate"/>
      </w:r>
      <w:r>
        <w:rPr>
          <w:rFonts w:hint="eastAsia"/>
          <w:color w:val="auto"/>
          <w:spacing w:val="0"/>
          <w:w w:val="100"/>
          <w:position w:val="0"/>
          <w:highlight w:val="none"/>
          <w:lang w:val="en-US" w:eastAsia="zh-CN"/>
        </w:rPr>
        <w:t>1.2环境影响评价的工作过程</w:t>
      </w:r>
      <w:r>
        <w:rPr>
          <w:color w:val="auto"/>
          <w:spacing w:val="0"/>
        </w:rPr>
        <w:tab/>
      </w:r>
      <w:r>
        <w:rPr>
          <w:color w:val="auto"/>
          <w:spacing w:val="0"/>
        </w:rPr>
        <w:fldChar w:fldCharType="begin"/>
      </w:r>
      <w:r>
        <w:rPr>
          <w:color w:val="auto"/>
          <w:spacing w:val="0"/>
        </w:rPr>
        <w:instrText xml:space="preserve"> PAGEREF _Toc25083 \h </w:instrText>
      </w:r>
      <w:r>
        <w:rPr>
          <w:color w:val="auto"/>
          <w:spacing w:val="0"/>
        </w:rPr>
        <w:fldChar w:fldCharType="separate"/>
      </w:r>
      <w:r>
        <w:rPr>
          <w:color w:val="auto"/>
          <w:spacing w:val="0"/>
        </w:rPr>
        <w:t>2</w:t>
      </w:r>
      <w:r>
        <w:rPr>
          <w:color w:val="auto"/>
          <w:spacing w:val="0"/>
        </w:rPr>
        <w:fldChar w:fldCharType="end"/>
      </w:r>
      <w:r>
        <w:rPr>
          <w:color w:val="auto"/>
          <w:spacing w:val="0"/>
          <w:w w:val="100"/>
          <w:position w:val="0"/>
          <w:highlight w:val="none"/>
        </w:rPr>
        <w:fldChar w:fldCharType="end"/>
      </w:r>
    </w:p>
    <w:p w14:paraId="62DB35DE">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_Toc16056 </w:instrText>
      </w:r>
      <w:r>
        <w:rPr>
          <w:color w:val="auto"/>
          <w:spacing w:val="0"/>
          <w:w w:val="100"/>
          <w:position w:val="0"/>
          <w:highlight w:val="none"/>
        </w:rPr>
        <w:fldChar w:fldCharType="separate"/>
      </w:r>
      <w:r>
        <w:rPr>
          <w:rFonts w:hint="eastAsia"/>
          <w:color w:val="auto"/>
          <w:spacing w:val="0"/>
          <w:w w:val="100"/>
          <w:position w:val="0"/>
          <w:highlight w:val="none"/>
          <w:lang w:val="en-US" w:eastAsia="zh-CN"/>
        </w:rPr>
        <w:t>1.3分析判定相关情况</w:t>
      </w:r>
      <w:r>
        <w:rPr>
          <w:color w:val="auto"/>
          <w:spacing w:val="0"/>
        </w:rPr>
        <w:tab/>
      </w:r>
      <w:r>
        <w:rPr>
          <w:color w:val="auto"/>
          <w:spacing w:val="0"/>
        </w:rPr>
        <w:fldChar w:fldCharType="begin"/>
      </w:r>
      <w:r>
        <w:rPr>
          <w:color w:val="auto"/>
          <w:spacing w:val="0"/>
        </w:rPr>
        <w:instrText xml:space="preserve"> PAGEREF _Toc16056 \h </w:instrText>
      </w:r>
      <w:r>
        <w:rPr>
          <w:color w:val="auto"/>
          <w:spacing w:val="0"/>
        </w:rPr>
        <w:fldChar w:fldCharType="separate"/>
      </w:r>
      <w:r>
        <w:rPr>
          <w:color w:val="auto"/>
          <w:spacing w:val="0"/>
        </w:rPr>
        <w:t>3</w:t>
      </w:r>
      <w:r>
        <w:rPr>
          <w:color w:val="auto"/>
          <w:spacing w:val="0"/>
        </w:rPr>
        <w:fldChar w:fldCharType="end"/>
      </w:r>
      <w:r>
        <w:rPr>
          <w:color w:val="auto"/>
          <w:spacing w:val="0"/>
          <w:w w:val="100"/>
          <w:position w:val="0"/>
          <w:highlight w:val="none"/>
        </w:rPr>
        <w:fldChar w:fldCharType="end"/>
      </w:r>
    </w:p>
    <w:p w14:paraId="574229C1">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_Toc11648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1.4关注的主要环境问题及环境影响</w:t>
      </w:r>
      <w:r>
        <w:rPr>
          <w:color w:val="auto"/>
          <w:spacing w:val="0"/>
        </w:rPr>
        <w:tab/>
      </w:r>
      <w:r>
        <w:rPr>
          <w:color w:val="auto"/>
          <w:spacing w:val="0"/>
        </w:rPr>
        <w:fldChar w:fldCharType="begin"/>
      </w:r>
      <w:r>
        <w:rPr>
          <w:color w:val="auto"/>
          <w:spacing w:val="0"/>
        </w:rPr>
        <w:instrText xml:space="preserve"> PAGEREF _Toc11648 \h </w:instrText>
      </w:r>
      <w:r>
        <w:rPr>
          <w:color w:val="auto"/>
          <w:spacing w:val="0"/>
        </w:rPr>
        <w:fldChar w:fldCharType="separate"/>
      </w:r>
      <w:r>
        <w:rPr>
          <w:color w:val="auto"/>
          <w:spacing w:val="0"/>
        </w:rPr>
        <w:t>21</w:t>
      </w:r>
      <w:r>
        <w:rPr>
          <w:color w:val="auto"/>
          <w:spacing w:val="0"/>
        </w:rPr>
        <w:fldChar w:fldCharType="end"/>
      </w:r>
      <w:r>
        <w:rPr>
          <w:color w:val="auto"/>
          <w:spacing w:val="0"/>
          <w:w w:val="100"/>
          <w:position w:val="0"/>
          <w:highlight w:val="none"/>
        </w:rPr>
        <w:fldChar w:fldCharType="end"/>
      </w:r>
    </w:p>
    <w:p w14:paraId="25A9B015">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_Toc23007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1.5环境影响评价的主要结论</w:t>
      </w:r>
      <w:r>
        <w:rPr>
          <w:color w:val="auto"/>
          <w:spacing w:val="0"/>
        </w:rPr>
        <w:tab/>
      </w:r>
      <w:r>
        <w:rPr>
          <w:color w:val="auto"/>
          <w:spacing w:val="0"/>
        </w:rPr>
        <w:fldChar w:fldCharType="begin"/>
      </w:r>
      <w:r>
        <w:rPr>
          <w:color w:val="auto"/>
          <w:spacing w:val="0"/>
        </w:rPr>
        <w:instrText xml:space="preserve"> PAGEREF _Toc23007 \h </w:instrText>
      </w:r>
      <w:r>
        <w:rPr>
          <w:color w:val="auto"/>
          <w:spacing w:val="0"/>
        </w:rPr>
        <w:fldChar w:fldCharType="separate"/>
      </w:r>
      <w:r>
        <w:rPr>
          <w:color w:val="auto"/>
          <w:spacing w:val="0"/>
        </w:rPr>
        <w:t>22</w:t>
      </w:r>
      <w:r>
        <w:rPr>
          <w:color w:val="auto"/>
          <w:spacing w:val="0"/>
        </w:rPr>
        <w:fldChar w:fldCharType="end"/>
      </w:r>
      <w:r>
        <w:rPr>
          <w:color w:val="auto"/>
          <w:spacing w:val="0"/>
          <w:w w:val="100"/>
          <w:position w:val="0"/>
          <w:highlight w:val="none"/>
        </w:rPr>
        <w:fldChar w:fldCharType="end"/>
      </w:r>
    </w:p>
    <w:p w14:paraId="60A5F0FD">
      <w:pPr>
        <w:pStyle w:val="18"/>
        <w:keepNext w:val="0"/>
        <w:keepLines w:val="0"/>
        <w:pageBreakBefore w:val="0"/>
        <w:widowControl w:val="0"/>
        <w:tabs>
          <w:tab w:val="right" w:leader="dot" w:pos="8306"/>
        </w:tabs>
        <w:kinsoku/>
        <w:wordWrap/>
        <w:overflowPunct/>
        <w:topLinePunct w:val="0"/>
        <w:autoSpaceDE/>
        <w:autoSpaceDN/>
        <w:bidi w:val="0"/>
        <w:rPr>
          <w:b/>
          <w:bCs/>
          <w:color w:val="auto"/>
          <w:spacing w:val="0"/>
        </w:rPr>
      </w:pPr>
      <w:r>
        <w:rPr>
          <w:b/>
          <w:bCs/>
          <w:color w:val="auto"/>
          <w:spacing w:val="0"/>
          <w:w w:val="100"/>
          <w:position w:val="0"/>
          <w:highlight w:val="none"/>
        </w:rPr>
        <w:fldChar w:fldCharType="begin"/>
      </w:r>
      <w:r>
        <w:rPr>
          <w:b/>
          <w:bCs/>
          <w:color w:val="auto"/>
          <w:spacing w:val="0"/>
          <w:w w:val="100"/>
          <w:position w:val="0"/>
          <w:highlight w:val="none"/>
        </w:rPr>
        <w:instrText xml:space="preserve"> HYPERLINK \l _Toc5008 </w:instrText>
      </w:r>
      <w:r>
        <w:rPr>
          <w:b/>
          <w:bCs/>
          <w:color w:val="auto"/>
          <w:spacing w:val="0"/>
          <w:w w:val="100"/>
          <w:position w:val="0"/>
          <w:highlight w:val="none"/>
        </w:rPr>
        <w:fldChar w:fldCharType="separate"/>
      </w:r>
      <w:r>
        <w:rPr>
          <w:rFonts w:hint="default"/>
          <w:b/>
          <w:bCs/>
          <w:color w:val="auto"/>
          <w:spacing w:val="0"/>
          <w:w w:val="100"/>
          <w:position w:val="0"/>
          <w:highlight w:val="none"/>
          <w:lang w:val="en-US" w:eastAsia="zh-CN"/>
        </w:rPr>
        <w:t>2总则</w:t>
      </w:r>
      <w:r>
        <w:rPr>
          <w:b/>
          <w:bCs/>
          <w:color w:val="auto"/>
          <w:spacing w:val="0"/>
        </w:rPr>
        <w:tab/>
      </w:r>
      <w:r>
        <w:rPr>
          <w:b/>
          <w:bCs/>
          <w:color w:val="auto"/>
          <w:spacing w:val="0"/>
        </w:rPr>
        <w:fldChar w:fldCharType="begin"/>
      </w:r>
      <w:r>
        <w:rPr>
          <w:b/>
          <w:bCs/>
          <w:color w:val="auto"/>
          <w:spacing w:val="0"/>
        </w:rPr>
        <w:instrText xml:space="preserve"> PAGEREF _Toc5008 \h </w:instrText>
      </w:r>
      <w:r>
        <w:rPr>
          <w:b/>
          <w:bCs/>
          <w:color w:val="auto"/>
          <w:spacing w:val="0"/>
        </w:rPr>
        <w:fldChar w:fldCharType="separate"/>
      </w:r>
      <w:r>
        <w:rPr>
          <w:b/>
          <w:bCs/>
          <w:color w:val="auto"/>
          <w:spacing w:val="0"/>
        </w:rPr>
        <w:t>23</w:t>
      </w:r>
      <w:r>
        <w:rPr>
          <w:b/>
          <w:bCs/>
          <w:color w:val="auto"/>
          <w:spacing w:val="0"/>
        </w:rPr>
        <w:fldChar w:fldCharType="end"/>
      </w:r>
      <w:r>
        <w:rPr>
          <w:b/>
          <w:bCs/>
          <w:color w:val="auto"/>
          <w:spacing w:val="0"/>
          <w:w w:val="100"/>
          <w:position w:val="0"/>
          <w:highlight w:val="none"/>
        </w:rPr>
        <w:fldChar w:fldCharType="end"/>
      </w:r>
    </w:p>
    <w:p w14:paraId="4DD78F7C">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_Toc28478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2.1编制依据</w:t>
      </w:r>
      <w:r>
        <w:rPr>
          <w:color w:val="auto"/>
          <w:spacing w:val="0"/>
        </w:rPr>
        <w:tab/>
      </w:r>
      <w:r>
        <w:rPr>
          <w:color w:val="auto"/>
          <w:spacing w:val="0"/>
        </w:rPr>
        <w:fldChar w:fldCharType="begin"/>
      </w:r>
      <w:r>
        <w:rPr>
          <w:color w:val="auto"/>
          <w:spacing w:val="0"/>
        </w:rPr>
        <w:instrText xml:space="preserve"> PAGEREF _Toc28478 \h </w:instrText>
      </w:r>
      <w:r>
        <w:rPr>
          <w:color w:val="auto"/>
          <w:spacing w:val="0"/>
        </w:rPr>
        <w:fldChar w:fldCharType="separate"/>
      </w:r>
      <w:r>
        <w:rPr>
          <w:color w:val="auto"/>
          <w:spacing w:val="0"/>
        </w:rPr>
        <w:t>23</w:t>
      </w:r>
      <w:r>
        <w:rPr>
          <w:color w:val="auto"/>
          <w:spacing w:val="0"/>
        </w:rPr>
        <w:fldChar w:fldCharType="end"/>
      </w:r>
      <w:r>
        <w:rPr>
          <w:color w:val="auto"/>
          <w:spacing w:val="0"/>
          <w:w w:val="100"/>
          <w:position w:val="0"/>
          <w:highlight w:val="none"/>
        </w:rPr>
        <w:fldChar w:fldCharType="end"/>
      </w:r>
    </w:p>
    <w:p w14:paraId="37B38002">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_Toc12896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2.2环境影响因素识别和评价因子筛选</w:t>
      </w:r>
      <w:r>
        <w:rPr>
          <w:color w:val="auto"/>
          <w:spacing w:val="0"/>
        </w:rPr>
        <w:tab/>
      </w:r>
      <w:r>
        <w:rPr>
          <w:color w:val="auto"/>
          <w:spacing w:val="0"/>
        </w:rPr>
        <w:fldChar w:fldCharType="begin"/>
      </w:r>
      <w:r>
        <w:rPr>
          <w:color w:val="auto"/>
          <w:spacing w:val="0"/>
        </w:rPr>
        <w:instrText xml:space="preserve"> PAGEREF _Toc12896 \h </w:instrText>
      </w:r>
      <w:r>
        <w:rPr>
          <w:color w:val="auto"/>
          <w:spacing w:val="0"/>
        </w:rPr>
        <w:fldChar w:fldCharType="separate"/>
      </w:r>
      <w:r>
        <w:rPr>
          <w:color w:val="auto"/>
          <w:spacing w:val="0"/>
        </w:rPr>
        <w:t>27</w:t>
      </w:r>
      <w:r>
        <w:rPr>
          <w:color w:val="auto"/>
          <w:spacing w:val="0"/>
        </w:rPr>
        <w:fldChar w:fldCharType="end"/>
      </w:r>
      <w:r>
        <w:rPr>
          <w:color w:val="auto"/>
          <w:spacing w:val="0"/>
          <w:w w:val="100"/>
          <w:position w:val="0"/>
          <w:highlight w:val="none"/>
        </w:rPr>
        <w:fldChar w:fldCharType="end"/>
      </w:r>
    </w:p>
    <w:p w14:paraId="6C2AE3E4">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_Toc21798 </w:instrText>
      </w:r>
      <w:r>
        <w:rPr>
          <w:color w:val="auto"/>
          <w:spacing w:val="0"/>
          <w:w w:val="100"/>
          <w:position w:val="0"/>
          <w:highlight w:val="none"/>
        </w:rPr>
        <w:fldChar w:fldCharType="separate"/>
      </w:r>
      <w:r>
        <w:rPr>
          <w:rFonts w:hint="default"/>
          <w:color w:val="auto"/>
          <w:spacing w:val="0"/>
          <w:highlight w:val="none"/>
          <w:lang w:val="en-US" w:eastAsia="zh-CN"/>
        </w:rPr>
        <w:t>2.3环境影响评价等级的划分</w:t>
      </w:r>
      <w:r>
        <w:rPr>
          <w:color w:val="auto"/>
          <w:spacing w:val="0"/>
        </w:rPr>
        <w:tab/>
      </w:r>
      <w:r>
        <w:rPr>
          <w:color w:val="auto"/>
          <w:spacing w:val="0"/>
        </w:rPr>
        <w:fldChar w:fldCharType="begin"/>
      </w:r>
      <w:r>
        <w:rPr>
          <w:color w:val="auto"/>
          <w:spacing w:val="0"/>
        </w:rPr>
        <w:instrText xml:space="preserve"> PAGEREF _Toc21798 \h </w:instrText>
      </w:r>
      <w:r>
        <w:rPr>
          <w:color w:val="auto"/>
          <w:spacing w:val="0"/>
        </w:rPr>
        <w:fldChar w:fldCharType="separate"/>
      </w:r>
      <w:r>
        <w:rPr>
          <w:color w:val="auto"/>
          <w:spacing w:val="0"/>
        </w:rPr>
        <w:t>28</w:t>
      </w:r>
      <w:r>
        <w:rPr>
          <w:color w:val="auto"/>
          <w:spacing w:val="0"/>
        </w:rPr>
        <w:fldChar w:fldCharType="end"/>
      </w:r>
      <w:r>
        <w:rPr>
          <w:color w:val="auto"/>
          <w:spacing w:val="0"/>
          <w:w w:val="100"/>
          <w:position w:val="0"/>
          <w:highlight w:val="none"/>
        </w:rPr>
        <w:fldChar w:fldCharType="end"/>
      </w:r>
    </w:p>
    <w:p w14:paraId="2A61CF3F">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_Toc7233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2.4环境影响评价范围及环境敏感目标</w:t>
      </w:r>
      <w:r>
        <w:rPr>
          <w:color w:val="auto"/>
          <w:spacing w:val="0"/>
        </w:rPr>
        <w:tab/>
      </w:r>
      <w:r>
        <w:rPr>
          <w:color w:val="auto"/>
          <w:spacing w:val="0"/>
        </w:rPr>
        <w:fldChar w:fldCharType="begin"/>
      </w:r>
      <w:r>
        <w:rPr>
          <w:color w:val="auto"/>
          <w:spacing w:val="0"/>
        </w:rPr>
        <w:instrText xml:space="preserve"> PAGEREF _Toc7233 \h </w:instrText>
      </w:r>
      <w:r>
        <w:rPr>
          <w:color w:val="auto"/>
          <w:spacing w:val="0"/>
        </w:rPr>
        <w:fldChar w:fldCharType="separate"/>
      </w:r>
      <w:r>
        <w:rPr>
          <w:color w:val="auto"/>
          <w:spacing w:val="0"/>
        </w:rPr>
        <w:t>34</w:t>
      </w:r>
      <w:r>
        <w:rPr>
          <w:color w:val="auto"/>
          <w:spacing w:val="0"/>
        </w:rPr>
        <w:fldChar w:fldCharType="end"/>
      </w:r>
      <w:r>
        <w:rPr>
          <w:color w:val="auto"/>
          <w:spacing w:val="0"/>
          <w:w w:val="100"/>
          <w:position w:val="0"/>
          <w:highlight w:val="none"/>
        </w:rPr>
        <w:fldChar w:fldCharType="end"/>
      </w:r>
    </w:p>
    <w:p w14:paraId="7139E10F">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_Toc7390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2.5环境功能区划</w:t>
      </w:r>
      <w:r>
        <w:rPr>
          <w:color w:val="auto"/>
          <w:spacing w:val="0"/>
        </w:rPr>
        <w:tab/>
      </w:r>
      <w:r>
        <w:rPr>
          <w:color w:val="auto"/>
          <w:spacing w:val="0"/>
        </w:rPr>
        <w:fldChar w:fldCharType="begin"/>
      </w:r>
      <w:r>
        <w:rPr>
          <w:color w:val="auto"/>
          <w:spacing w:val="0"/>
        </w:rPr>
        <w:instrText xml:space="preserve"> PAGEREF _Toc7390 \h </w:instrText>
      </w:r>
      <w:r>
        <w:rPr>
          <w:color w:val="auto"/>
          <w:spacing w:val="0"/>
        </w:rPr>
        <w:fldChar w:fldCharType="separate"/>
      </w:r>
      <w:r>
        <w:rPr>
          <w:color w:val="auto"/>
          <w:spacing w:val="0"/>
        </w:rPr>
        <w:t>39</w:t>
      </w:r>
      <w:r>
        <w:rPr>
          <w:color w:val="auto"/>
          <w:spacing w:val="0"/>
        </w:rPr>
        <w:fldChar w:fldCharType="end"/>
      </w:r>
      <w:r>
        <w:rPr>
          <w:color w:val="auto"/>
          <w:spacing w:val="0"/>
          <w:w w:val="100"/>
          <w:position w:val="0"/>
          <w:highlight w:val="none"/>
        </w:rPr>
        <w:fldChar w:fldCharType="end"/>
      </w:r>
    </w:p>
    <w:p w14:paraId="09EDC06A">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_Toc11437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2.6评价标准</w:t>
      </w:r>
      <w:r>
        <w:rPr>
          <w:color w:val="auto"/>
          <w:spacing w:val="0"/>
        </w:rPr>
        <w:tab/>
      </w:r>
      <w:r>
        <w:rPr>
          <w:color w:val="auto"/>
          <w:spacing w:val="0"/>
        </w:rPr>
        <w:fldChar w:fldCharType="begin"/>
      </w:r>
      <w:r>
        <w:rPr>
          <w:color w:val="auto"/>
          <w:spacing w:val="0"/>
        </w:rPr>
        <w:instrText xml:space="preserve"> PAGEREF _Toc11437 \h </w:instrText>
      </w:r>
      <w:r>
        <w:rPr>
          <w:color w:val="auto"/>
          <w:spacing w:val="0"/>
        </w:rPr>
        <w:fldChar w:fldCharType="separate"/>
      </w:r>
      <w:r>
        <w:rPr>
          <w:color w:val="auto"/>
          <w:spacing w:val="0"/>
        </w:rPr>
        <w:t>40</w:t>
      </w:r>
      <w:r>
        <w:rPr>
          <w:color w:val="auto"/>
          <w:spacing w:val="0"/>
        </w:rPr>
        <w:fldChar w:fldCharType="end"/>
      </w:r>
      <w:r>
        <w:rPr>
          <w:color w:val="auto"/>
          <w:spacing w:val="0"/>
          <w:w w:val="100"/>
          <w:position w:val="0"/>
          <w:highlight w:val="none"/>
        </w:rPr>
        <w:fldChar w:fldCharType="end"/>
      </w:r>
    </w:p>
    <w:p w14:paraId="7207D658">
      <w:pPr>
        <w:pStyle w:val="18"/>
        <w:keepNext w:val="0"/>
        <w:keepLines w:val="0"/>
        <w:pageBreakBefore w:val="0"/>
        <w:widowControl w:val="0"/>
        <w:tabs>
          <w:tab w:val="right" w:leader="dot" w:pos="8306"/>
        </w:tabs>
        <w:kinsoku/>
        <w:wordWrap/>
        <w:overflowPunct/>
        <w:topLinePunct w:val="0"/>
        <w:autoSpaceDE/>
        <w:autoSpaceDN/>
        <w:bidi w:val="0"/>
        <w:rPr>
          <w:b/>
          <w:bCs/>
          <w:color w:val="auto"/>
          <w:spacing w:val="0"/>
        </w:rPr>
      </w:pPr>
      <w:r>
        <w:rPr>
          <w:b/>
          <w:bCs/>
          <w:color w:val="auto"/>
          <w:spacing w:val="0"/>
          <w:w w:val="100"/>
          <w:position w:val="0"/>
          <w:highlight w:val="none"/>
        </w:rPr>
        <w:fldChar w:fldCharType="begin"/>
      </w:r>
      <w:r>
        <w:rPr>
          <w:b/>
          <w:bCs/>
          <w:color w:val="auto"/>
          <w:spacing w:val="0"/>
          <w:w w:val="100"/>
          <w:position w:val="0"/>
          <w:highlight w:val="none"/>
        </w:rPr>
        <w:instrText xml:space="preserve"> HYPERLINK \l _Toc9914 </w:instrText>
      </w:r>
      <w:r>
        <w:rPr>
          <w:b/>
          <w:bCs/>
          <w:color w:val="auto"/>
          <w:spacing w:val="0"/>
          <w:w w:val="100"/>
          <w:position w:val="0"/>
          <w:highlight w:val="none"/>
        </w:rPr>
        <w:fldChar w:fldCharType="separate"/>
      </w:r>
      <w:r>
        <w:rPr>
          <w:rFonts w:hint="default"/>
          <w:b/>
          <w:bCs/>
          <w:color w:val="auto"/>
          <w:spacing w:val="0"/>
          <w:w w:val="100"/>
          <w:position w:val="0"/>
          <w:highlight w:val="none"/>
          <w:lang w:val="en-US" w:eastAsia="zh-CN"/>
        </w:rPr>
        <w:t>3建设项目工程分析</w:t>
      </w:r>
      <w:r>
        <w:rPr>
          <w:b/>
          <w:bCs/>
          <w:color w:val="auto"/>
          <w:spacing w:val="0"/>
        </w:rPr>
        <w:tab/>
      </w:r>
      <w:r>
        <w:rPr>
          <w:b/>
          <w:bCs/>
          <w:color w:val="auto"/>
          <w:spacing w:val="0"/>
        </w:rPr>
        <w:fldChar w:fldCharType="begin"/>
      </w:r>
      <w:r>
        <w:rPr>
          <w:b/>
          <w:bCs/>
          <w:color w:val="auto"/>
          <w:spacing w:val="0"/>
        </w:rPr>
        <w:instrText xml:space="preserve"> PAGEREF _Toc9914 \h </w:instrText>
      </w:r>
      <w:r>
        <w:rPr>
          <w:b/>
          <w:bCs/>
          <w:color w:val="auto"/>
          <w:spacing w:val="0"/>
        </w:rPr>
        <w:fldChar w:fldCharType="separate"/>
      </w:r>
      <w:r>
        <w:rPr>
          <w:b/>
          <w:bCs/>
          <w:color w:val="auto"/>
          <w:spacing w:val="0"/>
        </w:rPr>
        <w:t>44</w:t>
      </w:r>
      <w:r>
        <w:rPr>
          <w:b/>
          <w:bCs/>
          <w:color w:val="auto"/>
          <w:spacing w:val="0"/>
        </w:rPr>
        <w:fldChar w:fldCharType="end"/>
      </w:r>
      <w:r>
        <w:rPr>
          <w:b/>
          <w:bCs/>
          <w:color w:val="auto"/>
          <w:spacing w:val="0"/>
          <w:w w:val="100"/>
          <w:position w:val="0"/>
          <w:highlight w:val="none"/>
        </w:rPr>
        <w:fldChar w:fldCharType="end"/>
      </w:r>
    </w:p>
    <w:p w14:paraId="627FC187">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_Toc6560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3.1项目概况</w:t>
      </w:r>
      <w:r>
        <w:rPr>
          <w:color w:val="auto"/>
          <w:spacing w:val="0"/>
        </w:rPr>
        <w:tab/>
      </w:r>
      <w:r>
        <w:rPr>
          <w:color w:val="auto"/>
          <w:spacing w:val="0"/>
        </w:rPr>
        <w:fldChar w:fldCharType="begin"/>
      </w:r>
      <w:r>
        <w:rPr>
          <w:color w:val="auto"/>
          <w:spacing w:val="0"/>
        </w:rPr>
        <w:instrText xml:space="preserve"> PAGEREF _Toc6560 \h </w:instrText>
      </w:r>
      <w:r>
        <w:rPr>
          <w:color w:val="auto"/>
          <w:spacing w:val="0"/>
        </w:rPr>
        <w:fldChar w:fldCharType="separate"/>
      </w:r>
      <w:r>
        <w:rPr>
          <w:color w:val="auto"/>
          <w:spacing w:val="0"/>
        </w:rPr>
        <w:t>44</w:t>
      </w:r>
      <w:r>
        <w:rPr>
          <w:color w:val="auto"/>
          <w:spacing w:val="0"/>
        </w:rPr>
        <w:fldChar w:fldCharType="end"/>
      </w:r>
      <w:r>
        <w:rPr>
          <w:color w:val="auto"/>
          <w:spacing w:val="0"/>
          <w:w w:val="100"/>
          <w:position w:val="0"/>
          <w:highlight w:val="none"/>
        </w:rPr>
        <w:fldChar w:fldCharType="end"/>
      </w:r>
    </w:p>
    <w:p w14:paraId="5D87A085">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_Toc28700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3.</w:t>
      </w:r>
      <w:r>
        <w:rPr>
          <w:rFonts w:hint="eastAsia"/>
          <w:color w:val="auto"/>
          <w:spacing w:val="0"/>
          <w:w w:val="100"/>
          <w:position w:val="0"/>
          <w:highlight w:val="none"/>
          <w:lang w:val="en-US" w:eastAsia="zh-CN"/>
        </w:rPr>
        <w:t>2工程分析</w:t>
      </w:r>
      <w:r>
        <w:rPr>
          <w:color w:val="auto"/>
          <w:spacing w:val="0"/>
        </w:rPr>
        <w:tab/>
      </w:r>
      <w:r>
        <w:rPr>
          <w:color w:val="auto"/>
          <w:spacing w:val="0"/>
        </w:rPr>
        <w:fldChar w:fldCharType="begin"/>
      </w:r>
      <w:r>
        <w:rPr>
          <w:color w:val="auto"/>
          <w:spacing w:val="0"/>
        </w:rPr>
        <w:instrText xml:space="preserve"> PAGEREF _Toc28700 \h </w:instrText>
      </w:r>
      <w:r>
        <w:rPr>
          <w:color w:val="auto"/>
          <w:spacing w:val="0"/>
        </w:rPr>
        <w:fldChar w:fldCharType="separate"/>
      </w:r>
      <w:r>
        <w:rPr>
          <w:color w:val="auto"/>
          <w:spacing w:val="0"/>
        </w:rPr>
        <w:t>52</w:t>
      </w:r>
      <w:r>
        <w:rPr>
          <w:color w:val="auto"/>
          <w:spacing w:val="0"/>
        </w:rPr>
        <w:fldChar w:fldCharType="end"/>
      </w:r>
      <w:r>
        <w:rPr>
          <w:color w:val="auto"/>
          <w:spacing w:val="0"/>
          <w:w w:val="100"/>
          <w:position w:val="0"/>
          <w:highlight w:val="none"/>
        </w:rPr>
        <w:fldChar w:fldCharType="end"/>
      </w:r>
    </w:p>
    <w:p w14:paraId="6E66B834">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_Toc5392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3.</w:t>
      </w:r>
      <w:r>
        <w:rPr>
          <w:rFonts w:hint="eastAsia"/>
          <w:color w:val="auto"/>
          <w:spacing w:val="0"/>
          <w:w w:val="100"/>
          <w:position w:val="0"/>
          <w:highlight w:val="none"/>
          <w:lang w:val="en-US" w:eastAsia="zh-CN"/>
        </w:rPr>
        <w:t>3施工期污染源分析</w:t>
      </w:r>
      <w:r>
        <w:rPr>
          <w:color w:val="auto"/>
          <w:spacing w:val="0"/>
        </w:rPr>
        <w:tab/>
      </w:r>
      <w:r>
        <w:rPr>
          <w:color w:val="auto"/>
          <w:spacing w:val="0"/>
        </w:rPr>
        <w:fldChar w:fldCharType="begin"/>
      </w:r>
      <w:r>
        <w:rPr>
          <w:color w:val="auto"/>
          <w:spacing w:val="0"/>
        </w:rPr>
        <w:instrText xml:space="preserve"> PAGEREF _Toc5392 \h </w:instrText>
      </w:r>
      <w:r>
        <w:rPr>
          <w:color w:val="auto"/>
          <w:spacing w:val="0"/>
        </w:rPr>
        <w:fldChar w:fldCharType="separate"/>
      </w:r>
      <w:r>
        <w:rPr>
          <w:color w:val="auto"/>
          <w:spacing w:val="0"/>
        </w:rPr>
        <w:t>56</w:t>
      </w:r>
      <w:r>
        <w:rPr>
          <w:color w:val="auto"/>
          <w:spacing w:val="0"/>
        </w:rPr>
        <w:fldChar w:fldCharType="end"/>
      </w:r>
      <w:r>
        <w:rPr>
          <w:color w:val="auto"/>
          <w:spacing w:val="0"/>
          <w:w w:val="100"/>
          <w:position w:val="0"/>
          <w:highlight w:val="none"/>
        </w:rPr>
        <w:fldChar w:fldCharType="end"/>
      </w:r>
    </w:p>
    <w:p w14:paraId="51D29E90">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_Toc13916 </w:instrText>
      </w:r>
      <w:r>
        <w:rPr>
          <w:color w:val="auto"/>
          <w:spacing w:val="0"/>
          <w:w w:val="100"/>
          <w:position w:val="0"/>
          <w:highlight w:val="none"/>
        </w:rPr>
        <w:fldChar w:fldCharType="separate"/>
      </w:r>
      <w:r>
        <w:rPr>
          <w:rFonts w:hint="eastAsia"/>
          <w:color w:val="auto"/>
          <w:spacing w:val="0"/>
          <w:w w:val="100"/>
          <w:position w:val="0"/>
          <w:highlight w:val="none"/>
          <w:lang w:val="en-US" w:eastAsia="zh-CN"/>
        </w:rPr>
        <w:t>3.4运营期污染源分析</w:t>
      </w:r>
      <w:r>
        <w:rPr>
          <w:color w:val="auto"/>
          <w:spacing w:val="0"/>
        </w:rPr>
        <w:tab/>
      </w:r>
      <w:r>
        <w:rPr>
          <w:color w:val="auto"/>
          <w:spacing w:val="0"/>
        </w:rPr>
        <w:fldChar w:fldCharType="begin"/>
      </w:r>
      <w:r>
        <w:rPr>
          <w:color w:val="auto"/>
          <w:spacing w:val="0"/>
        </w:rPr>
        <w:instrText xml:space="preserve"> PAGEREF _Toc13916 \h </w:instrText>
      </w:r>
      <w:r>
        <w:rPr>
          <w:color w:val="auto"/>
          <w:spacing w:val="0"/>
        </w:rPr>
        <w:fldChar w:fldCharType="separate"/>
      </w:r>
      <w:r>
        <w:rPr>
          <w:color w:val="auto"/>
          <w:spacing w:val="0"/>
        </w:rPr>
        <w:t>58</w:t>
      </w:r>
      <w:r>
        <w:rPr>
          <w:color w:val="auto"/>
          <w:spacing w:val="0"/>
        </w:rPr>
        <w:fldChar w:fldCharType="end"/>
      </w:r>
      <w:r>
        <w:rPr>
          <w:color w:val="auto"/>
          <w:spacing w:val="0"/>
          <w:w w:val="100"/>
          <w:position w:val="0"/>
          <w:highlight w:val="none"/>
        </w:rPr>
        <w:fldChar w:fldCharType="end"/>
      </w:r>
    </w:p>
    <w:p w14:paraId="53881607">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_Toc25844 </w:instrText>
      </w:r>
      <w:r>
        <w:rPr>
          <w:color w:val="auto"/>
          <w:spacing w:val="0"/>
          <w:w w:val="100"/>
          <w:position w:val="0"/>
          <w:highlight w:val="none"/>
        </w:rPr>
        <w:fldChar w:fldCharType="separate"/>
      </w:r>
      <w:r>
        <w:rPr>
          <w:rFonts w:hint="eastAsia"/>
          <w:color w:val="auto"/>
          <w:spacing w:val="0"/>
          <w:w w:val="100"/>
          <w:position w:val="0"/>
          <w:highlight w:val="none"/>
          <w:lang w:val="en-US" w:eastAsia="zh"/>
        </w:rPr>
        <w:t>3</w:t>
      </w:r>
      <w:r>
        <w:rPr>
          <w:rFonts w:hint="eastAsia"/>
          <w:color w:val="auto"/>
          <w:spacing w:val="0"/>
          <w:w w:val="100"/>
          <w:position w:val="0"/>
          <w:highlight w:val="none"/>
          <w:lang w:val="en-US" w:eastAsia="zh-CN"/>
        </w:rPr>
        <w:t>.5</w:t>
      </w:r>
      <w:r>
        <w:rPr>
          <w:rFonts w:hint="default"/>
          <w:color w:val="auto"/>
          <w:spacing w:val="0"/>
          <w:w w:val="100"/>
          <w:position w:val="0"/>
          <w:highlight w:val="none"/>
          <w:lang w:val="en-US" w:eastAsia="zh-CN"/>
        </w:rPr>
        <w:t>总量控制</w:t>
      </w:r>
      <w:r>
        <w:rPr>
          <w:color w:val="auto"/>
          <w:spacing w:val="0"/>
        </w:rPr>
        <w:tab/>
      </w:r>
      <w:r>
        <w:rPr>
          <w:color w:val="auto"/>
          <w:spacing w:val="0"/>
        </w:rPr>
        <w:fldChar w:fldCharType="begin"/>
      </w:r>
      <w:r>
        <w:rPr>
          <w:color w:val="auto"/>
          <w:spacing w:val="0"/>
        </w:rPr>
        <w:instrText xml:space="preserve"> PAGEREF _Toc25844 \h </w:instrText>
      </w:r>
      <w:r>
        <w:rPr>
          <w:color w:val="auto"/>
          <w:spacing w:val="0"/>
        </w:rPr>
        <w:fldChar w:fldCharType="separate"/>
      </w:r>
      <w:r>
        <w:rPr>
          <w:color w:val="auto"/>
          <w:spacing w:val="0"/>
        </w:rPr>
        <w:t>74</w:t>
      </w:r>
      <w:r>
        <w:rPr>
          <w:color w:val="auto"/>
          <w:spacing w:val="0"/>
        </w:rPr>
        <w:fldChar w:fldCharType="end"/>
      </w:r>
      <w:r>
        <w:rPr>
          <w:color w:val="auto"/>
          <w:spacing w:val="0"/>
          <w:w w:val="100"/>
          <w:position w:val="0"/>
          <w:highlight w:val="none"/>
        </w:rPr>
        <w:fldChar w:fldCharType="end"/>
      </w:r>
    </w:p>
    <w:p w14:paraId="7F9A404C">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_Toc25956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3.</w:t>
      </w:r>
      <w:r>
        <w:rPr>
          <w:rFonts w:hint="eastAsia"/>
          <w:color w:val="auto"/>
          <w:spacing w:val="0"/>
          <w:w w:val="100"/>
          <w:position w:val="0"/>
          <w:highlight w:val="none"/>
          <w:lang w:val="en-US" w:eastAsia="zh-CN"/>
        </w:rPr>
        <w:t>6</w:t>
      </w:r>
      <w:r>
        <w:rPr>
          <w:rFonts w:hint="default"/>
          <w:color w:val="auto"/>
          <w:spacing w:val="0"/>
          <w:w w:val="100"/>
          <w:position w:val="0"/>
          <w:highlight w:val="none"/>
          <w:lang w:val="en-US" w:eastAsia="zh-CN"/>
        </w:rPr>
        <w:t>清洁生产分析</w:t>
      </w:r>
      <w:r>
        <w:rPr>
          <w:color w:val="auto"/>
          <w:spacing w:val="0"/>
        </w:rPr>
        <w:tab/>
      </w:r>
      <w:r>
        <w:rPr>
          <w:color w:val="auto"/>
          <w:spacing w:val="0"/>
        </w:rPr>
        <w:fldChar w:fldCharType="begin"/>
      </w:r>
      <w:r>
        <w:rPr>
          <w:color w:val="auto"/>
          <w:spacing w:val="0"/>
        </w:rPr>
        <w:instrText xml:space="preserve"> PAGEREF _Toc25956 \h </w:instrText>
      </w:r>
      <w:r>
        <w:rPr>
          <w:color w:val="auto"/>
          <w:spacing w:val="0"/>
        </w:rPr>
        <w:fldChar w:fldCharType="separate"/>
      </w:r>
      <w:r>
        <w:rPr>
          <w:color w:val="auto"/>
          <w:spacing w:val="0"/>
        </w:rPr>
        <w:t>75</w:t>
      </w:r>
      <w:r>
        <w:rPr>
          <w:color w:val="auto"/>
          <w:spacing w:val="0"/>
        </w:rPr>
        <w:fldChar w:fldCharType="end"/>
      </w:r>
      <w:r>
        <w:rPr>
          <w:color w:val="auto"/>
          <w:spacing w:val="0"/>
          <w:w w:val="100"/>
          <w:position w:val="0"/>
          <w:highlight w:val="none"/>
        </w:rPr>
        <w:fldChar w:fldCharType="end"/>
      </w:r>
    </w:p>
    <w:p w14:paraId="22D3CCF3">
      <w:pPr>
        <w:pStyle w:val="18"/>
        <w:keepNext w:val="0"/>
        <w:keepLines w:val="0"/>
        <w:pageBreakBefore w:val="0"/>
        <w:widowControl w:val="0"/>
        <w:tabs>
          <w:tab w:val="right" w:leader="dot" w:pos="8306"/>
        </w:tabs>
        <w:kinsoku/>
        <w:wordWrap/>
        <w:overflowPunct/>
        <w:topLinePunct w:val="0"/>
        <w:autoSpaceDE/>
        <w:autoSpaceDN/>
        <w:bidi w:val="0"/>
        <w:rPr>
          <w:b/>
          <w:bCs/>
          <w:color w:val="auto"/>
          <w:spacing w:val="0"/>
        </w:rPr>
      </w:pPr>
      <w:r>
        <w:rPr>
          <w:b/>
          <w:bCs/>
          <w:color w:val="auto"/>
          <w:spacing w:val="0"/>
          <w:w w:val="100"/>
          <w:position w:val="0"/>
          <w:highlight w:val="none"/>
        </w:rPr>
        <w:fldChar w:fldCharType="begin"/>
      </w:r>
      <w:r>
        <w:rPr>
          <w:b/>
          <w:bCs/>
          <w:color w:val="auto"/>
          <w:spacing w:val="0"/>
          <w:w w:val="100"/>
          <w:position w:val="0"/>
          <w:highlight w:val="none"/>
        </w:rPr>
        <w:instrText xml:space="preserve"> HYPERLINK \l _Toc13404 </w:instrText>
      </w:r>
      <w:r>
        <w:rPr>
          <w:b/>
          <w:bCs/>
          <w:color w:val="auto"/>
          <w:spacing w:val="0"/>
          <w:w w:val="100"/>
          <w:position w:val="0"/>
          <w:highlight w:val="none"/>
        </w:rPr>
        <w:fldChar w:fldCharType="separate"/>
      </w:r>
      <w:r>
        <w:rPr>
          <w:rFonts w:hint="eastAsia"/>
          <w:b/>
          <w:bCs/>
          <w:color w:val="auto"/>
          <w:spacing w:val="0"/>
          <w:w w:val="100"/>
          <w:position w:val="0"/>
          <w:highlight w:val="none"/>
          <w:lang w:val="en-US" w:eastAsia="zh-CN"/>
        </w:rPr>
        <w:t>4</w:t>
      </w:r>
      <w:r>
        <w:rPr>
          <w:b/>
          <w:bCs/>
          <w:color w:val="auto"/>
          <w:spacing w:val="0"/>
          <w:w w:val="100"/>
          <w:position w:val="0"/>
          <w:highlight w:val="none"/>
        </w:rPr>
        <w:t>区域环境概况</w:t>
      </w:r>
      <w:r>
        <w:rPr>
          <w:b/>
          <w:bCs/>
          <w:color w:val="auto"/>
          <w:spacing w:val="0"/>
        </w:rPr>
        <w:tab/>
      </w:r>
      <w:r>
        <w:rPr>
          <w:b/>
          <w:bCs/>
          <w:color w:val="auto"/>
          <w:spacing w:val="0"/>
        </w:rPr>
        <w:fldChar w:fldCharType="begin"/>
      </w:r>
      <w:r>
        <w:rPr>
          <w:b/>
          <w:bCs/>
          <w:color w:val="auto"/>
          <w:spacing w:val="0"/>
        </w:rPr>
        <w:instrText xml:space="preserve"> PAGEREF _Toc13404 \h </w:instrText>
      </w:r>
      <w:r>
        <w:rPr>
          <w:b/>
          <w:bCs/>
          <w:color w:val="auto"/>
          <w:spacing w:val="0"/>
        </w:rPr>
        <w:fldChar w:fldCharType="separate"/>
      </w:r>
      <w:r>
        <w:rPr>
          <w:b/>
          <w:bCs/>
          <w:color w:val="auto"/>
          <w:spacing w:val="0"/>
        </w:rPr>
        <w:t>81</w:t>
      </w:r>
      <w:r>
        <w:rPr>
          <w:b/>
          <w:bCs/>
          <w:color w:val="auto"/>
          <w:spacing w:val="0"/>
        </w:rPr>
        <w:fldChar w:fldCharType="end"/>
      </w:r>
      <w:r>
        <w:rPr>
          <w:b/>
          <w:bCs/>
          <w:color w:val="auto"/>
          <w:spacing w:val="0"/>
          <w:w w:val="100"/>
          <w:position w:val="0"/>
          <w:highlight w:val="none"/>
        </w:rPr>
        <w:fldChar w:fldCharType="end"/>
      </w:r>
    </w:p>
    <w:p w14:paraId="167874AF">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_Toc14287 </w:instrText>
      </w:r>
      <w:r>
        <w:rPr>
          <w:color w:val="auto"/>
          <w:spacing w:val="0"/>
          <w:w w:val="100"/>
          <w:position w:val="0"/>
          <w:highlight w:val="none"/>
        </w:rPr>
        <w:fldChar w:fldCharType="separate"/>
      </w:r>
      <w:r>
        <w:rPr>
          <w:color w:val="auto"/>
          <w:spacing w:val="0"/>
          <w:w w:val="100"/>
          <w:position w:val="0"/>
          <w:highlight w:val="none"/>
        </w:rPr>
        <w:t>4.1自然环境概况</w:t>
      </w:r>
      <w:r>
        <w:rPr>
          <w:color w:val="auto"/>
          <w:spacing w:val="0"/>
        </w:rPr>
        <w:tab/>
      </w:r>
      <w:r>
        <w:rPr>
          <w:color w:val="auto"/>
          <w:spacing w:val="0"/>
        </w:rPr>
        <w:fldChar w:fldCharType="begin"/>
      </w:r>
      <w:r>
        <w:rPr>
          <w:color w:val="auto"/>
          <w:spacing w:val="0"/>
        </w:rPr>
        <w:instrText xml:space="preserve"> PAGEREF _Toc14287 \h </w:instrText>
      </w:r>
      <w:r>
        <w:rPr>
          <w:color w:val="auto"/>
          <w:spacing w:val="0"/>
        </w:rPr>
        <w:fldChar w:fldCharType="separate"/>
      </w:r>
      <w:r>
        <w:rPr>
          <w:color w:val="auto"/>
          <w:spacing w:val="0"/>
        </w:rPr>
        <w:t>81</w:t>
      </w:r>
      <w:r>
        <w:rPr>
          <w:color w:val="auto"/>
          <w:spacing w:val="0"/>
        </w:rPr>
        <w:fldChar w:fldCharType="end"/>
      </w:r>
      <w:r>
        <w:rPr>
          <w:color w:val="auto"/>
          <w:spacing w:val="0"/>
          <w:w w:val="100"/>
          <w:position w:val="0"/>
          <w:highlight w:val="none"/>
        </w:rPr>
        <w:fldChar w:fldCharType="end"/>
      </w:r>
    </w:p>
    <w:p w14:paraId="6DA54CCA">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_Toc30928 </w:instrText>
      </w:r>
      <w:r>
        <w:rPr>
          <w:color w:val="auto"/>
          <w:spacing w:val="0"/>
          <w:w w:val="100"/>
          <w:position w:val="0"/>
          <w:highlight w:val="none"/>
        </w:rPr>
        <w:fldChar w:fldCharType="separate"/>
      </w:r>
      <w:r>
        <w:rPr>
          <w:color w:val="auto"/>
          <w:spacing w:val="0"/>
          <w:w w:val="100"/>
          <w:position w:val="0"/>
          <w:highlight w:val="none"/>
        </w:rPr>
        <w:t>4.2</w:t>
      </w:r>
      <w:r>
        <w:rPr>
          <w:rFonts w:hint="eastAsia"/>
          <w:color w:val="auto"/>
          <w:spacing w:val="0"/>
          <w:w w:val="100"/>
          <w:position w:val="0"/>
          <w:highlight w:val="none"/>
        </w:rPr>
        <w:t>甘泉堡工业园总体规划</w:t>
      </w:r>
      <w:r>
        <w:rPr>
          <w:color w:val="auto"/>
          <w:spacing w:val="0"/>
          <w:w w:val="100"/>
          <w:position w:val="0"/>
          <w:highlight w:val="none"/>
        </w:rPr>
        <w:t>概况</w:t>
      </w:r>
      <w:r>
        <w:rPr>
          <w:color w:val="auto"/>
          <w:spacing w:val="0"/>
        </w:rPr>
        <w:tab/>
      </w:r>
      <w:r>
        <w:rPr>
          <w:color w:val="auto"/>
          <w:spacing w:val="0"/>
        </w:rPr>
        <w:fldChar w:fldCharType="begin"/>
      </w:r>
      <w:r>
        <w:rPr>
          <w:color w:val="auto"/>
          <w:spacing w:val="0"/>
        </w:rPr>
        <w:instrText xml:space="preserve"> PAGEREF _Toc30928 \h </w:instrText>
      </w:r>
      <w:r>
        <w:rPr>
          <w:color w:val="auto"/>
          <w:spacing w:val="0"/>
        </w:rPr>
        <w:fldChar w:fldCharType="separate"/>
      </w:r>
      <w:r>
        <w:rPr>
          <w:color w:val="auto"/>
          <w:spacing w:val="0"/>
        </w:rPr>
        <w:t>84</w:t>
      </w:r>
      <w:r>
        <w:rPr>
          <w:color w:val="auto"/>
          <w:spacing w:val="0"/>
        </w:rPr>
        <w:fldChar w:fldCharType="end"/>
      </w:r>
      <w:r>
        <w:rPr>
          <w:color w:val="auto"/>
          <w:spacing w:val="0"/>
          <w:w w:val="100"/>
          <w:position w:val="0"/>
          <w:highlight w:val="none"/>
        </w:rPr>
        <w:fldChar w:fldCharType="end"/>
      </w:r>
    </w:p>
    <w:p w14:paraId="5D3DB58B">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_Toc15981 </w:instrText>
      </w:r>
      <w:r>
        <w:rPr>
          <w:color w:val="auto"/>
          <w:spacing w:val="0"/>
          <w:w w:val="100"/>
          <w:position w:val="0"/>
          <w:highlight w:val="none"/>
        </w:rPr>
        <w:fldChar w:fldCharType="separate"/>
      </w:r>
      <w:r>
        <w:rPr>
          <w:color w:val="auto"/>
          <w:spacing w:val="0"/>
          <w:w w:val="100"/>
          <w:position w:val="0"/>
          <w:highlight w:val="none"/>
        </w:rPr>
        <w:t>4.3环境质量现状调查与评价</w:t>
      </w:r>
      <w:r>
        <w:rPr>
          <w:color w:val="auto"/>
          <w:spacing w:val="0"/>
        </w:rPr>
        <w:tab/>
      </w:r>
      <w:r>
        <w:rPr>
          <w:color w:val="auto"/>
          <w:spacing w:val="0"/>
        </w:rPr>
        <w:fldChar w:fldCharType="begin"/>
      </w:r>
      <w:r>
        <w:rPr>
          <w:color w:val="auto"/>
          <w:spacing w:val="0"/>
        </w:rPr>
        <w:instrText xml:space="preserve"> PAGEREF _Toc15981 \h </w:instrText>
      </w:r>
      <w:r>
        <w:rPr>
          <w:color w:val="auto"/>
          <w:spacing w:val="0"/>
        </w:rPr>
        <w:fldChar w:fldCharType="separate"/>
      </w:r>
      <w:r>
        <w:rPr>
          <w:color w:val="auto"/>
          <w:spacing w:val="0"/>
        </w:rPr>
        <w:t>92</w:t>
      </w:r>
      <w:r>
        <w:rPr>
          <w:color w:val="auto"/>
          <w:spacing w:val="0"/>
        </w:rPr>
        <w:fldChar w:fldCharType="end"/>
      </w:r>
      <w:r>
        <w:rPr>
          <w:color w:val="auto"/>
          <w:spacing w:val="0"/>
          <w:w w:val="100"/>
          <w:position w:val="0"/>
          <w:highlight w:val="none"/>
        </w:rPr>
        <w:fldChar w:fldCharType="end"/>
      </w:r>
    </w:p>
    <w:p w14:paraId="5DB56CA3">
      <w:pPr>
        <w:pStyle w:val="18"/>
        <w:keepNext w:val="0"/>
        <w:keepLines w:val="0"/>
        <w:pageBreakBefore w:val="0"/>
        <w:widowControl w:val="0"/>
        <w:tabs>
          <w:tab w:val="right" w:leader="dot" w:pos="8306"/>
        </w:tabs>
        <w:kinsoku/>
        <w:wordWrap/>
        <w:overflowPunct/>
        <w:topLinePunct w:val="0"/>
        <w:autoSpaceDE/>
        <w:autoSpaceDN/>
        <w:bidi w:val="0"/>
        <w:rPr>
          <w:b/>
          <w:bCs/>
          <w:color w:val="auto"/>
          <w:spacing w:val="0"/>
        </w:rPr>
      </w:pPr>
      <w:r>
        <w:rPr>
          <w:b/>
          <w:bCs/>
          <w:color w:val="auto"/>
          <w:spacing w:val="0"/>
          <w:w w:val="100"/>
          <w:position w:val="0"/>
          <w:highlight w:val="none"/>
        </w:rPr>
        <w:fldChar w:fldCharType="begin"/>
      </w:r>
      <w:r>
        <w:rPr>
          <w:b/>
          <w:bCs/>
          <w:color w:val="auto"/>
          <w:spacing w:val="0"/>
          <w:w w:val="100"/>
          <w:position w:val="0"/>
          <w:highlight w:val="none"/>
        </w:rPr>
        <w:instrText xml:space="preserve"> HYPERLINK \l _Toc21417 </w:instrText>
      </w:r>
      <w:r>
        <w:rPr>
          <w:b/>
          <w:bCs/>
          <w:color w:val="auto"/>
          <w:spacing w:val="0"/>
          <w:w w:val="100"/>
          <w:position w:val="0"/>
          <w:highlight w:val="none"/>
        </w:rPr>
        <w:fldChar w:fldCharType="separate"/>
      </w:r>
      <w:r>
        <w:rPr>
          <w:rFonts w:hint="default"/>
          <w:b/>
          <w:bCs/>
          <w:color w:val="auto"/>
          <w:spacing w:val="0"/>
          <w:w w:val="100"/>
          <w:position w:val="0"/>
          <w:highlight w:val="none"/>
          <w:lang w:val="en-US" w:eastAsia="zh-CN"/>
        </w:rPr>
        <w:t>5</w:t>
      </w:r>
      <w:r>
        <w:rPr>
          <w:rFonts w:hint="default"/>
          <w:b/>
          <w:bCs/>
          <w:color w:val="auto"/>
          <w:spacing w:val="0"/>
          <w:w w:val="100"/>
          <w:position w:val="0"/>
          <w:highlight w:val="none"/>
        </w:rPr>
        <w:t>环境影响预测与评价</w:t>
      </w:r>
      <w:r>
        <w:rPr>
          <w:b/>
          <w:bCs/>
          <w:color w:val="auto"/>
          <w:spacing w:val="0"/>
        </w:rPr>
        <w:tab/>
      </w:r>
      <w:r>
        <w:rPr>
          <w:b/>
          <w:bCs/>
          <w:color w:val="auto"/>
          <w:spacing w:val="0"/>
        </w:rPr>
        <w:fldChar w:fldCharType="begin"/>
      </w:r>
      <w:r>
        <w:rPr>
          <w:b/>
          <w:bCs/>
          <w:color w:val="auto"/>
          <w:spacing w:val="0"/>
        </w:rPr>
        <w:instrText xml:space="preserve"> PAGEREF _Toc21417 \h </w:instrText>
      </w:r>
      <w:r>
        <w:rPr>
          <w:b/>
          <w:bCs/>
          <w:color w:val="auto"/>
          <w:spacing w:val="0"/>
        </w:rPr>
        <w:fldChar w:fldCharType="separate"/>
      </w:r>
      <w:r>
        <w:rPr>
          <w:b/>
          <w:bCs/>
          <w:color w:val="auto"/>
          <w:spacing w:val="0"/>
        </w:rPr>
        <w:t>102</w:t>
      </w:r>
      <w:r>
        <w:rPr>
          <w:b/>
          <w:bCs/>
          <w:color w:val="auto"/>
          <w:spacing w:val="0"/>
        </w:rPr>
        <w:fldChar w:fldCharType="end"/>
      </w:r>
      <w:r>
        <w:rPr>
          <w:b/>
          <w:bCs/>
          <w:color w:val="auto"/>
          <w:spacing w:val="0"/>
          <w:w w:val="100"/>
          <w:position w:val="0"/>
          <w:highlight w:val="none"/>
        </w:rPr>
        <w:fldChar w:fldCharType="end"/>
      </w:r>
    </w:p>
    <w:p w14:paraId="74B5AF55">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_Toc8687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5.1施工期环境影响预测与评价</w:t>
      </w:r>
      <w:r>
        <w:rPr>
          <w:color w:val="auto"/>
          <w:spacing w:val="0"/>
        </w:rPr>
        <w:tab/>
      </w:r>
      <w:r>
        <w:rPr>
          <w:color w:val="auto"/>
          <w:spacing w:val="0"/>
        </w:rPr>
        <w:fldChar w:fldCharType="begin"/>
      </w:r>
      <w:r>
        <w:rPr>
          <w:color w:val="auto"/>
          <w:spacing w:val="0"/>
        </w:rPr>
        <w:instrText xml:space="preserve"> PAGEREF _Toc8687 \h </w:instrText>
      </w:r>
      <w:r>
        <w:rPr>
          <w:color w:val="auto"/>
          <w:spacing w:val="0"/>
        </w:rPr>
        <w:fldChar w:fldCharType="separate"/>
      </w:r>
      <w:r>
        <w:rPr>
          <w:color w:val="auto"/>
          <w:spacing w:val="0"/>
        </w:rPr>
        <w:t>102</w:t>
      </w:r>
      <w:r>
        <w:rPr>
          <w:color w:val="auto"/>
          <w:spacing w:val="0"/>
        </w:rPr>
        <w:fldChar w:fldCharType="end"/>
      </w:r>
      <w:r>
        <w:rPr>
          <w:color w:val="auto"/>
          <w:spacing w:val="0"/>
          <w:w w:val="100"/>
          <w:position w:val="0"/>
          <w:highlight w:val="none"/>
        </w:rPr>
        <w:fldChar w:fldCharType="end"/>
      </w:r>
    </w:p>
    <w:p w14:paraId="4143286D">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_Toc3232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5.2运营期环境影响预测与评价</w:t>
      </w:r>
      <w:r>
        <w:rPr>
          <w:color w:val="auto"/>
          <w:spacing w:val="0"/>
        </w:rPr>
        <w:tab/>
      </w:r>
      <w:r>
        <w:rPr>
          <w:color w:val="auto"/>
          <w:spacing w:val="0"/>
        </w:rPr>
        <w:fldChar w:fldCharType="begin"/>
      </w:r>
      <w:r>
        <w:rPr>
          <w:color w:val="auto"/>
          <w:spacing w:val="0"/>
        </w:rPr>
        <w:instrText xml:space="preserve"> PAGEREF _Toc3232 \h </w:instrText>
      </w:r>
      <w:r>
        <w:rPr>
          <w:color w:val="auto"/>
          <w:spacing w:val="0"/>
        </w:rPr>
        <w:fldChar w:fldCharType="separate"/>
      </w:r>
      <w:r>
        <w:rPr>
          <w:color w:val="auto"/>
          <w:spacing w:val="0"/>
        </w:rPr>
        <w:t>103</w:t>
      </w:r>
      <w:r>
        <w:rPr>
          <w:color w:val="auto"/>
          <w:spacing w:val="0"/>
        </w:rPr>
        <w:fldChar w:fldCharType="end"/>
      </w:r>
      <w:r>
        <w:rPr>
          <w:color w:val="auto"/>
          <w:spacing w:val="0"/>
          <w:w w:val="100"/>
          <w:position w:val="0"/>
          <w:highlight w:val="none"/>
        </w:rPr>
        <w:fldChar w:fldCharType="end"/>
      </w:r>
    </w:p>
    <w:p w14:paraId="50FCAD50">
      <w:pPr>
        <w:pStyle w:val="18"/>
        <w:keepNext w:val="0"/>
        <w:keepLines w:val="0"/>
        <w:pageBreakBefore w:val="0"/>
        <w:widowControl w:val="0"/>
        <w:tabs>
          <w:tab w:val="right" w:leader="dot" w:pos="8306"/>
        </w:tabs>
        <w:kinsoku/>
        <w:wordWrap/>
        <w:overflowPunct/>
        <w:topLinePunct w:val="0"/>
        <w:autoSpaceDE/>
        <w:autoSpaceDN/>
        <w:bidi w:val="0"/>
        <w:rPr>
          <w:b/>
          <w:bCs/>
          <w:color w:val="auto"/>
          <w:spacing w:val="0"/>
        </w:rPr>
      </w:pPr>
      <w:r>
        <w:rPr>
          <w:b/>
          <w:bCs/>
          <w:color w:val="auto"/>
          <w:spacing w:val="0"/>
          <w:w w:val="100"/>
          <w:position w:val="0"/>
          <w:highlight w:val="none"/>
        </w:rPr>
        <w:fldChar w:fldCharType="begin"/>
      </w:r>
      <w:r>
        <w:rPr>
          <w:b/>
          <w:bCs/>
          <w:color w:val="auto"/>
          <w:spacing w:val="0"/>
          <w:w w:val="100"/>
          <w:position w:val="0"/>
          <w:highlight w:val="none"/>
        </w:rPr>
        <w:instrText xml:space="preserve"> HYPERLINK \l _Toc3502 </w:instrText>
      </w:r>
      <w:r>
        <w:rPr>
          <w:b/>
          <w:bCs/>
          <w:color w:val="auto"/>
          <w:spacing w:val="0"/>
          <w:w w:val="100"/>
          <w:position w:val="0"/>
          <w:highlight w:val="none"/>
        </w:rPr>
        <w:fldChar w:fldCharType="separate"/>
      </w:r>
      <w:r>
        <w:rPr>
          <w:rFonts w:hint="default"/>
          <w:b/>
          <w:bCs/>
          <w:color w:val="auto"/>
          <w:spacing w:val="0"/>
          <w:w w:val="100"/>
          <w:position w:val="0"/>
          <w:highlight w:val="none"/>
          <w:lang w:val="en-US" w:eastAsia="zh-CN"/>
        </w:rPr>
        <w:t>6</w:t>
      </w:r>
      <w:r>
        <w:rPr>
          <w:rFonts w:hint="default"/>
          <w:b/>
          <w:bCs/>
          <w:color w:val="auto"/>
          <w:spacing w:val="0"/>
          <w:w w:val="100"/>
          <w:position w:val="0"/>
          <w:highlight w:val="none"/>
        </w:rPr>
        <w:t>环境保护措施及其可行性</w:t>
      </w:r>
      <w:r>
        <w:rPr>
          <w:rFonts w:hint="default"/>
          <w:b/>
          <w:bCs/>
          <w:color w:val="auto"/>
          <w:spacing w:val="0"/>
          <w:w w:val="100"/>
          <w:position w:val="0"/>
          <w:highlight w:val="none"/>
          <w:lang w:eastAsia="zh-CN"/>
        </w:rPr>
        <w:t>论证</w:t>
      </w:r>
      <w:r>
        <w:rPr>
          <w:b/>
          <w:bCs/>
          <w:color w:val="auto"/>
          <w:spacing w:val="0"/>
        </w:rPr>
        <w:tab/>
      </w:r>
      <w:r>
        <w:rPr>
          <w:b/>
          <w:bCs/>
          <w:color w:val="auto"/>
          <w:spacing w:val="0"/>
        </w:rPr>
        <w:fldChar w:fldCharType="begin"/>
      </w:r>
      <w:r>
        <w:rPr>
          <w:b/>
          <w:bCs/>
          <w:color w:val="auto"/>
          <w:spacing w:val="0"/>
        </w:rPr>
        <w:instrText xml:space="preserve"> PAGEREF _Toc3502 \h </w:instrText>
      </w:r>
      <w:r>
        <w:rPr>
          <w:b/>
          <w:bCs/>
          <w:color w:val="auto"/>
          <w:spacing w:val="0"/>
        </w:rPr>
        <w:fldChar w:fldCharType="separate"/>
      </w:r>
      <w:r>
        <w:rPr>
          <w:b/>
          <w:bCs/>
          <w:color w:val="auto"/>
          <w:spacing w:val="0"/>
        </w:rPr>
        <w:t>126</w:t>
      </w:r>
      <w:r>
        <w:rPr>
          <w:b/>
          <w:bCs/>
          <w:color w:val="auto"/>
          <w:spacing w:val="0"/>
        </w:rPr>
        <w:fldChar w:fldCharType="end"/>
      </w:r>
      <w:r>
        <w:rPr>
          <w:b/>
          <w:bCs/>
          <w:color w:val="auto"/>
          <w:spacing w:val="0"/>
          <w:w w:val="100"/>
          <w:position w:val="0"/>
          <w:highlight w:val="none"/>
        </w:rPr>
        <w:fldChar w:fldCharType="end"/>
      </w:r>
    </w:p>
    <w:p w14:paraId="4702FBD7">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_Toc16912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6.1施工期防治措施及其可行性论证</w:t>
      </w:r>
      <w:r>
        <w:rPr>
          <w:color w:val="auto"/>
          <w:spacing w:val="0"/>
        </w:rPr>
        <w:tab/>
      </w:r>
      <w:r>
        <w:rPr>
          <w:color w:val="auto"/>
          <w:spacing w:val="0"/>
        </w:rPr>
        <w:fldChar w:fldCharType="begin"/>
      </w:r>
      <w:r>
        <w:rPr>
          <w:color w:val="auto"/>
          <w:spacing w:val="0"/>
        </w:rPr>
        <w:instrText xml:space="preserve"> PAGEREF _Toc16912 \h </w:instrText>
      </w:r>
      <w:r>
        <w:rPr>
          <w:color w:val="auto"/>
          <w:spacing w:val="0"/>
        </w:rPr>
        <w:fldChar w:fldCharType="separate"/>
      </w:r>
      <w:r>
        <w:rPr>
          <w:color w:val="auto"/>
          <w:spacing w:val="0"/>
        </w:rPr>
        <w:t>126</w:t>
      </w:r>
      <w:r>
        <w:rPr>
          <w:color w:val="auto"/>
          <w:spacing w:val="0"/>
        </w:rPr>
        <w:fldChar w:fldCharType="end"/>
      </w:r>
      <w:r>
        <w:rPr>
          <w:color w:val="auto"/>
          <w:spacing w:val="0"/>
          <w:w w:val="100"/>
          <w:position w:val="0"/>
          <w:highlight w:val="none"/>
        </w:rPr>
        <w:fldChar w:fldCharType="end"/>
      </w:r>
    </w:p>
    <w:p w14:paraId="1EF341B7">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_Toc19836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6.2运营期污染防治措施及其可行性论证</w:t>
      </w:r>
      <w:r>
        <w:rPr>
          <w:color w:val="auto"/>
          <w:spacing w:val="0"/>
        </w:rPr>
        <w:tab/>
      </w:r>
      <w:r>
        <w:rPr>
          <w:color w:val="auto"/>
          <w:spacing w:val="0"/>
        </w:rPr>
        <w:fldChar w:fldCharType="begin"/>
      </w:r>
      <w:r>
        <w:rPr>
          <w:color w:val="auto"/>
          <w:spacing w:val="0"/>
        </w:rPr>
        <w:instrText xml:space="preserve"> PAGEREF _Toc19836 \h </w:instrText>
      </w:r>
      <w:r>
        <w:rPr>
          <w:color w:val="auto"/>
          <w:spacing w:val="0"/>
        </w:rPr>
        <w:fldChar w:fldCharType="separate"/>
      </w:r>
      <w:r>
        <w:rPr>
          <w:color w:val="auto"/>
          <w:spacing w:val="0"/>
        </w:rPr>
        <w:t>126</w:t>
      </w:r>
      <w:r>
        <w:rPr>
          <w:color w:val="auto"/>
          <w:spacing w:val="0"/>
        </w:rPr>
        <w:fldChar w:fldCharType="end"/>
      </w:r>
      <w:r>
        <w:rPr>
          <w:color w:val="auto"/>
          <w:spacing w:val="0"/>
          <w:w w:val="100"/>
          <w:position w:val="0"/>
          <w:highlight w:val="none"/>
        </w:rPr>
        <w:fldChar w:fldCharType="end"/>
      </w:r>
    </w:p>
    <w:p w14:paraId="7E77FF88">
      <w:pPr>
        <w:pStyle w:val="18"/>
        <w:keepNext w:val="0"/>
        <w:keepLines w:val="0"/>
        <w:pageBreakBefore w:val="0"/>
        <w:widowControl w:val="0"/>
        <w:tabs>
          <w:tab w:val="right" w:leader="dot" w:pos="8306"/>
        </w:tabs>
        <w:kinsoku/>
        <w:wordWrap/>
        <w:overflowPunct/>
        <w:topLinePunct w:val="0"/>
        <w:autoSpaceDE/>
        <w:autoSpaceDN/>
        <w:bidi w:val="0"/>
        <w:rPr>
          <w:b/>
          <w:bCs/>
          <w:color w:val="auto"/>
          <w:spacing w:val="0"/>
        </w:rPr>
      </w:pPr>
      <w:r>
        <w:rPr>
          <w:b/>
          <w:bCs/>
          <w:color w:val="auto"/>
          <w:spacing w:val="0"/>
          <w:w w:val="100"/>
          <w:position w:val="0"/>
          <w:highlight w:val="none"/>
        </w:rPr>
        <w:fldChar w:fldCharType="begin"/>
      </w:r>
      <w:r>
        <w:rPr>
          <w:b/>
          <w:bCs/>
          <w:color w:val="auto"/>
          <w:spacing w:val="0"/>
          <w:w w:val="100"/>
          <w:position w:val="0"/>
          <w:highlight w:val="none"/>
        </w:rPr>
        <w:instrText xml:space="preserve"> HYPERLINK \l _Toc1010 </w:instrText>
      </w:r>
      <w:r>
        <w:rPr>
          <w:b/>
          <w:bCs/>
          <w:color w:val="auto"/>
          <w:spacing w:val="0"/>
          <w:w w:val="100"/>
          <w:position w:val="0"/>
          <w:highlight w:val="none"/>
        </w:rPr>
        <w:fldChar w:fldCharType="separate"/>
      </w:r>
      <w:r>
        <w:rPr>
          <w:rFonts w:hint="default"/>
          <w:b/>
          <w:bCs/>
          <w:color w:val="auto"/>
          <w:spacing w:val="0"/>
          <w:w w:val="100"/>
          <w:position w:val="0"/>
          <w:highlight w:val="none"/>
          <w:lang w:val="en-US" w:eastAsia="zh-CN"/>
        </w:rPr>
        <w:t>7</w:t>
      </w:r>
      <w:r>
        <w:rPr>
          <w:rFonts w:hint="default"/>
          <w:b/>
          <w:bCs/>
          <w:color w:val="auto"/>
          <w:spacing w:val="0"/>
          <w:w w:val="100"/>
          <w:position w:val="0"/>
          <w:highlight w:val="none"/>
        </w:rPr>
        <w:t>环境影响经济损益分析</w:t>
      </w:r>
      <w:r>
        <w:rPr>
          <w:b/>
          <w:bCs/>
          <w:color w:val="auto"/>
          <w:spacing w:val="0"/>
        </w:rPr>
        <w:tab/>
      </w:r>
      <w:r>
        <w:rPr>
          <w:b/>
          <w:bCs/>
          <w:color w:val="auto"/>
          <w:spacing w:val="0"/>
        </w:rPr>
        <w:fldChar w:fldCharType="begin"/>
      </w:r>
      <w:r>
        <w:rPr>
          <w:b/>
          <w:bCs/>
          <w:color w:val="auto"/>
          <w:spacing w:val="0"/>
        </w:rPr>
        <w:instrText xml:space="preserve"> PAGEREF _Toc1010 \h </w:instrText>
      </w:r>
      <w:r>
        <w:rPr>
          <w:b/>
          <w:bCs/>
          <w:color w:val="auto"/>
          <w:spacing w:val="0"/>
        </w:rPr>
        <w:fldChar w:fldCharType="separate"/>
      </w:r>
      <w:r>
        <w:rPr>
          <w:b/>
          <w:bCs/>
          <w:color w:val="auto"/>
          <w:spacing w:val="0"/>
        </w:rPr>
        <w:t>147</w:t>
      </w:r>
      <w:r>
        <w:rPr>
          <w:b/>
          <w:bCs/>
          <w:color w:val="auto"/>
          <w:spacing w:val="0"/>
        </w:rPr>
        <w:fldChar w:fldCharType="end"/>
      </w:r>
      <w:r>
        <w:rPr>
          <w:b/>
          <w:bCs/>
          <w:color w:val="auto"/>
          <w:spacing w:val="0"/>
          <w:w w:val="100"/>
          <w:position w:val="0"/>
          <w:highlight w:val="none"/>
        </w:rPr>
        <w:fldChar w:fldCharType="end"/>
      </w:r>
    </w:p>
    <w:p w14:paraId="54573B31">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_Toc7953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7.1目的</w:t>
      </w:r>
      <w:r>
        <w:rPr>
          <w:color w:val="auto"/>
          <w:spacing w:val="0"/>
        </w:rPr>
        <w:tab/>
      </w:r>
      <w:r>
        <w:rPr>
          <w:color w:val="auto"/>
          <w:spacing w:val="0"/>
        </w:rPr>
        <w:fldChar w:fldCharType="begin"/>
      </w:r>
      <w:r>
        <w:rPr>
          <w:color w:val="auto"/>
          <w:spacing w:val="0"/>
        </w:rPr>
        <w:instrText xml:space="preserve"> PAGEREF _Toc7953 \h </w:instrText>
      </w:r>
      <w:r>
        <w:rPr>
          <w:color w:val="auto"/>
          <w:spacing w:val="0"/>
        </w:rPr>
        <w:fldChar w:fldCharType="separate"/>
      </w:r>
      <w:r>
        <w:rPr>
          <w:color w:val="auto"/>
          <w:spacing w:val="0"/>
        </w:rPr>
        <w:t>147</w:t>
      </w:r>
      <w:r>
        <w:rPr>
          <w:color w:val="auto"/>
          <w:spacing w:val="0"/>
        </w:rPr>
        <w:fldChar w:fldCharType="end"/>
      </w:r>
      <w:r>
        <w:rPr>
          <w:color w:val="auto"/>
          <w:spacing w:val="0"/>
          <w:w w:val="100"/>
          <w:position w:val="0"/>
          <w:highlight w:val="none"/>
        </w:rPr>
        <w:fldChar w:fldCharType="end"/>
      </w:r>
    </w:p>
    <w:p w14:paraId="628E98F0">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_Toc30753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7.2环境损益分析</w:t>
      </w:r>
      <w:r>
        <w:rPr>
          <w:color w:val="auto"/>
          <w:spacing w:val="0"/>
        </w:rPr>
        <w:tab/>
      </w:r>
      <w:r>
        <w:rPr>
          <w:color w:val="auto"/>
          <w:spacing w:val="0"/>
        </w:rPr>
        <w:fldChar w:fldCharType="begin"/>
      </w:r>
      <w:r>
        <w:rPr>
          <w:color w:val="auto"/>
          <w:spacing w:val="0"/>
        </w:rPr>
        <w:instrText xml:space="preserve"> PAGEREF _Toc30753 \h </w:instrText>
      </w:r>
      <w:r>
        <w:rPr>
          <w:color w:val="auto"/>
          <w:spacing w:val="0"/>
        </w:rPr>
        <w:fldChar w:fldCharType="separate"/>
      </w:r>
      <w:r>
        <w:rPr>
          <w:color w:val="auto"/>
          <w:spacing w:val="0"/>
        </w:rPr>
        <w:t>147</w:t>
      </w:r>
      <w:r>
        <w:rPr>
          <w:color w:val="auto"/>
          <w:spacing w:val="0"/>
        </w:rPr>
        <w:fldChar w:fldCharType="end"/>
      </w:r>
      <w:r>
        <w:rPr>
          <w:color w:val="auto"/>
          <w:spacing w:val="0"/>
          <w:w w:val="100"/>
          <w:position w:val="0"/>
          <w:highlight w:val="none"/>
        </w:rPr>
        <w:fldChar w:fldCharType="end"/>
      </w:r>
    </w:p>
    <w:p w14:paraId="5AA5308D">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_Toc31704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7.3环境经济效益分析</w:t>
      </w:r>
      <w:r>
        <w:rPr>
          <w:color w:val="auto"/>
          <w:spacing w:val="0"/>
        </w:rPr>
        <w:tab/>
      </w:r>
      <w:r>
        <w:rPr>
          <w:color w:val="auto"/>
          <w:spacing w:val="0"/>
        </w:rPr>
        <w:fldChar w:fldCharType="begin"/>
      </w:r>
      <w:r>
        <w:rPr>
          <w:color w:val="auto"/>
          <w:spacing w:val="0"/>
        </w:rPr>
        <w:instrText xml:space="preserve"> PAGEREF _Toc31704 \h </w:instrText>
      </w:r>
      <w:r>
        <w:rPr>
          <w:color w:val="auto"/>
          <w:spacing w:val="0"/>
        </w:rPr>
        <w:fldChar w:fldCharType="separate"/>
      </w:r>
      <w:r>
        <w:rPr>
          <w:color w:val="auto"/>
          <w:spacing w:val="0"/>
        </w:rPr>
        <w:t>148</w:t>
      </w:r>
      <w:r>
        <w:rPr>
          <w:color w:val="auto"/>
          <w:spacing w:val="0"/>
        </w:rPr>
        <w:fldChar w:fldCharType="end"/>
      </w:r>
      <w:r>
        <w:rPr>
          <w:color w:val="auto"/>
          <w:spacing w:val="0"/>
          <w:w w:val="100"/>
          <w:position w:val="0"/>
          <w:highlight w:val="none"/>
        </w:rPr>
        <w:fldChar w:fldCharType="end"/>
      </w:r>
    </w:p>
    <w:p w14:paraId="2F258E0A">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_Toc22896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7.4社会效益</w:t>
      </w:r>
      <w:r>
        <w:rPr>
          <w:color w:val="auto"/>
          <w:spacing w:val="0"/>
        </w:rPr>
        <w:tab/>
      </w:r>
      <w:r>
        <w:rPr>
          <w:color w:val="auto"/>
          <w:spacing w:val="0"/>
        </w:rPr>
        <w:fldChar w:fldCharType="begin"/>
      </w:r>
      <w:r>
        <w:rPr>
          <w:color w:val="auto"/>
          <w:spacing w:val="0"/>
        </w:rPr>
        <w:instrText xml:space="preserve"> PAGEREF _Toc22896 \h </w:instrText>
      </w:r>
      <w:r>
        <w:rPr>
          <w:color w:val="auto"/>
          <w:spacing w:val="0"/>
        </w:rPr>
        <w:fldChar w:fldCharType="separate"/>
      </w:r>
      <w:r>
        <w:rPr>
          <w:color w:val="auto"/>
          <w:spacing w:val="0"/>
        </w:rPr>
        <w:t>148</w:t>
      </w:r>
      <w:r>
        <w:rPr>
          <w:color w:val="auto"/>
          <w:spacing w:val="0"/>
        </w:rPr>
        <w:fldChar w:fldCharType="end"/>
      </w:r>
      <w:r>
        <w:rPr>
          <w:color w:val="auto"/>
          <w:spacing w:val="0"/>
          <w:w w:val="100"/>
          <w:position w:val="0"/>
          <w:highlight w:val="none"/>
        </w:rPr>
        <w:fldChar w:fldCharType="end"/>
      </w:r>
    </w:p>
    <w:p w14:paraId="6B80BC94">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_Toc1572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7.5环境影响经济损益分析</w:t>
      </w:r>
      <w:r>
        <w:rPr>
          <w:color w:val="auto"/>
          <w:spacing w:val="0"/>
        </w:rPr>
        <w:tab/>
      </w:r>
      <w:r>
        <w:rPr>
          <w:color w:val="auto"/>
          <w:spacing w:val="0"/>
        </w:rPr>
        <w:fldChar w:fldCharType="begin"/>
      </w:r>
      <w:r>
        <w:rPr>
          <w:color w:val="auto"/>
          <w:spacing w:val="0"/>
        </w:rPr>
        <w:instrText xml:space="preserve"> PAGEREF _Toc1572 \h </w:instrText>
      </w:r>
      <w:r>
        <w:rPr>
          <w:color w:val="auto"/>
          <w:spacing w:val="0"/>
        </w:rPr>
        <w:fldChar w:fldCharType="separate"/>
      </w:r>
      <w:r>
        <w:rPr>
          <w:color w:val="auto"/>
          <w:spacing w:val="0"/>
        </w:rPr>
        <w:t>148</w:t>
      </w:r>
      <w:r>
        <w:rPr>
          <w:color w:val="auto"/>
          <w:spacing w:val="0"/>
        </w:rPr>
        <w:fldChar w:fldCharType="end"/>
      </w:r>
      <w:r>
        <w:rPr>
          <w:color w:val="auto"/>
          <w:spacing w:val="0"/>
          <w:w w:val="100"/>
          <w:position w:val="0"/>
          <w:highlight w:val="none"/>
        </w:rPr>
        <w:fldChar w:fldCharType="end"/>
      </w:r>
    </w:p>
    <w:p w14:paraId="1DCA2181">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_Toc28805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7.6小结</w:t>
      </w:r>
      <w:r>
        <w:rPr>
          <w:color w:val="auto"/>
          <w:spacing w:val="0"/>
        </w:rPr>
        <w:tab/>
      </w:r>
      <w:r>
        <w:rPr>
          <w:color w:val="auto"/>
          <w:spacing w:val="0"/>
        </w:rPr>
        <w:fldChar w:fldCharType="begin"/>
      </w:r>
      <w:r>
        <w:rPr>
          <w:color w:val="auto"/>
          <w:spacing w:val="0"/>
        </w:rPr>
        <w:instrText xml:space="preserve"> PAGEREF _Toc28805 \h </w:instrText>
      </w:r>
      <w:r>
        <w:rPr>
          <w:color w:val="auto"/>
          <w:spacing w:val="0"/>
        </w:rPr>
        <w:fldChar w:fldCharType="separate"/>
      </w:r>
      <w:r>
        <w:rPr>
          <w:color w:val="auto"/>
          <w:spacing w:val="0"/>
        </w:rPr>
        <w:t>149</w:t>
      </w:r>
      <w:r>
        <w:rPr>
          <w:color w:val="auto"/>
          <w:spacing w:val="0"/>
        </w:rPr>
        <w:fldChar w:fldCharType="end"/>
      </w:r>
      <w:r>
        <w:rPr>
          <w:color w:val="auto"/>
          <w:spacing w:val="0"/>
          <w:w w:val="100"/>
          <w:position w:val="0"/>
          <w:highlight w:val="none"/>
        </w:rPr>
        <w:fldChar w:fldCharType="end"/>
      </w:r>
    </w:p>
    <w:p w14:paraId="3CFBB854">
      <w:pPr>
        <w:pStyle w:val="18"/>
        <w:keepNext w:val="0"/>
        <w:keepLines w:val="0"/>
        <w:pageBreakBefore w:val="0"/>
        <w:widowControl w:val="0"/>
        <w:tabs>
          <w:tab w:val="right" w:leader="dot" w:pos="8306"/>
        </w:tabs>
        <w:kinsoku/>
        <w:wordWrap/>
        <w:overflowPunct/>
        <w:topLinePunct w:val="0"/>
        <w:autoSpaceDE/>
        <w:autoSpaceDN/>
        <w:bidi w:val="0"/>
        <w:rPr>
          <w:b/>
          <w:bCs/>
          <w:color w:val="auto"/>
          <w:spacing w:val="0"/>
        </w:rPr>
      </w:pPr>
      <w:r>
        <w:rPr>
          <w:b/>
          <w:bCs/>
          <w:color w:val="auto"/>
          <w:spacing w:val="0"/>
          <w:w w:val="100"/>
          <w:position w:val="0"/>
          <w:highlight w:val="none"/>
        </w:rPr>
        <w:fldChar w:fldCharType="begin"/>
      </w:r>
      <w:r>
        <w:rPr>
          <w:b/>
          <w:bCs/>
          <w:color w:val="auto"/>
          <w:spacing w:val="0"/>
          <w:w w:val="100"/>
          <w:position w:val="0"/>
          <w:highlight w:val="none"/>
        </w:rPr>
        <w:instrText xml:space="preserve"> HYPERLINK \l _Toc23832 </w:instrText>
      </w:r>
      <w:r>
        <w:rPr>
          <w:b/>
          <w:bCs/>
          <w:color w:val="auto"/>
          <w:spacing w:val="0"/>
          <w:w w:val="100"/>
          <w:position w:val="0"/>
          <w:highlight w:val="none"/>
        </w:rPr>
        <w:fldChar w:fldCharType="separate"/>
      </w:r>
      <w:r>
        <w:rPr>
          <w:rFonts w:hint="default"/>
          <w:b/>
          <w:bCs/>
          <w:color w:val="auto"/>
          <w:spacing w:val="0"/>
          <w:w w:val="100"/>
          <w:position w:val="0"/>
          <w:highlight w:val="none"/>
          <w:lang w:val="en-US" w:eastAsia="zh-CN"/>
        </w:rPr>
        <w:t>8</w:t>
      </w:r>
      <w:r>
        <w:rPr>
          <w:rFonts w:hint="default"/>
          <w:b/>
          <w:bCs/>
          <w:color w:val="auto"/>
          <w:spacing w:val="0"/>
          <w:w w:val="100"/>
          <w:position w:val="0"/>
          <w:highlight w:val="none"/>
        </w:rPr>
        <w:t>环境管理与监测计划</w:t>
      </w:r>
      <w:r>
        <w:rPr>
          <w:b/>
          <w:bCs/>
          <w:color w:val="auto"/>
          <w:spacing w:val="0"/>
        </w:rPr>
        <w:tab/>
      </w:r>
      <w:r>
        <w:rPr>
          <w:b/>
          <w:bCs/>
          <w:color w:val="auto"/>
          <w:spacing w:val="0"/>
        </w:rPr>
        <w:fldChar w:fldCharType="begin"/>
      </w:r>
      <w:r>
        <w:rPr>
          <w:b/>
          <w:bCs/>
          <w:color w:val="auto"/>
          <w:spacing w:val="0"/>
        </w:rPr>
        <w:instrText xml:space="preserve"> PAGEREF _Toc23832 \h </w:instrText>
      </w:r>
      <w:r>
        <w:rPr>
          <w:b/>
          <w:bCs/>
          <w:color w:val="auto"/>
          <w:spacing w:val="0"/>
        </w:rPr>
        <w:fldChar w:fldCharType="separate"/>
      </w:r>
      <w:r>
        <w:rPr>
          <w:b/>
          <w:bCs/>
          <w:color w:val="auto"/>
          <w:spacing w:val="0"/>
        </w:rPr>
        <w:t>150</w:t>
      </w:r>
      <w:r>
        <w:rPr>
          <w:b/>
          <w:bCs/>
          <w:color w:val="auto"/>
          <w:spacing w:val="0"/>
        </w:rPr>
        <w:fldChar w:fldCharType="end"/>
      </w:r>
      <w:r>
        <w:rPr>
          <w:b/>
          <w:bCs/>
          <w:color w:val="auto"/>
          <w:spacing w:val="0"/>
          <w:w w:val="100"/>
          <w:position w:val="0"/>
          <w:highlight w:val="none"/>
        </w:rPr>
        <w:fldChar w:fldCharType="end"/>
      </w:r>
    </w:p>
    <w:p w14:paraId="04B97D4F">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_Toc23721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8.1环境管理</w:t>
      </w:r>
      <w:r>
        <w:rPr>
          <w:color w:val="auto"/>
          <w:spacing w:val="0"/>
        </w:rPr>
        <w:tab/>
      </w:r>
      <w:r>
        <w:rPr>
          <w:color w:val="auto"/>
          <w:spacing w:val="0"/>
        </w:rPr>
        <w:fldChar w:fldCharType="begin"/>
      </w:r>
      <w:r>
        <w:rPr>
          <w:color w:val="auto"/>
          <w:spacing w:val="0"/>
        </w:rPr>
        <w:instrText xml:space="preserve"> PAGEREF _Toc23721 \h </w:instrText>
      </w:r>
      <w:r>
        <w:rPr>
          <w:color w:val="auto"/>
          <w:spacing w:val="0"/>
        </w:rPr>
        <w:fldChar w:fldCharType="separate"/>
      </w:r>
      <w:r>
        <w:rPr>
          <w:color w:val="auto"/>
          <w:spacing w:val="0"/>
        </w:rPr>
        <w:t>150</w:t>
      </w:r>
      <w:r>
        <w:rPr>
          <w:color w:val="auto"/>
          <w:spacing w:val="0"/>
        </w:rPr>
        <w:fldChar w:fldCharType="end"/>
      </w:r>
      <w:r>
        <w:rPr>
          <w:color w:val="auto"/>
          <w:spacing w:val="0"/>
          <w:w w:val="100"/>
          <w:position w:val="0"/>
          <w:highlight w:val="none"/>
        </w:rPr>
        <w:fldChar w:fldCharType="end"/>
      </w:r>
    </w:p>
    <w:p w14:paraId="645206A2">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_Toc29897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8.2环境监测计划</w:t>
      </w:r>
      <w:r>
        <w:rPr>
          <w:color w:val="auto"/>
          <w:spacing w:val="0"/>
        </w:rPr>
        <w:tab/>
      </w:r>
      <w:r>
        <w:rPr>
          <w:color w:val="auto"/>
          <w:spacing w:val="0"/>
        </w:rPr>
        <w:fldChar w:fldCharType="begin"/>
      </w:r>
      <w:r>
        <w:rPr>
          <w:color w:val="auto"/>
          <w:spacing w:val="0"/>
        </w:rPr>
        <w:instrText xml:space="preserve"> PAGEREF _Toc29897 \h </w:instrText>
      </w:r>
      <w:r>
        <w:rPr>
          <w:color w:val="auto"/>
          <w:spacing w:val="0"/>
        </w:rPr>
        <w:fldChar w:fldCharType="separate"/>
      </w:r>
      <w:r>
        <w:rPr>
          <w:color w:val="auto"/>
          <w:spacing w:val="0"/>
        </w:rPr>
        <w:t>161</w:t>
      </w:r>
      <w:r>
        <w:rPr>
          <w:color w:val="auto"/>
          <w:spacing w:val="0"/>
        </w:rPr>
        <w:fldChar w:fldCharType="end"/>
      </w:r>
      <w:r>
        <w:rPr>
          <w:color w:val="auto"/>
          <w:spacing w:val="0"/>
          <w:w w:val="100"/>
          <w:position w:val="0"/>
          <w:highlight w:val="none"/>
        </w:rPr>
        <w:fldChar w:fldCharType="end"/>
      </w:r>
    </w:p>
    <w:p w14:paraId="53D14953">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_Toc29666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8.3总量控制</w:t>
      </w:r>
      <w:r>
        <w:rPr>
          <w:color w:val="auto"/>
          <w:spacing w:val="0"/>
        </w:rPr>
        <w:tab/>
      </w:r>
      <w:r>
        <w:rPr>
          <w:color w:val="auto"/>
          <w:spacing w:val="0"/>
        </w:rPr>
        <w:fldChar w:fldCharType="begin"/>
      </w:r>
      <w:r>
        <w:rPr>
          <w:color w:val="auto"/>
          <w:spacing w:val="0"/>
        </w:rPr>
        <w:instrText xml:space="preserve"> PAGEREF _Toc29666 \h </w:instrText>
      </w:r>
      <w:r>
        <w:rPr>
          <w:color w:val="auto"/>
          <w:spacing w:val="0"/>
        </w:rPr>
        <w:fldChar w:fldCharType="separate"/>
      </w:r>
      <w:r>
        <w:rPr>
          <w:color w:val="auto"/>
          <w:spacing w:val="0"/>
        </w:rPr>
        <w:t>162</w:t>
      </w:r>
      <w:r>
        <w:rPr>
          <w:color w:val="auto"/>
          <w:spacing w:val="0"/>
        </w:rPr>
        <w:fldChar w:fldCharType="end"/>
      </w:r>
      <w:r>
        <w:rPr>
          <w:color w:val="auto"/>
          <w:spacing w:val="0"/>
          <w:w w:val="100"/>
          <w:position w:val="0"/>
          <w:highlight w:val="none"/>
        </w:rPr>
        <w:fldChar w:fldCharType="end"/>
      </w:r>
    </w:p>
    <w:p w14:paraId="46E5DE95">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_Toc15451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8.4排污许可管理</w:t>
      </w:r>
      <w:r>
        <w:rPr>
          <w:color w:val="auto"/>
          <w:spacing w:val="0"/>
        </w:rPr>
        <w:tab/>
      </w:r>
      <w:r>
        <w:rPr>
          <w:color w:val="auto"/>
          <w:spacing w:val="0"/>
        </w:rPr>
        <w:fldChar w:fldCharType="begin"/>
      </w:r>
      <w:r>
        <w:rPr>
          <w:color w:val="auto"/>
          <w:spacing w:val="0"/>
        </w:rPr>
        <w:instrText xml:space="preserve"> PAGEREF _Toc15451 \h </w:instrText>
      </w:r>
      <w:r>
        <w:rPr>
          <w:color w:val="auto"/>
          <w:spacing w:val="0"/>
        </w:rPr>
        <w:fldChar w:fldCharType="separate"/>
      </w:r>
      <w:r>
        <w:rPr>
          <w:color w:val="auto"/>
          <w:spacing w:val="0"/>
        </w:rPr>
        <w:t>163</w:t>
      </w:r>
      <w:r>
        <w:rPr>
          <w:color w:val="auto"/>
          <w:spacing w:val="0"/>
        </w:rPr>
        <w:fldChar w:fldCharType="end"/>
      </w:r>
      <w:r>
        <w:rPr>
          <w:color w:val="auto"/>
          <w:spacing w:val="0"/>
          <w:w w:val="100"/>
          <w:position w:val="0"/>
          <w:highlight w:val="none"/>
        </w:rPr>
        <w:fldChar w:fldCharType="end"/>
      </w:r>
    </w:p>
    <w:p w14:paraId="5E3DD58A">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_Toc32020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8.5贯彻执行“三同时”制度</w:t>
      </w:r>
      <w:r>
        <w:rPr>
          <w:color w:val="auto"/>
          <w:spacing w:val="0"/>
        </w:rPr>
        <w:tab/>
      </w:r>
      <w:r>
        <w:rPr>
          <w:color w:val="auto"/>
          <w:spacing w:val="0"/>
        </w:rPr>
        <w:fldChar w:fldCharType="begin"/>
      </w:r>
      <w:r>
        <w:rPr>
          <w:color w:val="auto"/>
          <w:spacing w:val="0"/>
        </w:rPr>
        <w:instrText xml:space="preserve"> PAGEREF _Toc32020 \h </w:instrText>
      </w:r>
      <w:r>
        <w:rPr>
          <w:color w:val="auto"/>
          <w:spacing w:val="0"/>
        </w:rPr>
        <w:fldChar w:fldCharType="separate"/>
      </w:r>
      <w:r>
        <w:rPr>
          <w:color w:val="auto"/>
          <w:spacing w:val="0"/>
        </w:rPr>
        <w:t>163</w:t>
      </w:r>
      <w:r>
        <w:rPr>
          <w:color w:val="auto"/>
          <w:spacing w:val="0"/>
        </w:rPr>
        <w:fldChar w:fldCharType="end"/>
      </w:r>
      <w:r>
        <w:rPr>
          <w:color w:val="auto"/>
          <w:spacing w:val="0"/>
          <w:w w:val="100"/>
          <w:position w:val="0"/>
          <w:highlight w:val="none"/>
        </w:rPr>
        <w:fldChar w:fldCharType="end"/>
      </w:r>
    </w:p>
    <w:p w14:paraId="0682F5D8">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_Toc27183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8.6排污口规范化管理</w:t>
      </w:r>
      <w:r>
        <w:rPr>
          <w:color w:val="auto"/>
          <w:spacing w:val="0"/>
        </w:rPr>
        <w:tab/>
      </w:r>
      <w:r>
        <w:rPr>
          <w:color w:val="auto"/>
          <w:spacing w:val="0"/>
        </w:rPr>
        <w:fldChar w:fldCharType="begin"/>
      </w:r>
      <w:r>
        <w:rPr>
          <w:color w:val="auto"/>
          <w:spacing w:val="0"/>
        </w:rPr>
        <w:instrText xml:space="preserve"> PAGEREF _Toc27183 \h </w:instrText>
      </w:r>
      <w:r>
        <w:rPr>
          <w:color w:val="auto"/>
          <w:spacing w:val="0"/>
        </w:rPr>
        <w:fldChar w:fldCharType="separate"/>
      </w:r>
      <w:r>
        <w:rPr>
          <w:color w:val="auto"/>
          <w:spacing w:val="0"/>
        </w:rPr>
        <w:t>165</w:t>
      </w:r>
      <w:r>
        <w:rPr>
          <w:color w:val="auto"/>
          <w:spacing w:val="0"/>
        </w:rPr>
        <w:fldChar w:fldCharType="end"/>
      </w:r>
      <w:r>
        <w:rPr>
          <w:color w:val="auto"/>
          <w:spacing w:val="0"/>
          <w:w w:val="100"/>
          <w:position w:val="0"/>
          <w:highlight w:val="none"/>
        </w:rPr>
        <w:fldChar w:fldCharType="end"/>
      </w:r>
    </w:p>
    <w:p w14:paraId="0F63A919">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_Toc23551 </w:instrText>
      </w:r>
      <w:r>
        <w:rPr>
          <w:color w:val="auto"/>
          <w:spacing w:val="0"/>
          <w:w w:val="100"/>
          <w:position w:val="0"/>
          <w:highlight w:val="none"/>
        </w:rPr>
        <w:fldChar w:fldCharType="separate"/>
      </w:r>
      <w:r>
        <w:rPr>
          <w:rFonts w:hint="default" w:eastAsia="宋体"/>
          <w:color w:val="auto"/>
          <w:spacing w:val="0"/>
          <w:w w:val="100"/>
          <w:position w:val="0"/>
          <w:highlight w:val="none"/>
          <w:lang w:val="en-US" w:eastAsia="zh-CN"/>
        </w:rPr>
        <w:t>8.</w:t>
      </w:r>
      <w:r>
        <w:rPr>
          <w:rFonts w:hint="eastAsia" w:eastAsia="宋体"/>
          <w:color w:val="auto"/>
          <w:spacing w:val="0"/>
          <w:w w:val="100"/>
          <w:position w:val="0"/>
          <w:highlight w:val="none"/>
          <w:lang w:val="en-US" w:eastAsia="zh"/>
        </w:rPr>
        <w:t>7</w:t>
      </w:r>
      <w:r>
        <w:rPr>
          <w:rFonts w:hint="eastAsia" w:eastAsia="宋体"/>
          <w:color w:val="auto"/>
          <w:spacing w:val="0"/>
          <w:w w:val="100"/>
          <w:position w:val="0"/>
          <w:highlight w:val="none"/>
          <w:lang w:val="en-US" w:eastAsia="zh-CN"/>
        </w:rPr>
        <w:t>与排污许可证制度衔接的要求</w:t>
      </w:r>
      <w:r>
        <w:rPr>
          <w:color w:val="auto"/>
          <w:spacing w:val="0"/>
        </w:rPr>
        <w:tab/>
      </w:r>
      <w:r>
        <w:rPr>
          <w:color w:val="auto"/>
          <w:spacing w:val="0"/>
        </w:rPr>
        <w:fldChar w:fldCharType="begin"/>
      </w:r>
      <w:r>
        <w:rPr>
          <w:color w:val="auto"/>
          <w:spacing w:val="0"/>
        </w:rPr>
        <w:instrText xml:space="preserve"> PAGEREF _Toc23551 \h </w:instrText>
      </w:r>
      <w:r>
        <w:rPr>
          <w:color w:val="auto"/>
          <w:spacing w:val="0"/>
        </w:rPr>
        <w:fldChar w:fldCharType="separate"/>
      </w:r>
      <w:r>
        <w:rPr>
          <w:color w:val="auto"/>
          <w:spacing w:val="0"/>
        </w:rPr>
        <w:t>167</w:t>
      </w:r>
      <w:r>
        <w:rPr>
          <w:color w:val="auto"/>
          <w:spacing w:val="0"/>
        </w:rPr>
        <w:fldChar w:fldCharType="end"/>
      </w:r>
      <w:r>
        <w:rPr>
          <w:color w:val="auto"/>
          <w:spacing w:val="0"/>
          <w:w w:val="100"/>
          <w:position w:val="0"/>
          <w:highlight w:val="none"/>
        </w:rPr>
        <w:fldChar w:fldCharType="end"/>
      </w:r>
    </w:p>
    <w:p w14:paraId="57A3BC97">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_Toc18010 </w:instrText>
      </w:r>
      <w:r>
        <w:rPr>
          <w:color w:val="auto"/>
          <w:spacing w:val="0"/>
          <w:w w:val="100"/>
          <w:position w:val="0"/>
          <w:highlight w:val="none"/>
        </w:rPr>
        <w:fldChar w:fldCharType="separate"/>
      </w:r>
      <w:r>
        <w:rPr>
          <w:rFonts w:hint="default"/>
          <w:color w:val="auto"/>
          <w:spacing w:val="0"/>
          <w:w w:val="100"/>
          <w:position w:val="0"/>
        </w:rPr>
        <w:t>8.</w:t>
      </w:r>
      <w:r>
        <w:rPr>
          <w:rFonts w:hint="eastAsia"/>
          <w:color w:val="auto"/>
          <w:spacing w:val="0"/>
          <w:w w:val="100"/>
          <w:position w:val="0"/>
          <w:lang w:eastAsia="zh"/>
        </w:rPr>
        <w:t>8</w:t>
      </w:r>
      <w:r>
        <w:rPr>
          <w:rFonts w:hint="default"/>
          <w:color w:val="auto"/>
          <w:spacing w:val="0"/>
          <w:w w:val="100"/>
          <w:position w:val="0"/>
        </w:rPr>
        <w:t>污染物排放清单</w:t>
      </w:r>
      <w:r>
        <w:rPr>
          <w:color w:val="auto"/>
          <w:spacing w:val="0"/>
        </w:rPr>
        <w:tab/>
      </w:r>
      <w:r>
        <w:rPr>
          <w:color w:val="auto"/>
          <w:spacing w:val="0"/>
        </w:rPr>
        <w:fldChar w:fldCharType="begin"/>
      </w:r>
      <w:r>
        <w:rPr>
          <w:color w:val="auto"/>
          <w:spacing w:val="0"/>
        </w:rPr>
        <w:instrText xml:space="preserve"> PAGEREF _Toc18010 \h </w:instrText>
      </w:r>
      <w:r>
        <w:rPr>
          <w:color w:val="auto"/>
          <w:spacing w:val="0"/>
        </w:rPr>
        <w:fldChar w:fldCharType="separate"/>
      </w:r>
      <w:r>
        <w:rPr>
          <w:color w:val="auto"/>
          <w:spacing w:val="0"/>
        </w:rPr>
        <w:t>170</w:t>
      </w:r>
      <w:r>
        <w:rPr>
          <w:color w:val="auto"/>
          <w:spacing w:val="0"/>
        </w:rPr>
        <w:fldChar w:fldCharType="end"/>
      </w:r>
      <w:r>
        <w:rPr>
          <w:color w:val="auto"/>
          <w:spacing w:val="0"/>
          <w:w w:val="100"/>
          <w:position w:val="0"/>
          <w:highlight w:val="none"/>
        </w:rPr>
        <w:fldChar w:fldCharType="end"/>
      </w:r>
    </w:p>
    <w:p w14:paraId="26ED937F">
      <w:pPr>
        <w:pStyle w:val="18"/>
        <w:keepNext w:val="0"/>
        <w:keepLines w:val="0"/>
        <w:pageBreakBefore w:val="0"/>
        <w:widowControl w:val="0"/>
        <w:tabs>
          <w:tab w:val="right" w:leader="dot" w:pos="8306"/>
        </w:tabs>
        <w:kinsoku/>
        <w:wordWrap/>
        <w:overflowPunct/>
        <w:topLinePunct w:val="0"/>
        <w:autoSpaceDE/>
        <w:autoSpaceDN/>
        <w:bidi w:val="0"/>
        <w:rPr>
          <w:b/>
          <w:bCs/>
          <w:color w:val="auto"/>
          <w:spacing w:val="0"/>
        </w:rPr>
      </w:pPr>
      <w:r>
        <w:rPr>
          <w:b/>
          <w:bCs/>
          <w:color w:val="auto"/>
          <w:spacing w:val="0"/>
          <w:w w:val="100"/>
          <w:position w:val="0"/>
          <w:highlight w:val="none"/>
        </w:rPr>
        <w:fldChar w:fldCharType="begin"/>
      </w:r>
      <w:r>
        <w:rPr>
          <w:b/>
          <w:bCs/>
          <w:color w:val="auto"/>
          <w:spacing w:val="0"/>
          <w:w w:val="100"/>
          <w:position w:val="0"/>
          <w:highlight w:val="none"/>
        </w:rPr>
        <w:instrText xml:space="preserve"> HYPERLINK \l _Toc18001 </w:instrText>
      </w:r>
      <w:r>
        <w:rPr>
          <w:b/>
          <w:bCs/>
          <w:color w:val="auto"/>
          <w:spacing w:val="0"/>
          <w:w w:val="100"/>
          <w:position w:val="0"/>
          <w:highlight w:val="none"/>
        </w:rPr>
        <w:fldChar w:fldCharType="separate"/>
      </w:r>
      <w:r>
        <w:rPr>
          <w:rFonts w:hint="default"/>
          <w:b/>
          <w:bCs/>
          <w:color w:val="auto"/>
          <w:spacing w:val="0"/>
          <w:w w:val="100"/>
          <w:position w:val="0"/>
          <w:highlight w:val="none"/>
        </w:rPr>
        <w:t>9环境影响评价结论</w:t>
      </w:r>
      <w:r>
        <w:rPr>
          <w:b/>
          <w:bCs/>
          <w:color w:val="auto"/>
          <w:spacing w:val="0"/>
        </w:rPr>
        <w:tab/>
      </w:r>
      <w:r>
        <w:rPr>
          <w:b/>
          <w:bCs/>
          <w:color w:val="auto"/>
          <w:spacing w:val="0"/>
        </w:rPr>
        <w:fldChar w:fldCharType="begin"/>
      </w:r>
      <w:r>
        <w:rPr>
          <w:b/>
          <w:bCs/>
          <w:color w:val="auto"/>
          <w:spacing w:val="0"/>
        </w:rPr>
        <w:instrText xml:space="preserve"> PAGEREF _Toc18001 \h </w:instrText>
      </w:r>
      <w:r>
        <w:rPr>
          <w:b/>
          <w:bCs/>
          <w:color w:val="auto"/>
          <w:spacing w:val="0"/>
        </w:rPr>
        <w:fldChar w:fldCharType="separate"/>
      </w:r>
      <w:r>
        <w:rPr>
          <w:b/>
          <w:bCs/>
          <w:color w:val="auto"/>
          <w:spacing w:val="0"/>
        </w:rPr>
        <w:t>173</w:t>
      </w:r>
      <w:r>
        <w:rPr>
          <w:b/>
          <w:bCs/>
          <w:color w:val="auto"/>
          <w:spacing w:val="0"/>
        </w:rPr>
        <w:fldChar w:fldCharType="end"/>
      </w:r>
      <w:r>
        <w:rPr>
          <w:b/>
          <w:bCs/>
          <w:color w:val="auto"/>
          <w:spacing w:val="0"/>
          <w:w w:val="100"/>
          <w:position w:val="0"/>
          <w:highlight w:val="none"/>
        </w:rPr>
        <w:fldChar w:fldCharType="end"/>
      </w:r>
    </w:p>
    <w:p w14:paraId="023874A9">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_Toc19968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9.1建设项目概况</w:t>
      </w:r>
      <w:r>
        <w:rPr>
          <w:color w:val="auto"/>
          <w:spacing w:val="0"/>
        </w:rPr>
        <w:tab/>
      </w:r>
      <w:r>
        <w:rPr>
          <w:color w:val="auto"/>
          <w:spacing w:val="0"/>
        </w:rPr>
        <w:fldChar w:fldCharType="begin"/>
      </w:r>
      <w:r>
        <w:rPr>
          <w:color w:val="auto"/>
          <w:spacing w:val="0"/>
        </w:rPr>
        <w:instrText xml:space="preserve"> PAGEREF _Toc19968 \h </w:instrText>
      </w:r>
      <w:r>
        <w:rPr>
          <w:color w:val="auto"/>
          <w:spacing w:val="0"/>
        </w:rPr>
        <w:fldChar w:fldCharType="separate"/>
      </w:r>
      <w:r>
        <w:rPr>
          <w:color w:val="auto"/>
          <w:spacing w:val="0"/>
        </w:rPr>
        <w:t>173</w:t>
      </w:r>
      <w:r>
        <w:rPr>
          <w:color w:val="auto"/>
          <w:spacing w:val="0"/>
        </w:rPr>
        <w:fldChar w:fldCharType="end"/>
      </w:r>
      <w:r>
        <w:rPr>
          <w:color w:val="auto"/>
          <w:spacing w:val="0"/>
          <w:w w:val="100"/>
          <w:position w:val="0"/>
          <w:highlight w:val="none"/>
        </w:rPr>
        <w:fldChar w:fldCharType="end"/>
      </w:r>
    </w:p>
    <w:p w14:paraId="50F630A6">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_Toc4649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9.2环境质量现状评价结论</w:t>
      </w:r>
      <w:r>
        <w:rPr>
          <w:color w:val="auto"/>
          <w:spacing w:val="0"/>
        </w:rPr>
        <w:tab/>
      </w:r>
      <w:r>
        <w:rPr>
          <w:color w:val="auto"/>
          <w:spacing w:val="0"/>
        </w:rPr>
        <w:fldChar w:fldCharType="begin"/>
      </w:r>
      <w:r>
        <w:rPr>
          <w:color w:val="auto"/>
          <w:spacing w:val="0"/>
        </w:rPr>
        <w:instrText xml:space="preserve"> PAGEREF _Toc4649 \h </w:instrText>
      </w:r>
      <w:r>
        <w:rPr>
          <w:color w:val="auto"/>
          <w:spacing w:val="0"/>
        </w:rPr>
        <w:fldChar w:fldCharType="separate"/>
      </w:r>
      <w:r>
        <w:rPr>
          <w:color w:val="auto"/>
          <w:spacing w:val="0"/>
        </w:rPr>
        <w:t>173</w:t>
      </w:r>
      <w:r>
        <w:rPr>
          <w:color w:val="auto"/>
          <w:spacing w:val="0"/>
        </w:rPr>
        <w:fldChar w:fldCharType="end"/>
      </w:r>
      <w:r>
        <w:rPr>
          <w:color w:val="auto"/>
          <w:spacing w:val="0"/>
          <w:w w:val="100"/>
          <w:position w:val="0"/>
          <w:highlight w:val="none"/>
        </w:rPr>
        <w:fldChar w:fldCharType="end"/>
      </w:r>
    </w:p>
    <w:p w14:paraId="5ABF9059">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_Toc7745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9.</w:t>
      </w:r>
      <w:r>
        <w:rPr>
          <w:rFonts w:hint="eastAsia"/>
          <w:color w:val="auto"/>
          <w:spacing w:val="0"/>
          <w:w w:val="100"/>
          <w:position w:val="0"/>
          <w:highlight w:val="none"/>
          <w:lang w:val="en-US" w:eastAsia="zh-CN"/>
        </w:rPr>
        <w:t>3</w:t>
      </w:r>
      <w:r>
        <w:rPr>
          <w:rFonts w:hint="default"/>
          <w:color w:val="auto"/>
          <w:spacing w:val="0"/>
          <w:w w:val="100"/>
          <w:position w:val="0"/>
          <w:highlight w:val="none"/>
          <w:lang w:val="en-US" w:eastAsia="zh-CN"/>
        </w:rPr>
        <w:t>环境影响分析与评价结论</w:t>
      </w:r>
      <w:r>
        <w:rPr>
          <w:color w:val="auto"/>
          <w:spacing w:val="0"/>
        </w:rPr>
        <w:tab/>
      </w:r>
      <w:r>
        <w:rPr>
          <w:color w:val="auto"/>
          <w:spacing w:val="0"/>
        </w:rPr>
        <w:fldChar w:fldCharType="begin"/>
      </w:r>
      <w:r>
        <w:rPr>
          <w:color w:val="auto"/>
          <w:spacing w:val="0"/>
        </w:rPr>
        <w:instrText xml:space="preserve"> PAGEREF _Toc7745 \h </w:instrText>
      </w:r>
      <w:r>
        <w:rPr>
          <w:color w:val="auto"/>
          <w:spacing w:val="0"/>
        </w:rPr>
        <w:fldChar w:fldCharType="separate"/>
      </w:r>
      <w:r>
        <w:rPr>
          <w:color w:val="auto"/>
          <w:spacing w:val="0"/>
        </w:rPr>
        <w:t>174</w:t>
      </w:r>
      <w:r>
        <w:rPr>
          <w:color w:val="auto"/>
          <w:spacing w:val="0"/>
        </w:rPr>
        <w:fldChar w:fldCharType="end"/>
      </w:r>
      <w:r>
        <w:rPr>
          <w:color w:val="auto"/>
          <w:spacing w:val="0"/>
          <w:w w:val="100"/>
          <w:position w:val="0"/>
          <w:highlight w:val="none"/>
        </w:rPr>
        <w:fldChar w:fldCharType="end"/>
      </w:r>
    </w:p>
    <w:p w14:paraId="7D9DAA9A">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_Toc29107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9.</w:t>
      </w:r>
      <w:r>
        <w:rPr>
          <w:rFonts w:hint="eastAsia"/>
          <w:color w:val="auto"/>
          <w:spacing w:val="0"/>
          <w:w w:val="100"/>
          <w:position w:val="0"/>
          <w:highlight w:val="none"/>
          <w:lang w:val="en-US" w:eastAsia="zh-CN"/>
        </w:rPr>
        <w:t>4</w:t>
      </w:r>
      <w:r>
        <w:rPr>
          <w:rFonts w:hint="default"/>
          <w:color w:val="auto"/>
          <w:spacing w:val="0"/>
          <w:w w:val="100"/>
          <w:position w:val="0"/>
          <w:highlight w:val="none"/>
          <w:lang w:val="en-US" w:eastAsia="zh-CN"/>
        </w:rPr>
        <w:t>环境保护措施</w:t>
      </w:r>
      <w:r>
        <w:rPr>
          <w:color w:val="auto"/>
          <w:spacing w:val="0"/>
        </w:rPr>
        <w:tab/>
      </w:r>
      <w:r>
        <w:rPr>
          <w:color w:val="auto"/>
          <w:spacing w:val="0"/>
        </w:rPr>
        <w:fldChar w:fldCharType="begin"/>
      </w:r>
      <w:r>
        <w:rPr>
          <w:color w:val="auto"/>
          <w:spacing w:val="0"/>
        </w:rPr>
        <w:instrText xml:space="preserve"> PAGEREF _Toc29107 \h </w:instrText>
      </w:r>
      <w:r>
        <w:rPr>
          <w:color w:val="auto"/>
          <w:spacing w:val="0"/>
        </w:rPr>
        <w:fldChar w:fldCharType="separate"/>
      </w:r>
      <w:r>
        <w:rPr>
          <w:color w:val="auto"/>
          <w:spacing w:val="0"/>
        </w:rPr>
        <w:t>175</w:t>
      </w:r>
      <w:r>
        <w:rPr>
          <w:color w:val="auto"/>
          <w:spacing w:val="0"/>
        </w:rPr>
        <w:fldChar w:fldCharType="end"/>
      </w:r>
      <w:r>
        <w:rPr>
          <w:color w:val="auto"/>
          <w:spacing w:val="0"/>
          <w:w w:val="100"/>
          <w:position w:val="0"/>
          <w:highlight w:val="none"/>
        </w:rPr>
        <w:fldChar w:fldCharType="end"/>
      </w:r>
    </w:p>
    <w:p w14:paraId="583307E1">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_Toc19669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9.</w:t>
      </w:r>
      <w:r>
        <w:rPr>
          <w:rFonts w:hint="eastAsia"/>
          <w:color w:val="auto"/>
          <w:spacing w:val="0"/>
          <w:w w:val="100"/>
          <w:position w:val="0"/>
          <w:highlight w:val="none"/>
          <w:lang w:val="en-US" w:eastAsia="zh-CN"/>
        </w:rPr>
        <w:t>5</w:t>
      </w:r>
      <w:r>
        <w:rPr>
          <w:rFonts w:hint="default"/>
          <w:color w:val="auto"/>
          <w:spacing w:val="0"/>
          <w:w w:val="100"/>
          <w:position w:val="0"/>
          <w:highlight w:val="none"/>
          <w:lang w:val="en-US" w:eastAsia="zh-CN"/>
        </w:rPr>
        <w:t>环境影响经济损益分析结论</w:t>
      </w:r>
      <w:r>
        <w:rPr>
          <w:color w:val="auto"/>
          <w:spacing w:val="0"/>
        </w:rPr>
        <w:tab/>
      </w:r>
      <w:r>
        <w:rPr>
          <w:color w:val="auto"/>
          <w:spacing w:val="0"/>
        </w:rPr>
        <w:fldChar w:fldCharType="begin"/>
      </w:r>
      <w:r>
        <w:rPr>
          <w:color w:val="auto"/>
          <w:spacing w:val="0"/>
        </w:rPr>
        <w:instrText xml:space="preserve"> PAGEREF _Toc19669 \h </w:instrText>
      </w:r>
      <w:r>
        <w:rPr>
          <w:color w:val="auto"/>
          <w:spacing w:val="0"/>
        </w:rPr>
        <w:fldChar w:fldCharType="separate"/>
      </w:r>
      <w:r>
        <w:rPr>
          <w:color w:val="auto"/>
          <w:spacing w:val="0"/>
        </w:rPr>
        <w:t>176</w:t>
      </w:r>
      <w:r>
        <w:rPr>
          <w:color w:val="auto"/>
          <w:spacing w:val="0"/>
        </w:rPr>
        <w:fldChar w:fldCharType="end"/>
      </w:r>
      <w:r>
        <w:rPr>
          <w:color w:val="auto"/>
          <w:spacing w:val="0"/>
          <w:w w:val="100"/>
          <w:position w:val="0"/>
          <w:highlight w:val="none"/>
        </w:rPr>
        <w:fldChar w:fldCharType="end"/>
      </w:r>
    </w:p>
    <w:p w14:paraId="279359D2">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_Toc13502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9.</w:t>
      </w:r>
      <w:r>
        <w:rPr>
          <w:rFonts w:hint="eastAsia"/>
          <w:color w:val="auto"/>
          <w:spacing w:val="0"/>
          <w:w w:val="100"/>
          <w:position w:val="0"/>
          <w:highlight w:val="none"/>
          <w:lang w:val="en-US" w:eastAsia="zh-CN"/>
        </w:rPr>
        <w:t>6</w:t>
      </w:r>
      <w:r>
        <w:rPr>
          <w:rFonts w:hint="default"/>
          <w:color w:val="auto"/>
          <w:spacing w:val="0"/>
          <w:w w:val="100"/>
          <w:position w:val="0"/>
          <w:highlight w:val="none"/>
          <w:lang w:val="en-US" w:eastAsia="zh-CN"/>
        </w:rPr>
        <w:t>环境管理与监测计划总结</w:t>
      </w:r>
      <w:r>
        <w:rPr>
          <w:color w:val="auto"/>
          <w:spacing w:val="0"/>
        </w:rPr>
        <w:tab/>
      </w:r>
      <w:r>
        <w:rPr>
          <w:color w:val="auto"/>
          <w:spacing w:val="0"/>
        </w:rPr>
        <w:fldChar w:fldCharType="begin"/>
      </w:r>
      <w:r>
        <w:rPr>
          <w:color w:val="auto"/>
          <w:spacing w:val="0"/>
        </w:rPr>
        <w:instrText xml:space="preserve"> PAGEREF _Toc13502 \h </w:instrText>
      </w:r>
      <w:r>
        <w:rPr>
          <w:color w:val="auto"/>
          <w:spacing w:val="0"/>
        </w:rPr>
        <w:fldChar w:fldCharType="separate"/>
      </w:r>
      <w:r>
        <w:rPr>
          <w:color w:val="auto"/>
          <w:spacing w:val="0"/>
        </w:rPr>
        <w:t>177</w:t>
      </w:r>
      <w:r>
        <w:rPr>
          <w:color w:val="auto"/>
          <w:spacing w:val="0"/>
        </w:rPr>
        <w:fldChar w:fldCharType="end"/>
      </w:r>
      <w:r>
        <w:rPr>
          <w:color w:val="auto"/>
          <w:spacing w:val="0"/>
          <w:w w:val="100"/>
          <w:position w:val="0"/>
          <w:highlight w:val="none"/>
        </w:rPr>
        <w:fldChar w:fldCharType="end"/>
      </w:r>
    </w:p>
    <w:p w14:paraId="48E176D7">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_Toc12540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9.</w:t>
      </w:r>
      <w:r>
        <w:rPr>
          <w:rFonts w:hint="eastAsia"/>
          <w:color w:val="auto"/>
          <w:spacing w:val="0"/>
          <w:w w:val="100"/>
          <w:position w:val="0"/>
          <w:highlight w:val="none"/>
          <w:lang w:val="en-US" w:eastAsia="zh-CN"/>
        </w:rPr>
        <w:t>7</w:t>
      </w:r>
      <w:r>
        <w:rPr>
          <w:rFonts w:hint="default"/>
          <w:color w:val="auto"/>
          <w:spacing w:val="0"/>
          <w:w w:val="100"/>
          <w:position w:val="0"/>
          <w:highlight w:val="none"/>
          <w:lang w:val="en-US" w:eastAsia="zh-CN"/>
        </w:rPr>
        <w:t>公众参与结论</w:t>
      </w:r>
      <w:r>
        <w:rPr>
          <w:color w:val="auto"/>
          <w:spacing w:val="0"/>
        </w:rPr>
        <w:tab/>
      </w:r>
      <w:r>
        <w:rPr>
          <w:color w:val="auto"/>
          <w:spacing w:val="0"/>
        </w:rPr>
        <w:fldChar w:fldCharType="begin"/>
      </w:r>
      <w:r>
        <w:rPr>
          <w:color w:val="auto"/>
          <w:spacing w:val="0"/>
        </w:rPr>
        <w:instrText xml:space="preserve"> PAGEREF _Toc12540 \h </w:instrText>
      </w:r>
      <w:r>
        <w:rPr>
          <w:color w:val="auto"/>
          <w:spacing w:val="0"/>
        </w:rPr>
        <w:fldChar w:fldCharType="separate"/>
      </w:r>
      <w:r>
        <w:rPr>
          <w:color w:val="auto"/>
          <w:spacing w:val="0"/>
        </w:rPr>
        <w:t>177</w:t>
      </w:r>
      <w:r>
        <w:rPr>
          <w:color w:val="auto"/>
          <w:spacing w:val="0"/>
        </w:rPr>
        <w:fldChar w:fldCharType="end"/>
      </w:r>
      <w:r>
        <w:rPr>
          <w:color w:val="auto"/>
          <w:spacing w:val="0"/>
          <w:w w:val="100"/>
          <w:position w:val="0"/>
          <w:highlight w:val="none"/>
        </w:rPr>
        <w:fldChar w:fldCharType="end"/>
      </w:r>
    </w:p>
    <w:p w14:paraId="4C777FCF">
      <w:pPr>
        <w:pStyle w:val="21"/>
        <w:keepNext w:val="0"/>
        <w:keepLines w:val="0"/>
        <w:pageBreakBefore w:val="0"/>
        <w:widowControl w:val="0"/>
        <w:tabs>
          <w:tab w:val="right" w:leader="dot" w:pos="8306"/>
        </w:tabs>
        <w:kinsoku/>
        <w:wordWrap/>
        <w:overflowPunct/>
        <w:topLinePunct w:val="0"/>
        <w:autoSpaceDE/>
        <w:autoSpaceDN/>
        <w:bidi w:val="0"/>
        <w:rPr>
          <w:color w:val="auto"/>
          <w:spacing w:val="0"/>
        </w:rPr>
      </w:pPr>
      <w:r>
        <w:rPr>
          <w:color w:val="auto"/>
          <w:spacing w:val="0"/>
          <w:w w:val="100"/>
          <w:position w:val="0"/>
          <w:highlight w:val="none"/>
        </w:rPr>
        <w:fldChar w:fldCharType="begin"/>
      </w:r>
      <w:r>
        <w:rPr>
          <w:color w:val="auto"/>
          <w:spacing w:val="0"/>
          <w:w w:val="100"/>
          <w:position w:val="0"/>
          <w:highlight w:val="none"/>
        </w:rPr>
        <w:instrText xml:space="preserve"> HYPERLINK \l _Toc775 </w:instrText>
      </w:r>
      <w:r>
        <w:rPr>
          <w:color w:val="auto"/>
          <w:spacing w:val="0"/>
          <w:w w:val="100"/>
          <w:position w:val="0"/>
          <w:highlight w:val="none"/>
        </w:rPr>
        <w:fldChar w:fldCharType="separate"/>
      </w:r>
      <w:r>
        <w:rPr>
          <w:rFonts w:hint="default"/>
          <w:color w:val="auto"/>
          <w:spacing w:val="0"/>
          <w:w w:val="100"/>
          <w:position w:val="0"/>
          <w:highlight w:val="none"/>
          <w:lang w:val="en-US" w:eastAsia="zh-CN"/>
        </w:rPr>
        <w:t>9.</w:t>
      </w:r>
      <w:r>
        <w:rPr>
          <w:rFonts w:hint="eastAsia"/>
          <w:color w:val="auto"/>
          <w:spacing w:val="0"/>
          <w:w w:val="100"/>
          <w:position w:val="0"/>
          <w:highlight w:val="none"/>
          <w:lang w:val="en-US" w:eastAsia="zh-CN"/>
        </w:rPr>
        <w:t>8</w:t>
      </w:r>
      <w:r>
        <w:rPr>
          <w:rFonts w:hint="default"/>
          <w:color w:val="auto"/>
          <w:spacing w:val="0"/>
          <w:w w:val="100"/>
          <w:position w:val="0"/>
          <w:highlight w:val="none"/>
          <w:lang w:val="en-US" w:eastAsia="zh-CN"/>
        </w:rPr>
        <w:t>综合结论</w:t>
      </w:r>
      <w:r>
        <w:rPr>
          <w:color w:val="auto"/>
          <w:spacing w:val="0"/>
        </w:rPr>
        <w:tab/>
      </w:r>
      <w:r>
        <w:rPr>
          <w:color w:val="auto"/>
          <w:spacing w:val="0"/>
        </w:rPr>
        <w:fldChar w:fldCharType="begin"/>
      </w:r>
      <w:r>
        <w:rPr>
          <w:color w:val="auto"/>
          <w:spacing w:val="0"/>
        </w:rPr>
        <w:instrText xml:space="preserve"> PAGEREF _Toc775 \h </w:instrText>
      </w:r>
      <w:r>
        <w:rPr>
          <w:color w:val="auto"/>
          <w:spacing w:val="0"/>
        </w:rPr>
        <w:fldChar w:fldCharType="separate"/>
      </w:r>
      <w:r>
        <w:rPr>
          <w:color w:val="auto"/>
          <w:spacing w:val="0"/>
        </w:rPr>
        <w:t>177</w:t>
      </w:r>
      <w:r>
        <w:rPr>
          <w:color w:val="auto"/>
          <w:spacing w:val="0"/>
        </w:rPr>
        <w:fldChar w:fldCharType="end"/>
      </w:r>
      <w:r>
        <w:rPr>
          <w:color w:val="auto"/>
          <w:spacing w:val="0"/>
          <w:w w:val="100"/>
          <w:position w:val="0"/>
          <w:highlight w:val="none"/>
        </w:rPr>
        <w:fldChar w:fldCharType="end"/>
      </w:r>
    </w:p>
    <w:p w14:paraId="18C77AB8">
      <w:pPr>
        <w:keepNext w:val="0"/>
        <w:keepLines w:val="0"/>
        <w:pageBreakBefore w:val="0"/>
        <w:widowControl w:val="0"/>
        <w:kinsoku/>
        <w:wordWrap/>
        <w:overflowPunct/>
        <w:topLinePunct w:val="0"/>
        <w:autoSpaceDE/>
        <w:autoSpaceDN/>
        <w:bidi w:val="0"/>
        <w:adjustRightInd/>
        <w:snapToGrid/>
        <w:rPr>
          <w:color w:val="auto"/>
          <w:spacing w:val="0"/>
          <w:w w:val="100"/>
          <w:position w:val="0"/>
          <w:highlight w:val="none"/>
        </w:rPr>
      </w:pPr>
      <w:r>
        <w:rPr>
          <w:color w:val="auto"/>
          <w:spacing w:val="0"/>
          <w:w w:val="100"/>
          <w:position w:val="0"/>
          <w:highlight w:val="none"/>
        </w:rPr>
        <w:fldChar w:fldCharType="end"/>
      </w:r>
    </w:p>
    <w:p w14:paraId="1D231732">
      <w:pPr>
        <w:keepNext w:val="0"/>
        <w:keepLines w:val="0"/>
        <w:pageBreakBefore w:val="0"/>
        <w:widowControl w:val="0"/>
        <w:kinsoku/>
        <w:wordWrap/>
        <w:overflowPunct/>
        <w:topLinePunct w:val="0"/>
        <w:autoSpaceDE/>
        <w:autoSpaceDN/>
        <w:bidi w:val="0"/>
        <w:adjustRightInd/>
        <w:snapToGrid/>
        <w:rPr>
          <w:rFonts w:hint="eastAsia"/>
          <w:b/>
          <w:bCs/>
          <w:color w:val="auto"/>
          <w:spacing w:val="0"/>
          <w:w w:val="100"/>
          <w:position w:val="0"/>
          <w:sz w:val="36"/>
          <w:szCs w:val="36"/>
          <w:highlight w:val="none"/>
          <w:lang w:val="en-US" w:eastAsia="zh-CN"/>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upperRoman" w:start="1"/>
          <w:cols w:space="425" w:num="1"/>
          <w:docGrid w:type="lines" w:linePitch="312" w:charSpace="0"/>
        </w:sectPr>
      </w:pPr>
    </w:p>
    <w:p w14:paraId="18B3C166">
      <w:pPr>
        <w:pStyle w:val="2"/>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bookmarkStart w:id="0" w:name="_Toc1886"/>
      <w:bookmarkStart w:id="1" w:name="_Toc18153"/>
      <w:r>
        <w:rPr>
          <w:rFonts w:hint="eastAsia"/>
          <w:color w:val="auto"/>
          <w:spacing w:val="0"/>
          <w:w w:val="100"/>
          <w:position w:val="0"/>
          <w:highlight w:val="none"/>
          <w:lang w:val="en-US" w:eastAsia="zh-CN"/>
        </w:rPr>
        <w:t>1概述</w:t>
      </w:r>
      <w:bookmarkEnd w:id="0"/>
      <w:bookmarkEnd w:id="1"/>
    </w:p>
    <w:p w14:paraId="02D5058F">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2" w:name="_Toc2843"/>
      <w:bookmarkStart w:id="3" w:name="_Toc31391"/>
      <w:r>
        <w:rPr>
          <w:rFonts w:hint="default"/>
          <w:color w:val="auto"/>
          <w:spacing w:val="0"/>
          <w:w w:val="100"/>
          <w:position w:val="0"/>
          <w:highlight w:val="none"/>
          <w:lang w:val="en-US" w:eastAsia="zh-CN"/>
        </w:rPr>
        <w:t>1.1项目建设背景及建设项目特点</w:t>
      </w:r>
      <w:bookmarkEnd w:id="2"/>
      <w:bookmarkEnd w:id="3"/>
    </w:p>
    <w:p w14:paraId="509C06A0">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4" w:name="_Toc5106"/>
      <w:r>
        <w:rPr>
          <w:rFonts w:hint="default"/>
          <w:color w:val="auto"/>
          <w:spacing w:val="0"/>
          <w:w w:val="100"/>
          <w:position w:val="0"/>
          <w:highlight w:val="none"/>
          <w:lang w:val="en-US" w:eastAsia="zh-CN"/>
        </w:rPr>
        <w:t>1.1.1项目建设背景</w:t>
      </w:r>
      <w:bookmarkEnd w:id="4"/>
    </w:p>
    <w:p w14:paraId="2A9B097D">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铝塑复合板，是指以塑料为芯层，两面为铝材的3层复合板材，并在产品表面覆以装饰性和保护性的涂层或薄膜作为产品的装饰面。铝塑复合板本身所具有的独特性能，决定了其广泛用途</w:t>
      </w:r>
      <w:r>
        <w:rPr>
          <w:rFonts w:hint="eastAsia"/>
          <w:color w:val="auto"/>
          <w:spacing w:val="0"/>
          <w:w w:val="100"/>
          <w:position w:val="0"/>
          <w:highlight w:val="none"/>
          <w:lang w:val="en-US" w:eastAsia="zh-CN"/>
        </w:rPr>
        <w:t>，</w:t>
      </w:r>
      <w:r>
        <w:rPr>
          <w:rFonts w:hint="default"/>
          <w:color w:val="auto"/>
          <w:spacing w:val="0"/>
          <w:w w:val="100"/>
          <w:position w:val="0"/>
          <w:highlight w:val="none"/>
          <w:lang w:val="en-US" w:eastAsia="zh-CN"/>
        </w:rPr>
        <w:t>它可以用于大楼外墙、帷幕墙板、旧楼改造翻新、室内墙壁及天花板装修、广告招牌、展示台架、净化防尘工程。属于一种新型建筑装饰材料。由于铝塑复合板具有质量轻、轻度高、弹性模量和剪切模量高的特点，还被应用在机场、大型体育场馆与剧院等城市标志性建筑，因此倍受关注，是关系到国计民生的重要产品。进入21世纪以后，伴随着我国建筑业的高速发展特别是北京奥运会与上海世博会的申办成功，铝塑复合板作为被建筑师们称为继石材</w:t>
      </w:r>
      <w:r>
        <w:rPr>
          <w:rFonts w:hint="eastAsia"/>
          <w:color w:val="auto"/>
          <w:spacing w:val="0"/>
          <w:w w:val="100"/>
          <w:position w:val="0"/>
          <w:highlight w:val="none"/>
          <w:lang w:val="en-US" w:eastAsia="zh-CN"/>
        </w:rPr>
        <w:t>（</w:t>
      </w:r>
      <w:r>
        <w:rPr>
          <w:rFonts w:hint="default"/>
          <w:color w:val="auto"/>
          <w:spacing w:val="0"/>
          <w:w w:val="100"/>
          <w:position w:val="0"/>
          <w:highlight w:val="none"/>
          <w:lang w:val="en-US" w:eastAsia="zh-CN"/>
        </w:rPr>
        <w:t>陶瓷砖</w:t>
      </w:r>
      <w:r>
        <w:rPr>
          <w:rFonts w:hint="eastAsia"/>
          <w:color w:val="auto"/>
          <w:spacing w:val="0"/>
          <w:w w:val="100"/>
          <w:position w:val="0"/>
          <w:highlight w:val="none"/>
          <w:lang w:val="en-US" w:eastAsia="zh-CN"/>
        </w:rPr>
        <w:t>）</w:t>
      </w:r>
      <w:r>
        <w:rPr>
          <w:rFonts w:hint="default"/>
          <w:color w:val="auto"/>
          <w:spacing w:val="0"/>
          <w:w w:val="100"/>
          <w:position w:val="0"/>
          <w:highlight w:val="none"/>
          <w:lang w:val="en-US" w:eastAsia="zh-CN"/>
        </w:rPr>
        <w:t>、玻璃之后的第三代幕墙材料，得到了快速发展。</w:t>
      </w:r>
    </w:p>
    <w:p w14:paraId="17197D28">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随着经济的发展以及人民生活水平的提高，给装饰行业带来巨大的发展空间，从而促进了铝塑板市场的发展。通过对现在</w:t>
      </w:r>
      <w:r>
        <w:rPr>
          <w:rFonts w:hint="eastAsia"/>
          <w:color w:val="auto"/>
          <w:spacing w:val="0"/>
          <w:w w:val="100"/>
          <w:position w:val="0"/>
          <w:highlight w:val="none"/>
          <w:lang w:val="en-US" w:eastAsia="zh-CN"/>
        </w:rPr>
        <w:t>新疆维吾尔自治区</w:t>
      </w:r>
      <w:r>
        <w:rPr>
          <w:rFonts w:hint="default"/>
          <w:color w:val="auto"/>
          <w:spacing w:val="0"/>
          <w:w w:val="100"/>
          <w:position w:val="0"/>
          <w:highlight w:val="none"/>
          <w:lang w:val="en-US" w:eastAsia="zh-CN"/>
        </w:rPr>
        <w:t>内同类产品价格的调研，</w:t>
      </w:r>
      <w:r>
        <w:rPr>
          <w:rFonts w:hint="eastAsia"/>
          <w:color w:val="auto"/>
          <w:spacing w:val="0"/>
          <w:w w:val="100"/>
          <w:position w:val="0"/>
          <w:highlight w:val="none"/>
          <w:lang w:val="en-US" w:eastAsia="zh-CN"/>
        </w:rPr>
        <w:t>新疆维吾尔自治区</w:t>
      </w:r>
      <w:r>
        <w:rPr>
          <w:rFonts w:hint="default"/>
          <w:color w:val="auto"/>
          <w:spacing w:val="0"/>
          <w:w w:val="100"/>
          <w:position w:val="0"/>
          <w:highlight w:val="none"/>
          <w:lang w:val="en-US" w:eastAsia="zh-CN"/>
        </w:rPr>
        <w:t>内规模化铝塑板生产企业极少，现有产量远远不能满足市场需求，作为资源节约型和环境友好型的材料具有很好的发展前景。随着装饰材料的大量应用，对于铝塑复合板的需求愈加追切，铝塑复合板生产企业有很好的发展前景。</w:t>
      </w:r>
    </w:p>
    <w:p w14:paraId="2C8A3D1D">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基于上述背景，新疆吉宸建材有限公司拟投资</w:t>
      </w:r>
      <w:r>
        <w:rPr>
          <w:rFonts w:hint="eastAsia"/>
          <w:color w:val="auto"/>
          <w:spacing w:val="0"/>
          <w:w w:val="100"/>
          <w:position w:val="0"/>
          <w:highlight w:val="none"/>
          <w:lang w:val="en-US" w:eastAsia="zh-CN"/>
        </w:rPr>
        <w:t>1000</w:t>
      </w:r>
      <w:r>
        <w:rPr>
          <w:rFonts w:hint="default"/>
          <w:color w:val="auto"/>
          <w:spacing w:val="0"/>
          <w:w w:val="100"/>
          <w:position w:val="0"/>
          <w:highlight w:val="none"/>
          <w:lang w:val="en-US" w:eastAsia="zh-CN"/>
        </w:rPr>
        <w:t>万元建设年产120万平方米铝塑复合板生产线</w:t>
      </w:r>
      <w:r>
        <w:rPr>
          <w:rFonts w:hint="eastAsia"/>
          <w:color w:val="auto"/>
          <w:spacing w:val="0"/>
          <w:w w:val="100"/>
          <w:position w:val="0"/>
          <w:highlight w:val="none"/>
          <w:lang w:val="en-US" w:eastAsia="zh-CN"/>
        </w:rPr>
        <w:t>以及配套设施建设。</w:t>
      </w:r>
    </w:p>
    <w:p w14:paraId="42771B50">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5" w:name="_Toc3164"/>
      <w:r>
        <w:rPr>
          <w:rFonts w:hint="eastAsia"/>
          <w:color w:val="auto"/>
          <w:spacing w:val="0"/>
          <w:w w:val="100"/>
          <w:position w:val="0"/>
          <w:highlight w:val="none"/>
          <w:lang w:val="en-US" w:eastAsia="zh-CN"/>
        </w:rPr>
        <w:t>1.1.2建设项目特点</w:t>
      </w:r>
      <w:bookmarkEnd w:id="5"/>
    </w:p>
    <w:p w14:paraId="41D96A83">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cs="Times New Roman"/>
          <w:color w:val="auto"/>
          <w:spacing w:val="0"/>
          <w:w w:val="100"/>
          <w:position w:val="0"/>
          <w:highlight w:val="none"/>
          <w:lang w:val="en-US" w:eastAsia="zh-CN"/>
        </w:rPr>
      </w:pPr>
      <w:r>
        <w:rPr>
          <w:rFonts w:hint="eastAsia"/>
          <w:color w:val="auto"/>
          <w:spacing w:val="0"/>
          <w:w w:val="100"/>
          <w:position w:val="0"/>
          <w:highlight w:val="none"/>
          <w:lang w:val="en-US" w:eastAsia="zh-CN"/>
        </w:rPr>
        <w:t>（1）本项目为铝塑复合板生产建设项目，项目位于阜康市阜康市产业园阜西区苏通小微创业园，该区域隶属于</w:t>
      </w:r>
      <w:r>
        <w:rPr>
          <w:rFonts w:hint="eastAsia" w:cs="Times New Roman"/>
          <w:caps w:val="0"/>
          <w:snapToGrid/>
          <w:color w:val="auto"/>
          <w:spacing w:val="0"/>
          <w:w w:val="100"/>
          <w:kern w:val="21"/>
          <w:position w:val="0"/>
          <w:sz w:val="24"/>
          <w:szCs w:val="24"/>
          <w:highlight w:val="none"/>
          <w:lang w:eastAsia="zh-CN"/>
        </w:rPr>
        <w:t>甘泉堡工业园区中小微企业创新区</w:t>
      </w:r>
      <w:r>
        <w:rPr>
          <w:rFonts w:hint="eastAsia"/>
          <w:color w:val="auto"/>
          <w:spacing w:val="0"/>
          <w:w w:val="100"/>
          <w:position w:val="0"/>
          <w:highlight w:val="none"/>
          <w:lang w:val="en-US" w:eastAsia="zh-CN"/>
        </w:rPr>
        <w:t>，厂区东侧、南侧、西侧均为园区生产厂房，北侧为阜锦路，地理位置坐标为：</w:t>
      </w:r>
      <w:r>
        <w:rPr>
          <w:rFonts w:hint="default" w:ascii="Times New Roman" w:hAnsi="Times New Roman" w:cs="Times New Roman"/>
          <w:color w:val="auto"/>
          <w:spacing w:val="0"/>
          <w:w w:val="100"/>
          <w:position w:val="0"/>
          <w:highlight w:val="none"/>
          <w:lang w:val="en-US" w:eastAsia="zh-CN"/>
        </w:rPr>
        <w:t>东经87°50'39.048"，北纬44°09'44.799"</w:t>
      </w:r>
      <w:r>
        <w:rPr>
          <w:rFonts w:hint="eastAsia" w:cs="Times New Roman"/>
          <w:color w:val="auto"/>
          <w:spacing w:val="0"/>
          <w:w w:val="100"/>
          <w:position w:val="0"/>
          <w:highlight w:val="none"/>
          <w:lang w:val="en-US" w:eastAsia="zh-CN"/>
        </w:rPr>
        <w:t>。</w:t>
      </w:r>
    </w:p>
    <w:p w14:paraId="5AEF734C">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（2）本项目于2026年6月3日取得阜康市发展和改革委员会出具的新疆维吾尔自治区投资项目备案证，备案证号：2606031936652302000144，项目代码为：2606-652302-04-03-806957。</w:t>
      </w:r>
    </w:p>
    <w:p w14:paraId="5B3E8E23">
      <w:pPr>
        <w:pStyle w:val="32"/>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3）本项目为铝塑复合板生产建设项目，生产使用再生聚乙烯塑料颗粒为原料，本次评价着重对大气污染影响进行分析评价。项目所在区域大气、水、声环境质量良好，项目位于工业园区，周边以工业企业为主，评价范围内周边不存在环境制约因素。项目运营期产生的废气经处理后达标排放，对周边环境影响较小；项目运营期无生产废水外排，生</w:t>
      </w:r>
      <w:r>
        <w:rPr>
          <w:rFonts w:hint="eastAsia" w:ascii="Times New Roman" w:hAnsi="Times New Roman" w:eastAsia="宋体"/>
          <w:color w:val="auto"/>
          <w:spacing w:val="0"/>
          <w:w w:val="100"/>
          <w:position w:val="0"/>
          <w:highlight w:val="none"/>
          <w:lang w:val="en-US" w:eastAsia="zh-CN"/>
        </w:rPr>
        <w:t>活污水</w:t>
      </w:r>
      <w:r>
        <w:rPr>
          <w:rFonts w:hint="eastAsia"/>
          <w:color w:val="auto"/>
          <w:spacing w:val="0"/>
          <w:w w:val="100"/>
          <w:position w:val="0"/>
          <w:highlight w:val="none"/>
          <w:lang w:val="en-US" w:eastAsia="zh-CN"/>
        </w:rPr>
        <w:t>直接</w:t>
      </w:r>
      <w:r>
        <w:rPr>
          <w:rFonts w:hint="default"/>
          <w:color w:val="auto"/>
          <w:spacing w:val="0"/>
          <w:w w:val="100"/>
          <w:position w:val="0"/>
          <w:highlight w:val="none"/>
          <w:lang w:val="en-US" w:eastAsia="zh-CN"/>
        </w:rPr>
        <w:t>排入园区污水管网，最终排入</w:t>
      </w:r>
      <w:r>
        <w:rPr>
          <w:rFonts w:hint="eastAsia"/>
          <w:color w:val="auto"/>
          <w:spacing w:val="0"/>
          <w:w w:val="100"/>
          <w:position w:val="0"/>
          <w:highlight w:val="none"/>
          <w:lang w:val="en-US" w:eastAsia="zh-CN"/>
        </w:rPr>
        <w:t>阜西区污水处理厂</w:t>
      </w:r>
      <w:r>
        <w:rPr>
          <w:rFonts w:hint="default"/>
          <w:color w:val="auto"/>
          <w:spacing w:val="0"/>
          <w:w w:val="100"/>
          <w:position w:val="0"/>
          <w:highlight w:val="none"/>
          <w:lang w:val="en-US" w:eastAsia="zh-CN"/>
        </w:rPr>
        <w:t>处理</w:t>
      </w:r>
      <w:r>
        <w:rPr>
          <w:rFonts w:hint="eastAsia"/>
          <w:color w:val="auto"/>
          <w:spacing w:val="0"/>
          <w:w w:val="100"/>
          <w:position w:val="0"/>
          <w:highlight w:val="none"/>
          <w:lang w:val="en-US" w:eastAsia="zh-CN"/>
        </w:rPr>
        <w:t>；高噪声设备经采取减振、隔声等降噪措施后，不会引起所在区域声环境质量功能的改变；一般固废集中收集外售于废品回收站，生活垃圾在厂区集中收集后由环卫部门处理，危险废物集中收集到危废贮存库暂存定期交由有资质单位处置。</w:t>
      </w:r>
    </w:p>
    <w:p w14:paraId="434E111C">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6" w:name="_Toc25083"/>
      <w:bookmarkStart w:id="7" w:name="_Toc28864"/>
      <w:r>
        <w:rPr>
          <w:rFonts w:hint="eastAsia"/>
          <w:color w:val="auto"/>
          <w:spacing w:val="0"/>
          <w:w w:val="100"/>
          <w:position w:val="0"/>
          <w:highlight w:val="none"/>
          <w:lang w:val="en-US" w:eastAsia="zh-CN"/>
        </w:rPr>
        <w:t>1.2环境影响评价的工作过程</w:t>
      </w:r>
      <w:bookmarkEnd w:id="6"/>
      <w:bookmarkEnd w:id="7"/>
    </w:p>
    <w:p w14:paraId="466A36F3">
      <w:pPr>
        <w:pStyle w:val="61"/>
        <w:keepNext w:val="0"/>
        <w:keepLines w:val="0"/>
        <w:pageBreakBefore w:val="0"/>
        <w:widowControl w:val="0"/>
        <w:kinsoku/>
        <w:wordWrap/>
        <w:overflowPunct/>
        <w:topLinePunct w:val="0"/>
        <w:autoSpaceDE/>
        <w:autoSpaceDN/>
        <w:bidi w:val="0"/>
        <w:adjustRightInd/>
        <w:spacing w:line="360" w:lineRule="auto"/>
        <w:ind w:firstLine="480"/>
        <w:rPr>
          <w:color w:val="auto"/>
          <w:spacing w:val="0"/>
          <w:w w:val="100"/>
          <w:kern w:val="21"/>
          <w:position w:val="0"/>
        </w:rPr>
      </w:pPr>
      <w:r>
        <w:rPr>
          <w:rFonts w:hint="eastAsia"/>
          <w:color w:val="auto"/>
          <w:spacing w:val="0"/>
          <w:w w:val="100"/>
          <w:position w:val="0"/>
          <w:highlight w:val="none"/>
          <w:lang w:val="en-US" w:eastAsia="zh-CN"/>
        </w:rPr>
        <w:t>本项目为铝塑复合板生产建设项目，使用再生聚乙烯塑料颗粒为原料</w:t>
      </w:r>
      <w:r>
        <w:rPr>
          <w:color w:val="auto"/>
          <w:spacing w:val="0"/>
          <w:w w:val="100"/>
          <w:kern w:val="21"/>
          <w:position w:val="0"/>
        </w:rPr>
        <w:t>，根据《建设项目环境影响评价分类管理名录（2021年版）》</w:t>
      </w:r>
      <w:r>
        <w:rPr>
          <w:rFonts w:hint="eastAsia"/>
          <w:color w:val="auto"/>
          <w:spacing w:val="0"/>
          <w:w w:val="100"/>
          <w:kern w:val="21"/>
          <w:position w:val="0"/>
          <w:lang w:eastAsia="zh-CN"/>
        </w:rPr>
        <w:t>，</w:t>
      </w:r>
      <w:r>
        <w:rPr>
          <w:color w:val="auto"/>
          <w:spacing w:val="0"/>
          <w:w w:val="100"/>
          <w:kern w:val="21"/>
          <w:position w:val="0"/>
        </w:rPr>
        <w:t>属于“</w:t>
      </w:r>
      <w:r>
        <w:rPr>
          <w:rFonts w:hint="eastAsia"/>
          <w:color w:val="auto"/>
          <w:spacing w:val="0"/>
          <w:w w:val="100"/>
          <w:position w:val="0"/>
          <w:highlight w:val="none"/>
          <w:lang w:val="en-US" w:eastAsia="zh-CN"/>
        </w:rPr>
        <w:t>二十六、橡胶塑料制品业29--53、塑料制品业292--以再生塑料为原料生产的</w:t>
      </w:r>
      <w:r>
        <w:rPr>
          <w:color w:val="auto"/>
          <w:spacing w:val="0"/>
          <w:w w:val="100"/>
          <w:kern w:val="21"/>
          <w:position w:val="0"/>
        </w:rPr>
        <w:t>”，应编制环境影响报告书。</w:t>
      </w:r>
    </w:p>
    <w:p w14:paraId="01C187F9">
      <w:pPr>
        <w:pStyle w:val="32"/>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2026年6月新疆吉宸建材有限公司委托新疆慧源德利环保科技有限公司编制《新疆吉宸建材有限公司建设年产120万平方米铝塑复合板生产线项目环境影响报告书》。接受委托后，我公司立即组织环评技术人员在项目涉及区域开展了全面的现场调查、监测和资料收集工作，通过对以上资料的综合整理和认真分析、研究，并依据建设单位提供的有关技术资料以及周边的现场调查，在环境影响因素识别和评价因子筛选、工程分析等工作的基础上，按照环境影响评价相关技术导则以及评价区域环境功能区规划、园区规划、相关法律法规等要求，编制完成了《新疆吉宸建材有限公司建设年产120万平方米铝塑复合板生产线项目环境影响报告书》，报生态环境行政主管部门批准后，可作为本项目生态环境保护工作及生态环境主管部门环境管理的依据。</w:t>
      </w:r>
    </w:p>
    <w:p w14:paraId="735C9589">
      <w:pPr>
        <w:pStyle w:val="32"/>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本项目环境影响评价过程可分为调查分析和工作方案制定阶段，分析论证和预测评价阶段，环境影响报告书编制阶段，工作流程详见图1.2-1。</w:t>
      </w:r>
    </w:p>
    <w:p w14:paraId="179E0E4E">
      <w:pPr>
        <w:pStyle w:val="32"/>
        <w:keepNext w:val="0"/>
        <w:keepLines w:val="0"/>
        <w:pageBreakBefore w:val="0"/>
        <w:widowControl w:val="0"/>
        <w:kinsoku/>
        <w:wordWrap/>
        <w:overflowPunct/>
        <w:topLinePunct w:val="0"/>
        <w:autoSpaceDE/>
        <w:autoSpaceDN/>
        <w:bidi w:val="0"/>
        <w:adjustRightInd/>
        <w:snapToGrid/>
        <w:ind w:left="0" w:leftChars="0" w:firstLine="0" w:firstLineChars="0"/>
        <w:jc w:val="center"/>
        <w:rPr>
          <w:rFonts w:hint="eastAsia"/>
          <w:color w:val="auto"/>
          <w:spacing w:val="0"/>
          <w:w w:val="100"/>
          <w:position w:val="0"/>
          <w:highlight w:val="none"/>
          <w:lang w:val="en-US" w:eastAsia="zh-CN"/>
        </w:rPr>
      </w:pPr>
      <w:r>
        <w:rPr>
          <w:rFonts w:hint="default" w:ascii="Times New Roman" w:hAnsi="Times New Roman" w:eastAsia="宋体" w:cs="Times New Roman"/>
          <w:caps w:val="0"/>
          <w:snapToGrid/>
          <w:color w:val="auto"/>
          <w:spacing w:val="0"/>
          <w:w w:val="100"/>
          <w:kern w:val="21"/>
          <w:position w:val="0"/>
          <w:highlight w:val="none"/>
        </w:rPr>
        <w:drawing>
          <wp:inline distT="0" distB="0" distL="114300" distR="114300">
            <wp:extent cx="5269230" cy="6102350"/>
            <wp:effectExtent l="0" t="0" r="7620" b="0"/>
            <wp:docPr id="7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4"/>
                    <pic:cNvPicPr>
                      <a:picLocks noChangeAspect="1"/>
                    </pic:cNvPicPr>
                  </pic:nvPicPr>
                  <pic:blipFill>
                    <a:blip r:embed="rId15"/>
                    <a:stretch>
                      <a:fillRect/>
                    </a:stretch>
                  </pic:blipFill>
                  <pic:spPr>
                    <a:xfrm>
                      <a:off x="0" y="0"/>
                      <a:ext cx="5269230" cy="6102350"/>
                    </a:xfrm>
                    <a:prstGeom prst="rect">
                      <a:avLst/>
                    </a:prstGeom>
                    <a:noFill/>
                    <a:ln>
                      <a:noFill/>
                    </a:ln>
                  </pic:spPr>
                </pic:pic>
              </a:graphicData>
            </a:graphic>
          </wp:inline>
        </w:drawing>
      </w:r>
    </w:p>
    <w:p w14:paraId="1739E185">
      <w:pPr>
        <w:pStyle w:val="33"/>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图1.2-1  建设项目环境影响评价工作程序图</w:t>
      </w:r>
    </w:p>
    <w:p w14:paraId="19C83EE9">
      <w:pPr>
        <w:pStyle w:val="3"/>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bookmarkStart w:id="8" w:name="_Toc16056"/>
      <w:bookmarkStart w:id="9" w:name="_Toc1881"/>
      <w:r>
        <w:rPr>
          <w:rFonts w:hint="eastAsia"/>
          <w:color w:val="auto"/>
          <w:spacing w:val="0"/>
          <w:w w:val="100"/>
          <w:position w:val="0"/>
          <w:highlight w:val="none"/>
          <w:lang w:val="en-US" w:eastAsia="zh-CN"/>
        </w:rPr>
        <w:t>1.3分析判定相关情况</w:t>
      </w:r>
      <w:bookmarkEnd w:id="8"/>
      <w:bookmarkEnd w:id="9"/>
    </w:p>
    <w:p w14:paraId="1B676EF4">
      <w:pPr>
        <w:pStyle w:val="4"/>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bookmarkStart w:id="10" w:name="_Toc12846"/>
      <w:r>
        <w:rPr>
          <w:rFonts w:hint="eastAsia"/>
          <w:color w:val="auto"/>
          <w:spacing w:val="0"/>
          <w:w w:val="100"/>
          <w:position w:val="0"/>
          <w:highlight w:val="none"/>
          <w:lang w:val="en-US" w:eastAsia="zh-CN"/>
        </w:rPr>
        <w:t>1.3.1产业政策的符合性</w:t>
      </w:r>
      <w:bookmarkEnd w:id="10"/>
    </w:p>
    <w:p w14:paraId="6596865F">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本项目为铝塑复合板生产建设项目，根据《产业结构调整指导目录（2024年本）》，本项目不属于“鼓励类、限制类及淘汰类”，视为允许类项目。</w:t>
      </w:r>
    </w:p>
    <w:p w14:paraId="313DB4F6">
      <w:pPr>
        <w:pStyle w:val="32"/>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根据《市场准入负面清单（2025年版）》，对禁止准入事项，经营主体不得进入，政府依法不予审批、核准，不予办理有关手续；对许可准入事项，地方各级政府要公开法律法规依据、技术标准、许可要求、办理流程、办理时限，制定市场准入服务规程，由经营主体按照规定的条件和方式合规进入；对市场准入负面清单以外的行业、领域、业务等，各类经营主体皆可依法平等进入。项目不属于清单中禁止准入类项目，故本项目符合《市场准入负面清单（2025年版）》要求。</w:t>
      </w:r>
    </w:p>
    <w:p w14:paraId="6AA2EBA2">
      <w:pPr>
        <w:pStyle w:val="32"/>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本项目于2026年6月3日取得阜康市发展和改革委员会出具的新疆维吾尔自治区投资项目备案证，备案证号：2606031936652302000144，项目代码为：2606-652302-04-03-806957。</w:t>
      </w:r>
    </w:p>
    <w:p w14:paraId="363EFD35">
      <w:pPr>
        <w:pStyle w:val="32"/>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综上所述，本项目符合国家及地方产业政策。</w:t>
      </w:r>
      <w:bookmarkStart w:id="11" w:name="_Toc30723"/>
    </w:p>
    <w:p w14:paraId="04D1EA71">
      <w:pPr>
        <w:pStyle w:val="4"/>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1.3.2与相关法律法规及技术政策的符合性</w:t>
      </w:r>
      <w:bookmarkEnd w:id="11"/>
    </w:p>
    <w:p w14:paraId="77BB8904">
      <w:pPr>
        <w:pStyle w:val="33"/>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表1.3.2-1  本项目与相关法律法规及技术政策的符合性一览表</w:t>
      </w:r>
    </w:p>
    <w:tbl>
      <w:tblPr>
        <w:tblStyle w:val="26"/>
        <w:tblW w:w="499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57" w:type="dxa"/>
          <w:left w:w="57" w:type="dxa"/>
          <w:bottom w:w="57" w:type="dxa"/>
          <w:right w:w="57" w:type="dxa"/>
        </w:tblCellMar>
      </w:tblPr>
      <w:tblGrid>
        <w:gridCol w:w="831"/>
        <w:gridCol w:w="4064"/>
        <w:gridCol w:w="3011"/>
        <w:gridCol w:w="506"/>
      </w:tblGrid>
      <w:tr w14:paraId="545E11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493" w:type="pct"/>
            <w:tcBorders>
              <w:tl2br w:val="nil"/>
              <w:tr2bl w:val="nil"/>
            </w:tcBorders>
            <w:vAlign w:val="center"/>
          </w:tcPr>
          <w:p w14:paraId="0B98FBA8">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w w:val="100"/>
                <w:position w:val="0"/>
                <w:sz w:val="21"/>
                <w:szCs w:val="21"/>
                <w:highlight w:val="none"/>
                <w:vertAlign w:val="baseline"/>
                <w:lang w:val="en-US" w:eastAsia="zh-CN"/>
              </w:rPr>
            </w:pPr>
            <w:r>
              <w:rPr>
                <w:rFonts w:hint="default" w:ascii="Times New Roman" w:hAnsi="Times New Roman" w:eastAsia="宋体" w:cs="Times New Roman"/>
                <w:b/>
                <w:bCs/>
                <w:color w:val="auto"/>
                <w:spacing w:val="0"/>
                <w:w w:val="100"/>
                <w:position w:val="0"/>
                <w:sz w:val="21"/>
                <w:szCs w:val="21"/>
                <w:highlight w:val="none"/>
                <w:vertAlign w:val="baseline"/>
                <w:lang w:val="en-US" w:eastAsia="zh-CN"/>
              </w:rPr>
              <w:t>文件名称</w:t>
            </w:r>
          </w:p>
        </w:tc>
        <w:tc>
          <w:tcPr>
            <w:tcW w:w="2415" w:type="pct"/>
            <w:tcBorders>
              <w:tl2br w:val="nil"/>
              <w:tr2bl w:val="nil"/>
            </w:tcBorders>
            <w:vAlign w:val="center"/>
          </w:tcPr>
          <w:p w14:paraId="0DB4BA8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w w:val="100"/>
                <w:position w:val="0"/>
                <w:sz w:val="21"/>
                <w:szCs w:val="21"/>
                <w:highlight w:val="none"/>
                <w:vertAlign w:val="baseline"/>
                <w:lang w:val="en-US" w:eastAsia="zh-CN"/>
              </w:rPr>
            </w:pPr>
            <w:r>
              <w:rPr>
                <w:rFonts w:hint="default" w:ascii="Times New Roman" w:hAnsi="Times New Roman" w:eastAsia="宋体" w:cs="Times New Roman"/>
                <w:b/>
                <w:bCs/>
                <w:color w:val="auto"/>
                <w:spacing w:val="0"/>
                <w:w w:val="100"/>
                <w:position w:val="0"/>
                <w:sz w:val="21"/>
                <w:szCs w:val="21"/>
                <w:highlight w:val="none"/>
                <w:vertAlign w:val="baseline"/>
                <w:lang w:val="en-US" w:eastAsia="zh-CN"/>
              </w:rPr>
              <w:t>文件分析内容</w:t>
            </w:r>
          </w:p>
        </w:tc>
        <w:tc>
          <w:tcPr>
            <w:tcW w:w="1789" w:type="pct"/>
            <w:tcBorders>
              <w:tl2br w:val="nil"/>
              <w:tr2bl w:val="nil"/>
            </w:tcBorders>
            <w:vAlign w:val="center"/>
          </w:tcPr>
          <w:p w14:paraId="782D8F4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w w:val="100"/>
                <w:position w:val="0"/>
                <w:sz w:val="21"/>
                <w:szCs w:val="21"/>
                <w:highlight w:val="none"/>
                <w:vertAlign w:val="baseline"/>
                <w:lang w:val="en-US" w:eastAsia="zh-CN"/>
              </w:rPr>
            </w:pPr>
            <w:r>
              <w:rPr>
                <w:rFonts w:hint="default" w:ascii="Times New Roman" w:hAnsi="Times New Roman" w:eastAsia="宋体" w:cs="Times New Roman"/>
                <w:b/>
                <w:bCs/>
                <w:color w:val="auto"/>
                <w:spacing w:val="0"/>
                <w:w w:val="100"/>
                <w:position w:val="0"/>
                <w:sz w:val="21"/>
                <w:szCs w:val="21"/>
                <w:highlight w:val="none"/>
                <w:vertAlign w:val="baseline"/>
                <w:lang w:val="en-US" w:eastAsia="zh-CN"/>
              </w:rPr>
              <w:t>本项目内容</w:t>
            </w:r>
          </w:p>
        </w:tc>
        <w:tc>
          <w:tcPr>
            <w:tcW w:w="300" w:type="pct"/>
            <w:tcBorders>
              <w:tl2br w:val="nil"/>
              <w:tr2bl w:val="nil"/>
            </w:tcBorders>
            <w:vAlign w:val="center"/>
          </w:tcPr>
          <w:p w14:paraId="4FE2757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w w:val="100"/>
                <w:position w:val="0"/>
                <w:sz w:val="21"/>
                <w:szCs w:val="21"/>
                <w:highlight w:val="none"/>
                <w:vertAlign w:val="baseline"/>
                <w:lang w:val="en-US" w:eastAsia="zh-CN"/>
              </w:rPr>
            </w:pPr>
            <w:r>
              <w:rPr>
                <w:rFonts w:hint="default" w:ascii="Times New Roman" w:hAnsi="Times New Roman" w:eastAsia="宋体" w:cs="Times New Roman"/>
                <w:b/>
                <w:bCs/>
                <w:color w:val="auto"/>
                <w:spacing w:val="0"/>
                <w:w w:val="100"/>
                <w:position w:val="0"/>
                <w:sz w:val="21"/>
                <w:szCs w:val="21"/>
                <w:highlight w:val="none"/>
                <w:vertAlign w:val="baseline"/>
                <w:lang w:val="en-US" w:eastAsia="zh-CN"/>
              </w:rPr>
              <w:t>符合性分析</w:t>
            </w:r>
          </w:p>
        </w:tc>
      </w:tr>
      <w:tr w14:paraId="72EF99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493" w:type="pct"/>
            <w:tcBorders>
              <w:tl2br w:val="nil"/>
              <w:tr2bl w:val="nil"/>
            </w:tcBorders>
            <w:vAlign w:val="center"/>
          </w:tcPr>
          <w:p w14:paraId="2AC82BFC">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w w:val="100"/>
                <w:position w:val="0"/>
                <w:sz w:val="21"/>
                <w:szCs w:val="21"/>
                <w:highlight w:val="none"/>
                <w:vertAlign w:val="baseline"/>
              </w:rPr>
            </w:pPr>
            <w:r>
              <w:rPr>
                <w:rFonts w:hint="default" w:ascii="Times New Roman" w:hAnsi="Times New Roman" w:eastAsia="宋体" w:cs="Times New Roman"/>
                <w:color w:val="auto"/>
                <w:spacing w:val="0"/>
                <w:w w:val="100"/>
                <w:position w:val="0"/>
                <w:sz w:val="21"/>
                <w:szCs w:val="21"/>
                <w:highlight w:val="none"/>
                <w:lang w:val="en-US" w:eastAsia="zh-CN"/>
              </w:rPr>
              <w:t>《关于进一步加强乌鲁木齐、昌吉、石河子、五家渠区域大气环境同防同治的意见》（新政办发〔2023〕29号）</w:t>
            </w:r>
          </w:p>
        </w:tc>
        <w:tc>
          <w:tcPr>
            <w:tcW w:w="2415" w:type="pct"/>
            <w:tcBorders>
              <w:tl2br w:val="nil"/>
              <w:tr2bl w:val="nil"/>
            </w:tcBorders>
            <w:vAlign w:val="center"/>
          </w:tcPr>
          <w:p w14:paraId="211F406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w w:val="100"/>
                <w:position w:val="0"/>
                <w:sz w:val="21"/>
                <w:szCs w:val="21"/>
                <w:highlight w:val="none"/>
                <w:vertAlign w:val="baseline"/>
              </w:rPr>
            </w:pPr>
            <w:r>
              <w:rPr>
                <w:rFonts w:hint="default" w:ascii="Times New Roman" w:hAnsi="Times New Roman" w:eastAsia="宋体" w:cs="Times New Roman"/>
                <w:color w:val="auto"/>
                <w:spacing w:val="0"/>
                <w:w w:val="100"/>
                <w:position w:val="0"/>
                <w:sz w:val="21"/>
                <w:szCs w:val="21"/>
                <w:highlight w:val="none"/>
                <w:lang w:val="en-US" w:eastAsia="zh-CN"/>
              </w:rPr>
              <w:t>优化产业结构和布局。坚决遏制“高耗能、高排放、低水平”项目盲目发展。加快推进产业布局调整，严格高耗能、高排放、低水平（“两高一低”）项目准入，严格落实国家产业规划、产业政策、“三线一单”、规划环评，以及产能置换、煤炭消费减量替代、区域污染物削减等要求，坚决叫停不符合要求的“两高一低”项目。新建、改建、扩建“两高一低”项目须符合生态环境保护法律法规和相关法定规划，满足重点污染物排放总量控制、碳排放碳达峰目标、生态环境准入清单、相关规划环评和相应行业建设项目环境准入条件、环评文件审批原则要求。要充分考虑环境容量、能耗双控、碳排放等因素，除国家规定新增原料用能不纳入能源消费总量控制的项目和列入国家规划的项目外，“乌—昌—石”区域严控新建、扩建使用煤炭项目，严控新增钢铁、焦化、炼油、电解铝、水泥熟料、平板玻璃、煤化工产能。新建、改建、扩建项目严格按照产能置换办法实施减量置换。推行钢铁、焦化、烧结一体化布局，有序推动长流程炼钢转型为电炉短流程炼钢。</w:t>
            </w:r>
          </w:p>
        </w:tc>
        <w:tc>
          <w:tcPr>
            <w:tcW w:w="1789" w:type="pct"/>
            <w:tcBorders>
              <w:tl2br w:val="nil"/>
              <w:tr2bl w:val="nil"/>
            </w:tcBorders>
            <w:vAlign w:val="center"/>
          </w:tcPr>
          <w:p w14:paraId="2402AFA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w w:val="100"/>
                <w:position w:val="0"/>
                <w:sz w:val="21"/>
                <w:szCs w:val="21"/>
                <w:highlight w:val="none"/>
                <w:vertAlign w:val="baseline"/>
              </w:rPr>
            </w:pPr>
            <w:r>
              <w:rPr>
                <w:rFonts w:hint="default" w:ascii="Times New Roman" w:hAnsi="Times New Roman" w:eastAsia="宋体" w:cs="Times New Roman"/>
                <w:color w:val="auto"/>
                <w:spacing w:val="0"/>
                <w:w w:val="100"/>
                <w:position w:val="0"/>
                <w:sz w:val="21"/>
                <w:szCs w:val="21"/>
                <w:highlight w:val="none"/>
                <w:lang w:val="en-US" w:eastAsia="zh-CN"/>
              </w:rPr>
              <w:t>本项目位于</w:t>
            </w:r>
            <w:r>
              <w:rPr>
                <w:rFonts w:hint="eastAsia" w:cs="Times New Roman"/>
                <w:color w:val="auto"/>
                <w:spacing w:val="0"/>
                <w:w w:val="100"/>
                <w:position w:val="0"/>
                <w:sz w:val="21"/>
                <w:szCs w:val="21"/>
                <w:highlight w:val="none"/>
                <w:lang w:val="en-US" w:eastAsia="zh-CN"/>
              </w:rPr>
              <w:t>甘泉堡工业园区中小微企业创新区</w:t>
            </w:r>
            <w:r>
              <w:rPr>
                <w:rFonts w:hint="default" w:ascii="Times New Roman" w:hAnsi="Times New Roman" w:eastAsia="宋体" w:cs="Times New Roman"/>
                <w:color w:val="auto"/>
                <w:spacing w:val="0"/>
                <w:w w:val="100"/>
                <w:position w:val="0"/>
                <w:sz w:val="21"/>
                <w:szCs w:val="21"/>
                <w:highlight w:val="none"/>
                <w:lang w:val="en-US" w:eastAsia="zh-CN"/>
              </w:rPr>
              <w:t>，位于《关于进一步加强乌鲁木齐、昌吉、石河子、五家渠区域大气环境同防同治的意见》（新政办发〔2023〕29号）划定的联防联控区域（大气联防联控区范围见图1.3</w:t>
            </w:r>
            <w:r>
              <w:rPr>
                <w:rFonts w:hint="eastAsia" w:cs="Times New Roman"/>
                <w:color w:val="auto"/>
                <w:spacing w:val="0"/>
                <w:w w:val="100"/>
                <w:position w:val="0"/>
                <w:sz w:val="21"/>
                <w:szCs w:val="21"/>
                <w:highlight w:val="none"/>
                <w:lang w:val="en-US" w:eastAsia="zh-CN"/>
              </w:rPr>
              <w:t>.2</w:t>
            </w:r>
            <w:r>
              <w:rPr>
                <w:rFonts w:hint="default" w:ascii="Times New Roman" w:hAnsi="Times New Roman" w:eastAsia="宋体" w:cs="Times New Roman"/>
                <w:color w:val="auto"/>
                <w:spacing w:val="0"/>
                <w:w w:val="100"/>
                <w:position w:val="0"/>
                <w:sz w:val="21"/>
                <w:szCs w:val="21"/>
                <w:highlight w:val="none"/>
                <w:lang w:val="en-US" w:eastAsia="zh-CN"/>
              </w:rPr>
              <w:t>-1），符合产业政策、“</w:t>
            </w:r>
            <w:r>
              <w:rPr>
                <w:rFonts w:hint="eastAsia" w:cs="Times New Roman"/>
                <w:color w:val="auto"/>
                <w:spacing w:val="0"/>
                <w:w w:val="100"/>
                <w:position w:val="0"/>
                <w:sz w:val="21"/>
                <w:szCs w:val="21"/>
                <w:highlight w:val="none"/>
                <w:lang w:val="en-US" w:eastAsia="zh-CN"/>
              </w:rPr>
              <w:t>生态环境分区管控</w:t>
            </w:r>
            <w:r>
              <w:rPr>
                <w:rFonts w:hint="default" w:ascii="Times New Roman" w:hAnsi="Times New Roman" w:eastAsia="宋体" w:cs="Times New Roman"/>
                <w:color w:val="auto"/>
                <w:spacing w:val="0"/>
                <w:w w:val="100"/>
                <w:position w:val="0"/>
                <w:sz w:val="21"/>
                <w:szCs w:val="21"/>
                <w:highlight w:val="none"/>
                <w:lang w:val="en-US" w:eastAsia="zh-CN"/>
              </w:rPr>
              <w:t>”、规划环评、区域污染物削减等要求，不属于“两高一低”项目，不属于区域严控产能项目，因此符合《关于进一步加强乌鲁木齐、昌吉、石河子、五家渠区域大气环境同防同治的意见》的要求。</w:t>
            </w:r>
          </w:p>
        </w:tc>
        <w:tc>
          <w:tcPr>
            <w:tcW w:w="300" w:type="pct"/>
            <w:tcBorders>
              <w:tl2br w:val="nil"/>
              <w:tr2bl w:val="nil"/>
            </w:tcBorders>
            <w:vAlign w:val="center"/>
          </w:tcPr>
          <w:p w14:paraId="70470C3F">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vertAlign w:val="baseline"/>
                <w:lang w:val="en-US" w:eastAsia="zh-CN"/>
              </w:rPr>
            </w:pPr>
            <w:r>
              <w:rPr>
                <w:rFonts w:hint="default" w:ascii="Times New Roman" w:hAnsi="Times New Roman" w:eastAsia="宋体" w:cs="Times New Roman"/>
                <w:color w:val="auto"/>
                <w:spacing w:val="0"/>
                <w:w w:val="100"/>
                <w:position w:val="0"/>
                <w:sz w:val="21"/>
                <w:szCs w:val="21"/>
                <w:highlight w:val="none"/>
                <w:vertAlign w:val="baseline"/>
                <w:lang w:val="en-US" w:eastAsia="zh-CN"/>
              </w:rPr>
              <w:t>符合</w:t>
            </w:r>
          </w:p>
        </w:tc>
      </w:tr>
      <w:tr w14:paraId="541F78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493" w:type="pct"/>
            <w:tcBorders>
              <w:tl2br w:val="nil"/>
              <w:tr2bl w:val="nil"/>
            </w:tcBorders>
            <w:vAlign w:val="center"/>
          </w:tcPr>
          <w:p w14:paraId="3623FB6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w w:val="100"/>
                <w:position w:val="0"/>
                <w:sz w:val="21"/>
                <w:szCs w:val="21"/>
                <w:highlight w:val="none"/>
                <w:vertAlign w:val="baseline"/>
              </w:rPr>
            </w:pPr>
            <w:r>
              <w:rPr>
                <w:rFonts w:hint="default" w:ascii="Times New Roman" w:hAnsi="Times New Roman" w:eastAsia="宋体" w:cs="Times New Roman"/>
                <w:color w:val="auto"/>
                <w:spacing w:val="0"/>
                <w:w w:val="100"/>
                <w:position w:val="0"/>
                <w:sz w:val="21"/>
                <w:szCs w:val="21"/>
                <w:highlight w:val="none"/>
                <w:lang w:val="en-US" w:eastAsia="zh-CN"/>
              </w:rPr>
              <w:t>《关于“乌-昌-石”区域执行大气污染物特别排放限值的公告》（公告〔2023〕20号）</w:t>
            </w:r>
          </w:p>
        </w:tc>
        <w:tc>
          <w:tcPr>
            <w:tcW w:w="2415" w:type="pct"/>
            <w:tcBorders>
              <w:tl2br w:val="nil"/>
              <w:tr2bl w:val="nil"/>
            </w:tcBorders>
            <w:vAlign w:val="center"/>
          </w:tcPr>
          <w:p w14:paraId="7AC46A12">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w w:val="100"/>
                <w:position w:val="0"/>
                <w:sz w:val="21"/>
                <w:szCs w:val="21"/>
                <w:highlight w:val="none"/>
                <w:vertAlign w:val="baseline"/>
              </w:rPr>
            </w:pPr>
            <w:r>
              <w:rPr>
                <w:rFonts w:hint="default" w:ascii="Times New Roman" w:hAnsi="Times New Roman" w:eastAsia="宋体" w:cs="Times New Roman"/>
                <w:color w:val="auto"/>
                <w:spacing w:val="0"/>
                <w:w w:val="100"/>
                <w:position w:val="0"/>
                <w:sz w:val="21"/>
                <w:szCs w:val="21"/>
                <w:highlight w:val="none"/>
                <w:lang w:val="en-US" w:eastAsia="zh-CN"/>
              </w:rPr>
              <w:t>《关于“乌-昌-石”区域执行大气污染物特别排放限值的公告》（公告〔2023〕20号）提出：为贯彻落实《中共中央国务院关于深入打好污染防治攻坚战的意见》和《自治区党委自治区人民政府关于深入打好污染防治攻坚战的实施方案》，深入打好蓝天保卫战，基本消除重污染天气，加快推进我区大气环境质量改善，根据《中华人民共和国环境保护法》《中华人民共和国大气污染防治法》等相关规定，经自治区人民政府同意，决定在“乌-昌-石”区域执行大气污染物特别排放限值和特别控制要求。执行区域为“乌鲁木齐市、昌吉州昌吉市、阜康市、玛纳斯县、呼图壁县、塔城地区沙湾市、五家渠市、石河子市、兵团第十二师”。新建企业（项目）执行行业和时间为“（1）对于国家排放标准及修改单中已规定大气污染物特别排放限值或特别控制要求的行业以及锅炉，自本公告发布之日起，新受理环评的建设项目执行国家排放标准及修改单中特别排放限值和特别控制要求。（2）对于目前国家排放标准及修改单中未规定大气污染物特别排放限值的行业，待相应排放标准制修订或修改后，新受理环评的建设项目执行相应大气污染物特别排放限值，执行时间与排放标准实施时间或标准修改单发布时间同步。”</w:t>
            </w:r>
          </w:p>
        </w:tc>
        <w:tc>
          <w:tcPr>
            <w:tcW w:w="1789" w:type="pct"/>
            <w:tcBorders>
              <w:tl2br w:val="nil"/>
              <w:tr2bl w:val="nil"/>
            </w:tcBorders>
            <w:vAlign w:val="center"/>
          </w:tcPr>
          <w:p w14:paraId="6613C88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default" w:ascii="Times New Roman" w:hAnsi="Times New Roman" w:eastAsia="宋体" w:cs="Times New Roman"/>
                <w:color w:val="auto"/>
                <w:spacing w:val="0"/>
                <w:w w:val="100"/>
                <w:position w:val="0"/>
                <w:sz w:val="21"/>
                <w:szCs w:val="21"/>
                <w:highlight w:val="none"/>
                <w:vertAlign w:val="baseline"/>
              </w:rPr>
            </w:pPr>
            <w:r>
              <w:rPr>
                <w:rFonts w:hint="default" w:ascii="Times New Roman" w:hAnsi="Times New Roman" w:eastAsia="宋体" w:cs="Times New Roman"/>
                <w:color w:val="auto"/>
                <w:spacing w:val="0"/>
                <w:w w:val="100"/>
                <w:position w:val="0"/>
                <w:sz w:val="21"/>
                <w:szCs w:val="21"/>
                <w:highlight w:val="none"/>
                <w:vertAlign w:val="baseline"/>
              </w:rPr>
              <w:t>本项目为</w:t>
            </w:r>
            <w:r>
              <w:rPr>
                <w:rFonts w:hint="eastAsia" w:cs="Times New Roman"/>
                <w:color w:val="auto"/>
                <w:spacing w:val="0"/>
                <w:w w:val="100"/>
                <w:position w:val="0"/>
                <w:sz w:val="21"/>
                <w:szCs w:val="21"/>
                <w:highlight w:val="none"/>
                <w:vertAlign w:val="baseline"/>
                <w:lang w:eastAsia="zh-CN"/>
              </w:rPr>
              <w:t>铝塑复合板生产建设项目</w:t>
            </w:r>
            <w:r>
              <w:rPr>
                <w:rFonts w:hint="default" w:ascii="Times New Roman" w:hAnsi="Times New Roman" w:eastAsia="宋体" w:cs="Times New Roman"/>
                <w:color w:val="auto"/>
                <w:spacing w:val="0"/>
                <w:w w:val="100"/>
                <w:position w:val="0"/>
                <w:sz w:val="21"/>
                <w:szCs w:val="21"/>
                <w:highlight w:val="none"/>
                <w:vertAlign w:val="baseline"/>
              </w:rPr>
              <w:t>，</w:t>
            </w:r>
            <w:r>
              <w:rPr>
                <w:rFonts w:hint="eastAsia"/>
                <w:color w:val="auto"/>
                <w:spacing w:val="0"/>
                <w:w w:val="100"/>
                <w:position w:val="0"/>
                <w:highlight w:val="none"/>
                <w:lang w:val="en-US" w:eastAsia="zh-CN"/>
              </w:rPr>
              <w:t>有组织颗粒物、非甲烷总烃执行《合成树脂工业污染物排放标准》（GB31572-2015）（含2024年修改单）表5大气污染物特别排放限值，厂界无组织颗粒物、非甲烷总烃执行《合成树脂工业污染物排放标准》（GB31572-2015）（含2024年修改单）表9排放限值，厂区内非甲烷总烃执行</w:t>
            </w:r>
            <w:r>
              <w:rPr>
                <w:rFonts w:hint="default" w:ascii="Times New Roman" w:hAnsi="Times New Roman" w:eastAsia="宋体" w:cs="Times New Roman"/>
                <w:caps w:val="0"/>
                <w:snapToGrid/>
                <w:color w:val="auto"/>
                <w:spacing w:val="0"/>
                <w:w w:val="100"/>
                <w:kern w:val="21"/>
                <w:position w:val="0"/>
                <w:sz w:val="21"/>
                <w:szCs w:val="21"/>
                <w:highlight w:val="none"/>
              </w:rPr>
              <w:t>《挥发性有机物无组织排放控制标准》（GB37822-2019）</w:t>
            </w: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附录A表A.1中特别排放限值</w:t>
            </w:r>
            <w:r>
              <w:rPr>
                <w:rFonts w:hint="eastAsia" w:cs="Times New Roman"/>
                <w:caps w:val="0"/>
                <w:snapToGrid/>
                <w:color w:val="auto"/>
                <w:spacing w:val="0"/>
                <w:w w:val="100"/>
                <w:kern w:val="21"/>
                <w:position w:val="0"/>
                <w:sz w:val="21"/>
                <w:szCs w:val="21"/>
                <w:highlight w:val="none"/>
                <w:lang w:val="en-US" w:eastAsia="zh-CN"/>
              </w:rPr>
              <w:t>。</w:t>
            </w:r>
          </w:p>
        </w:tc>
        <w:tc>
          <w:tcPr>
            <w:tcW w:w="300" w:type="pct"/>
            <w:tcBorders>
              <w:tl2br w:val="nil"/>
              <w:tr2bl w:val="nil"/>
            </w:tcBorders>
            <w:vAlign w:val="center"/>
          </w:tcPr>
          <w:p w14:paraId="300FEA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vertAlign w:val="baseline"/>
              </w:rPr>
            </w:pPr>
            <w:r>
              <w:rPr>
                <w:rFonts w:hint="default" w:ascii="Times New Roman" w:hAnsi="Times New Roman" w:eastAsia="宋体" w:cs="Times New Roman"/>
                <w:color w:val="auto"/>
                <w:spacing w:val="0"/>
                <w:w w:val="100"/>
                <w:position w:val="0"/>
                <w:sz w:val="21"/>
                <w:szCs w:val="21"/>
                <w:highlight w:val="none"/>
                <w:vertAlign w:val="baseline"/>
                <w:lang w:val="en-US" w:eastAsia="zh-CN"/>
              </w:rPr>
              <w:t>符合</w:t>
            </w:r>
          </w:p>
        </w:tc>
      </w:tr>
      <w:tr w14:paraId="759400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493" w:type="pct"/>
            <w:tcBorders>
              <w:tl2br w:val="nil"/>
              <w:tr2bl w:val="nil"/>
            </w:tcBorders>
            <w:vAlign w:val="center"/>
          </w:tcPr>
          <w:p w14:paraId="5098BDA1">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w w:val="100"/>
                <w:position w:val="0"/>
                <w:sz w:val="21"/>
                <w:szCs w:val="21"/>
                <w:highlight w:val="none"/>
                <w:vertAlign w:val="baseline"/>
              </w:rPr>
            </w:pPr>
            <w:r>
              <w:rPr>
                <w:rFonts w:hint="default" w:ascii="Times New Roman" w:hAnsi="Times New Roman" w:eastAsia="宋体" w:cs="Times New Roman"/>
                <w:color w:val="auto"/>
                <w:spacing w:val="0"/>
                <w:w w:val="100"/>
                <w:position w:val="0"/>
                <w:sz w:val="21"/>
                <w:szCs w:val="21"/>
                <w:highlight w:val="none"/>
                <w:lang w:val="en-US" w:eastAsia="zh-CN"/>
              </w:rPr>
              <w:t>《新疆维吾尔自治区“乌-昌-石”区域大气环境整治2024—2025年行动方案》</w:t>
            </w:r>
          </w:p>
        </w:tc>
        <w:tc>
          <w:tcPr>
            <w:tcW w:w="2415" w:type="pct"/>
            <w:tcBorders>
              <w:tl2br w:val="nil"/>
              <w:tr2bl w:val="nil"/>
            </w:tcBorders>
            <w:vAlign w:val="center"/>
          </w:tcPr>
          <w:p w14:paraId="465D7E32">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w w:val="100"/>
                <w:position w:val="0"/>
                <w:sz w:val="21"/>
                <w:szCs w:val="21"/>
                <w:highlight w:val="none"/>
                <w:vertAlign w:val="baseline"/>
              </w:rPr>
            </w:pPr>
            <w:r>
              <w:rPr>
                <w:rFonts w:hint="default" w:ascii="Times New Roman" w:hAnsi="Times New Roman" w:eastAsia="宋体" w:cs="Times New Roman"/>
                <w:color w:val="auto"/>
                <w:spacing w:val="0"/>
                <w:w w:val="100"/>
                <w:position w:val="0"/>
                <w:sz w:val="21"/>
                <w:szCs w:val="21"/>
                <w:highlight w:val="none"/>
                <w:lang w:val="en-US" w:eastAsia="zh-CN"/>
              </w:rPr>
              <w:t>《新疆维吾尔自治区“乌-昌-石”区域大气环境整治2024—2025年行动方案》提出：“加强高污染高排放行业生态环境源头防控。新（改、扩）建项目严格落实国家产业规划、产业政策、生态环境分区管控方案、规划环评、项目环评、节能审查、产能置换、重点污染物总量控制、污染物排放区域削减、碳排放达峰目标等相关要求。科学精准落实项目环评及“三同时”管理要求，建立高污染高排放项目环评管理台账，严格执行环评审批原则和准入条件，推动相关产业优化和结构调整，坚决避免“一刀切”。”“持续推进重点行业污染深度治理。继续推进排放总量在100吨以上的135家企业完成2024—2025年“一企一策”污染治理措施，同时增加区域内污染物排放总量在50～100吨的20家企业定制2024—2025年“一企一策”污染治理方案，选择成熟稳定的高效废气治理技术，明确污染物减排措施和完成时限，实现四项污染物减排约0.1万吨。完成钢铁行业、铸造行业（包括烧结、球团、高炉炼铁等工艺）超低排放改造。完成焦化、水泥行业超低排放改造主体设施建设。实现污染物无组织排放全流程控制和收集处理，实现厂区内无可见烟粉尘及明显异味。全面开展低效失效大气污染治理设施排查整治工作。”</w:t>
            </w:r>
          </w:p>
        </w:tc>
        <w:tc>
          <w:tcPr>
            <w:tcW w:w="1789" w:type="pct"/>
            <w:tcBorders>
              <w:tl2br w:val="nil"/>
              <w:tr2bl w:val="nil"/>
            </w:tcBorders>
            <w:vAlign w:val="center"/>
          </w:tcPr>
          <w:p w14:paraId="4040681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w w:val="100"/>
                <w:position w:val="0"/>
                <w:sz w:val="21"/>
                <w:szCs w:val="21"/>
                <w:highlight w:val="none"/>
                <w:vertAlign w:val="baseline"/>
              </w:rPr>
            </w:pPr>
            <w:r>
              <w:rPr>
                <w:rFonts w:hint="default" w:ascii="Times New Roman" w:hAnsi="Times New Roman" w:eastAsia="宋体" w:cs="Times New Roman"/>
                <w:color w:val="auto"/>
                <w:spacing w:val="0"/>
                <w:w w:val="100"/>
                <w:position w:val="0"/>
                <w:sz w:val="21"/>
                <w:szCs w:val="21"/>
                <w:highlight w:val="none"/>
                <w:lang w:val="en-US" w:eastAsia="zh-CN"/>
              </w:rPr>
              <w:t>本项目为</w:t>
            </w:r>
            <w:r>
              <w:rPr>
                <w:rFonts w:hint="eastAsia" w:cs="Times New Roman"/>
                <w:color w:val="auto"/>
                <w:spacing w:val="0"/>
                <w:w w:val="100"/>
                <w:position w:val="0"/>
                <w:sz w:val="21"/>
                <w:szCs w:val="21"/>
                <w:highlight w:val="none"/>
                <w:lang w:val="en-US" w:eastAsia="zh-CN"/>
              </w:rPr>
              <w:t>铝塑复合板生产建设项目</w:t>
            </w:r>
            <w:r>
              <w:rPr>
                <w:rFonts w:hint="default" w:ascii="Times New Roman" w:hAnsi="Times New Roman" w:eastAsia="宋体" w:cs="Times New Roman"/>
                <w:color w:val="auto"/>
                <w:spacing w:val="0"/>
                <w:w w:val="100"/>
                <w:position w:val="0"/>
                <w:sz w:val="21"/>
                <w:szCs w:val="21"/>
                <w:highlight w:val="none"/>
                <w:lang w:val="en-US" w:eastAsia="zh-CN"/>
              </w:rPr>
              <w:t>，不属于高污染高排放行业，污染物排放量远低于100吨，采取的污染治理措施为同行业国内先进，污染</w:t>
            </w:r>
            <w:r>
              <w:rPr>
                <w:rFonts w:hint="eastAsia" w:cs="Times New Roman"/>
                <w:color w:val="auto"/>
                <w:spacing w:val="0"/>
                <w:w w:val="100"/>
                <w:position w:val="0"/>
                <w:sz w:val="21"/>
                <w:szCs w:val="21"/>
                <w:highlight w:val="none"/>
                <w:lang w:val="en-US" w:eastAsia="zh-CN"/>
              </w:rPr>
              <w:t>物</w:t>
            </w:r>
            <w:r>
              <w:rPr>
                <w:rFonts w:hint="default" w:ascii="Times New Roman" w:hAnsi="Times New Roman" w:eastAsia="宋体" w:cs="Times New Roman"/>
                <w:color w:val="auto"/>
                <w:spacing w:val="0"/>
                <w:w w:val="100"/>
                <w:position w:val="0"/>
                <w:sz w:val="21"/>
                <w:szCs w:val="21"/>
                <w:highlight w:val="none"/>
                <w:lang w:val="en-US" w:eastAsia="zh-CN"/>
              </w:rPr>
              <w:t>处理效果较高；可实现污染物排放的全流程控制和收集，厂内厂房封闭，要求做到无可见烟粉尘及无异味。因此，项目的建设符合《新疆维吾尔自治区“乌-昌-石”区域大气环境整治2024—2025年行动方案》的相关要求。</w:t>
            </w:r>
          </w:p>
        </w:tc>
        <w:tc>
          <w:tcPr>
            <w:tcW w:w="300" w:type="pct"/>
            <w:tcBorders>
              <w:tl2br w:val="nil"/>
              <w:tr2bl w:val="nil"/>
            </w:tcBorders>
            <w:vAlign w:val="center"/>
          </w:tcPr>
          <w:p w14:paraId="36BA06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vertAlign w:val="baseline"/>
              </w:rPr>
            </w:pPr>
            <w:r>
              <w:rPr>
                <w:rFonts w:hint="default" w:ascii="Times New Roman" w:hAnsi="Times New Roman" w:eastAsia="宋体" w:cs="Times New Roman"/>
                <w:color w:val="auto"/>
                <w:spacing w:val="0"/>
                <w:w w:val="100"/>
                <w:position w:val="0"/>
                <w:sz w:val="21"/>
                <w:szCs w:val="21"/>
                <w:highlight w:val="none"/>
                <w:vertAlign w:val="baseline"/>
                <w:lang w:val="en-US" w:eastAsia="zh-CN"/>
              </w:rPr>
              <w:t>符合</w:t>
            </w:r>
          </w:p>
        </w:tc>
      </w:tr>
      <w:tr w14:paraId="071535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493" w:type="pct"/>
            <w:tcBorders>
              <w:tl2br w:val="nil"/>
              <w:tr2bl w:val="nil"/>
            </w:tcBorders>
            <w:vAlign w:val="center"/>
          </w:tcPr>
          <w:p w14:paraId="12A5AE7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w w:val="100"/>
                <w:position w:val="0"/>
                <w:sz w:val="21"/>
                <w:szCs w:val="21"/>
                <w:highlight w:val="none"/>
                <w:vertAlign w:val="baseline"/>
              </w:rPr>
            </w:pPr>
            <w:r>
              <w:rPr>
                <w:rFonts w:hint="default" w:ascii="Times New Roman" w:hAnsi="Times New Roman" w:eastAsia="宋体" w:cs="Times New Roman"/>
                <w:color w:val="auto"/>
                <w:spacing w:val="0"/>
                <w:w w:val="100"/>
                <w:position w:val="0"/>
                <w:sz w:val="21"/>
                <w:szCs w:val="21"/>
                <w:highlight w:val="none"/>
                <w:lang w:val="en-US" w:eastAsia="zh-CN"/>
              </w:rPr>
              <w:t>《关于加快解决当前挥发性有机物治理突出问题的通知》（环大气〔2021〕65号）</w:t>
            </w:r>
          </w:p>
        </w:tc>
        <w:tc>
          <w:tcPr>
            <w:tcW w:w="2415" w:type="pct"/>
            <w:tcBorders>
              <w:tl2br w:val="nil"/>
              <w:tr2bl w:val="nil"/>
            </w:tcBorders>
            <w:vAlign w:val="center"/>
          </w:tcPr>
          <w:p w14:paraId="046472EB">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w w:val="100"/>
                <w:position w:val="0"/>
                <w:sz w:val="21"/>
                <w:szCs w:val="21"/>
                <w:highlight w:val="none"/>
                <w:vertAlign w:val="baseline"/>
              </w:rPr>
            </w:pPr>
            <w:r>
              <w:rPr>
                <w:rFonts w:hint="default" w:ascii="Times New Roman" w:hAnsi="Times New Roman" w:eastAsia="宋体" w:cs="Times New Roman"/>
                <w:color w:val="auto"/>
                <w:spacing w:val="0"/>
                <w:w w:val="100"/>
                <w:position w:val="0"/>
                <w:sz w:val="21"/>
                <w:szCs w:val="21"/>
                <w:highlight w:val="none"/>
                <w:lang w:val="en-US" w:eastAsia="zh-CN"/>
              </w:rPr>
              <w:t>各地要以石油炼制、石油化工、合成树脂等石化行业，有机化工、煤化工、焦化（含兰炭）、制药、农药、涂料、油墨、胶粘剂等化工行业，涉及工业涂装的汽车、家具、零部件、钢结构、彩涂板等行业，以包装印刷行业以及油品储运销为重点，并结合本地特色产业，组织企业针对挥发性有机液体储罐、装卸、敞开液面、泄漏检测与修复（LDAR）、废气收集、废气旁路、治理设施、加油站、非正常工况、产品VOCs含量等10个关键环节，认真对照大气污染防治法、排污许可证、相关排放标准和产品VOCs含量限值标准等开展排查整治。《关于加快解决当前挥发性有机物治理突出问题的通知》（环大气〔2021〕65号）附件《挥发性有机物治理突出问题排查整治工作要求》对废气收集设施提出如下治理要求：产生VOCs的生产环节优先采用密闭设备、在密闭空间中操作或采用全密闭集气罩收集方式，并保持负压运行。无尘等级要求车间需设置成正压的，宜建设内层正压、外层微负压的双层整体密闭收集空间。对采用局部收集方式的企业，距废气收集系统排风罩开口面最远处的VOCs无组织排放位置控制风速不低于0.3m/s；推广以生产线或设备为单位设置隔间，收集风量应确保隔间保持微负压。当废气产生点较多、彼此距离较远时，在满足设计规范、风压平衡的基础上，适当分设多套收集系统或中继风机。废气收集系统的输送管道应密闭、无破损。焦化行业加强焦炉密封性检查，对于变形炉门、炉顶炉盖及时修复更换；加强焦炉工况监督，对焦炉墙串漏及时修缮。制药、农药、涂料、油墨、胶粘剂等间歇性生产工序较多的行业应对进出料、物料输送、搅拌、固液分离、干燥、灌装、取样等过程采取密闭化措施，提升工艺装备水平；含VOCs物料输送原则上采用重力流或泵送方式；有机液体进料鼓励采用底部、浸入管给料方式；固体物料投加逐步推进采用密闭式投料装置。工业涂装行业建设密闭喷漆房，对于大型构件（船舶、钢结构）实施分段涂装，对废气进行收集治理；对于确需露天涂装的，应采用符合国家或地方标准要求的低（无）VOCs含量涂料，或使用移动式废气收集治理设施。包装印刷行业的印刷、复合、涂布工序实施密闭化改造，全面采用VOCs质量占比小于10%的原辅材料的除外。鼓励石油炼制企业开展冷焦水、切焦水等废气收集治理。使用VOCs质量占比大于等于10%的涂料、油墨、胶粘剂、稀释剂、清洗剂等物料存储、调配、转移、输送等环节应密闭。</w:t>
            </w:r>
          </w:p>
        </w:tc>
        <w:tc>
          <w:tcPr>
            <w:tcW w:w="1789" w:type="pct"/>
            <w:tcBorders>
              <w:tl2br w:val="nil"/>
              <w:tr2bl w:val="nil"/>
            </w:tcBorders>
            <w:vAlign w:val="center"/>
          </w:tcPr>
          <w:p w14:paraId="0292B88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w w:val="100"/>
                <w:position w:val="0"/>
                <w:sz w:val="21"/>
                <w:szCs w:val="21"/>
                <w:highlight w:val="none"/>
                <w:vertAlign w:val="baseline"/>
              </w:rPr>
            </w:pPr>
            <w:r>
              <w:rPr>
                <w:rFonts w:hint="default" w:ascii="Times New Roman" w:hAnsi="Times New Roman" w:eastAsia="宋体" w:cs="Times New Roman"/>
                <w:color w:val="auto"/>
                <w:spacing w:val="0"/>
                <w:w w:val="100"/>
                <w:position w:val="0"/>
                <w:sz w:val="21"/>
                <w:szCs w:val="21"/>
                <w:highlight w:val="none"/>
                <w:lang w:val="en-US" w:eastAsia="zh-CN"/>
              </w:rPr>
              <w:t>本项目为</w:t>
            </w:r>
            <w:r>
              <w:rPr>
                <w:rFonts w:hint="eastAsia" w:cs="Times New Roman"/>
                <w:color w:val="auto"/>
                <w:spacing w:val="0"/>
                <w:w w:val="100"/>
                <w:position w:val="0"/>
                <w:sz w:val="21"/>
                <w:szCs w:val="21"/>
                <w:highlight w:val="none"/>
                <w:lang w:val="en-US" w:eastAsia="zh-CN"/>
              </w:rPr>
              <w:t>铝塑复合板生产建设项目</w:t>
            </w:r>
            <w:r>
              <w:rPr>
                <w:rFonts w:hint="default" w:ascii="Times New Roman" w:hAnsi="Times New Roman" w:eastAsia="宋体" w:cs="Times New Roman"/>
                <w:color w:val="auto"/>
                <w:spacing w:val="0"/>
                <w:w w:val="100"/>
                <w:position w:val="0"/>
                <w:sz w:val="21"/>
                <w:szCs w:val="21"/>
                <w:highlight w:val="none"/>
                <w:lang w:val="en-US" w:eastAsia="zh-CN"/>
              </w:rPr>
              <w:t>，有机废气经集气罩收集后通过</w:t>
            </w:r>
            <w:r>
              <w:rPr>
                <w:rFonts w:hint="eastAsia" w:cs="Times New Roman"/>
                <w:snapToGrid/>
                <w:color w:val="auto"/>
                <w:spacing w:val="0"/>
                <w:w w:val="100"/>
                <w:kern w:val="21"/>
                <w:position w:val="0"/>
                <w:sz w:val="21"/>
                <w:szCs w:val="21"/>
                <w:highlight w:val="none"/>
                <w:lang w:val="en-US" w:eastAsia="zh-CN" w:bidi="ar"/>
              </w:rPr>
              <w:t>“活性炭吸附脱附+催化燃烧装置”</w:t>
            </w:r>
            <w:r>
              <w:rPr>
                <w:rFonts w:hint="default" w:ascii="Times New Roman" w:hAnsi="Times New Roman" w:eastAsia="宋体" w:cs="Times New Roman"/>
                <w:color w:val="auto"/>
                <w:spacing w:val="0"/>
                <w:w w:val="100"/>
                <w:position w:val="0"/>
                <w:sz w:val="21"/>
                <w:szCs w:val="21"/>
                <w:highlight w:val="none"/>
                <w:lang w:val="en-US" w:eastAsia="zh-CN"/>
              </w:rPr>
              <w:t>处理后达标排放。因此，项目建设符合《关于加快解决当前挥发性有机物治理突出问题的通知》（环大气〔2021〕65号）要求。</w:t>
            </w:r>
          </w:p>
        </w:tc>
        <w:tc>
          <w:tcPr>
            <w:tcW w:w="300" w:type="pct"/>
            <w:tcBorders>
              <w:tl2br w:val="nil"/>
              <w:tr2bl w:val="nil"/>
            </w:tcBorders>
            <w:vAlign w:val="center"/>
          </w:tcPr>
          <w:p w14:paraId="0F8B38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vertAlign w:val="baseline"/>
              </w:rPr>
            </w:pPr>
            <w:r>
              <w:rPr>
                <w:rFonts w:hint="default" w:ascii="Times New Roman" w:hAnsi="Times New Roman" w:eastAsia="宋体" w:cs="Times New Roman"/>
                <w:color w:val="auto"/>
                <w:spacing w:val="0"/>
                <w:w w:val="100"/>
                <w:position w:val="0"/>
                <w:sz w:val="21"/>
                <w:szCs w:val="21"/>
                <w:highlight w:val="none"/>
                <w:vertAlign w:val="baseline"/>
                <w:lang w:val="en-US" w:eastAsia="zh-CN"/>
              </w:rPr>
              <w:t>符合</w:t>
            </w:r>
          </w:p>
        </w:tc>
      </w:tr>
      <w:tr w14:paraId="21E7DC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493" w:type="pct"/>
            <w:tcBorders>
              <w:tl2br w:val="nil"/>
              <w:tr2bl w:val="nil"/>
            </w:tcBorders>
            <w:vAlign w:val="center"/>
          </w:tcPr>
          <w:p w14:paraId="06569FF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w w:val="100"/>
                <w:position w:val="0"/>
                <w:sz w:val="21"/>
                <w:szCs w:val="21"/>
                <w:highlight w:val="none"/>
                <w:vertAlign w:val="baseline"/>
              </w:rPr>
            </w:pPr>
            <w:r>
              <w:rPr>
                <w:rFonts w:hint="default" w:ascii="Times New Roman" w:hAnsi="Times New Roman" w:eastAsia="宋体" w:cs="Times New Roman"/>
                <w:color w:val="auto"/>
                <w:spacing w:val="0"/>
                <w:w w:val="100"/>
                <w:position w:val="0"/>
                <w:sz w:val="21"/>
                <w:szCs w:val="21"/>
                <w:highlight w:val="none"/>
                <w:lang w:val="en-US" w:eastAsia="zh-CN"/>
              </w:rPr>
              <w:t>《重点行业挥发性有机物综合治理方案》（环大气〔2019〕53号）</w:t>
            </w:r>
          </w:p>
        </w:tc>
        <w:tc>
          <w:tcPr>
            <w:tcW w:w="2415" w:type="pct"/>
            <w:tcBorders>
              <w:tl2br w:val="nil"/>
              <w:tr2bl w:val="nil"/>
            </w:tcBorders>
            <w:vAlign w:val="center"/>
          </w:tcPr>
          <w:p w14:paraId="75CD8EA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w w:val="100"/>
                <w:position w:val="0"/>
                <w:sz w:val="21"/>
                <w:szCs w:val="21"/>
                <w:highlight w:val="none"/>
                <w:vertAlign w:val="baseline"/>
              </w:rPr>
            </w:pPr>
            <w:r>
              <w:rPr>
                <w:rFonts w:hint="default" w:ascii="Times New Roman" w:hAnsi="Times New Roman" w:eastAsia="宋体" w:cs="Times New Roman"/>
                <w:color w:val="auto"/>
                <w:spacing w:val="0"/>
                <w:w w:val="100"/>
                <w:position w:val="0"/>
                <w:sz w:val="21"/>
                <w:szCs w:val="21"/>
                <w:highlight w:val="none"/>
                <w:lang w:val="en-US" w:eastAsia="zh-CN"/>
              </w:rPr>
              <w:t>推进建设适宜高效的治污设施。企业新建治污设施或对现有治污设施实施改造，应依据排放废气的浓度、组分、风量，温度、湿度、压力，以及生产工况等，合理选择治理技术。鼓励企业采用多种技术的组合工艺，提高VOCs治理效率。低浓度、大风量废气，宜采用沸石转轮吸附、活性炭吸附、减风增浓等浓缩技术，提高VOCs浓度后净化处理；高浓度废气，优先进行溶剂回收，难以回收的，宜采用高温焚烧、催化燃烧等技术。油气（溶剂）回收宜采用冷凝+吸附、吸附+吸收、膜分离+吸附等技术。低温等离子、光催化、光氧化技术主要适用于恶臭异味等治理；生物法主要适用于低浓度VOCs废气治理和恶臭异味治理。非水溶性的VOCs废气禁止采用水或水溶液喷淋吸收处理。采用一次性活性炭吸附技术的，应定期更换活性炭，废旧活性炭应再生或处理处置。有条件的工业园区和产业集群等，推广集中喷涂、溶剂集中回收、活性炭集中再生等，加强资源共享，提高VOCs治理效率。</w:t>
            </w:r>
          </w:p>
        </w:tc>
        <w:tc>
          <w:tcPr>
            <w:tcW w:w="1789" w:type="pct"/>
            <w:tcBorders>
              <w:tl2br w:val="nil"/>
              <w:tr2bl w:val="nil"/>
            </w:tcBorders>
            <w:vAlign w:val="center"/>
          </w:tcPr>
          <w:p w14:paraId="08F53FB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w w:val="100"/>
                <w:position w:val="0"/>
                <w:sz w:val="21"/>
                <w:szCs w:val="21"/>
                <w:highlight w:val="none"/>
                <w:vertAlign w:val="baseline"/>
              </w:rPr>
            </w:pPr>
            <w:r>
              <w:rPr>
                <w:rFonts w:hint="default" w:ascii="Times New Roman" w:hAnsi="Times New Roman" w:eastAsia="宋体" w:cs="Times New Roman"/>
                <w:color w:val="auto"/>
                <w:spacing w:val="0"/>
                <w:w w:val="100"/>
                <w:position w:val="0"/>
                <w:sz w:val="21"/>
                <w:szCs w:val="21"/>
                <w:highlight w:val="none"/>
                <w:lang w:val="en-US" w:eastAsia="zh-CN"/>
              </w:rPr>
              <w:t>本项目有机废气由集气罩收集后经活</w:t>
            </w:r>
            <w:r>
              <w:rPr>
                <w:rFonts w:hint="default" w:ascii="Times New Roman" w:hAnsi="Times New Roman" w:eastAsia="宋体" w:cs="Times New Roman"/>
                <w:color w:val="auto"/>
                <w:spacing w:val="0"/>
                <w:w w:val="100"/>
                <w:position w:val="0"/>
                <w:sz w:val="21"/>
                <w:szCs w:val="21"/>
                <w:highlight w:val="none"/>
              </w:rPr>
              <w:t>性炭吸附脱附</w:t>
            </w:r>
            <w:r>
              <w:rPr>
                <w:rFonts w:hint="eastAsia" w:cs="Times New Roman"/>
                <w:color w:val="auto"/>
                <w:spacing w:val="0"/>
                <w:w w:val="100"/>
                <w:position w:val="0"/>
                <w:sz w:val="21"/>
                <w:szCs w:val="21"/>
                <w:highlight w:val="none"/>
                <w:lang w:val="en-US" w:eastAsia="zh-CN"/>
              </w:rPr>
              <w:t>+</w:t>
            </w:r>
            <w:r>
              <w:rPr>
                <w:rFonts w:hint="default" w:ascii="Times New Roman" w:hAnsi="Times New Roman" w:eastAsia="宋体" w:cs="Times New Roman"/>
                <w:color w:val="auto"/>
                <w:spacing w:val="0"/>
                <w:w w:val="100"/>
                <w:position w:val="0"/>
                <w:sz w:val="21"/>
                <w:szCs w:val="21"/>
                <w:highlight w:val="none"/>
              </w:rPr>
              <w:t>催化燃烧</w:t>
            </w:r>
            <w:r>
              <w:rPr>
                <w:rFonts w:hint="default" w:ascii="Times New Roman" w:hAnsi="Times New Roman" w:eastAsia="宋体" w:cs="Times New Roman"/>
                <w:color w:val="auto"/>
                <w:spacing w:val="0"/>
                <w:w w:val="100"/>
                <w:position w:val="0"/>
                <w:sz w:val="21"/>
                <w:szCs w:val="21"/>
                <w:highlight w:val="none"/>
                <w:lang w:val="en-US" w:eastAsia="zh-CN"/>
              </w:rPr>
              <w:t>处理后通过</w:t>
            </w:r>
            <w:r>
              <w:rPr>
                <w:rFonts w:hint="eastAsia" w:cs="Times New Roman"/>
                <w:color w:val="auto"/>
                <w:spacing w:val="0"/>
                <w:w w:val="100"/>
                <w:position w:val="0"/>
                <w:sz w:val="21"/>
                <w:szCs w:val="21"/>
                <w:highlight w:val="none"/>
                <w:lang w:val="en-US" w:eastAsia="zh-CN"/>
              </w:rPr>
              <w:t>15m</w:t>
            </w:r>
            <w:r>
              <w:rPr>
                <w:rFonts w:hint="default" w:ascii="Times New Roman" w:hAnsi="Times New Roman" w:eastAsia="宋体" w:cs="Times New Roman"/>
                <w:color w:val="auto"/>
                <w:spacing w:val="0"/>
                <w:w w:val="100"/>
                <w:position w:val="0"/>
                <w:sz w:val="21"/>
                <w:szCs w:val="21"/>
                <w:highlight w:val="none"/>
                <w:lang w:val="en-US" w:eastAsia="zh-CN"/>
              </w:rPr>
              <w:t>高排气筒排放，符合《重点行业挥发性有机物综合治理方案》中相关要求</w:t>
            </w:r>
          </w:p>
        </w:tc>
        <w:tc>
          <w:tcPr>
            <w:tcW w:w="300" w:type="pct"/>
            <w:tcBorders>
              <w:tl2br w:val="nil"/>
              <w:tr2bl w:val="nil"/>
            </w:tcBorders>
            <w:vAlign w:val="center"/>
          </w:tcPr>
          <w:p w14:paraId="12E5A9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vertAlign w:val="baseline"/>
              </w:rPr>
            </w:pPr>
            <w:r>
              <w:rPr>
                <w:rFonts w:hint="default" w:ascii="Times New Roman" w:hAnsi="Times New Roman" w:eastAsia="宋体" w:cs="Times New Roman"/>
                <w:color w:val="auto"/>
                <w:spacing w:val="0"/>
                <w:w w:val="100"/>
                <w:position w:val="0"/>
                <w:sz w:val="21"/>
                <w:szCs w:val="21"/>
                <w:highlight w:val="none"/>
                <w:vertAlign w:val="baseline"/>
                <w:lang w:val="en-US" w:eastAsia="zh-CN"/>
              </w:rPr>
              <w:t>符合</w:t>
            </w:r>
          </w:p>
        </w:tc>
      </w:tr>
      <w:tr w14:paraId="6B47B7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493" w:type="pct"/>
            <w:tcBorders>
              <w:tl2br w:val="nil"/>
              <w:tr2bl w:val="nil"/>
            </w:tcBorders>
            <w:vAlign w:val="center"/>
          </w:tcPr>
          <w:p w14:paraId="6B87089F">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w w:val="100"/>
                <w:position w:val="0"/>
                <w:sz w:val="21"/>
                <w:szCs w:val="21"/>
                <w:highlight w:val="none"/>
                <w:vertAlign w:val="baseline"/>
              </w:rPr>
            </w:pPr>
            <w:r>
              <w:rPr>
                <w:rFonts w:hint="default" w:ascii="Times New Roman" w:hAnsi="Times New Roman" w:eastAsia="宋体" w:cs="Times New Roman"/>
                <w:color w:val="auto"/>
                <w:spacing w:val="0"/>
                <w:w w:val="100"/>
                <w:position w:val="0"/>
                <w:sz w:val="21"/>
                <w:szCs w:val="21"/>
                <w:highlight w:val="none"/>
                <w:lang w:val="en-US" w:eastAsia="zh-CN"/>
              </w:rPr>
              <w:t>《空气质量持续改善行动计划》（国发〔2023〕24号）</w:t>
            </w:r>
          </w:p>
        </w:tc>
        <w:tc>
          <w:tcPr>
            <w:tcW w:w="2415" w:type="pct"/>
            <w:tcBorders>
              <w:tl2br w:val="nil"/>
              <w:tr2bl w:val="nil"/>
            </w:tcBorders>
            <w:vAlign w:val="center"/>
          </w:tcPr>
          <w:p w14:paraId="1550C4EF">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w w:val="100"/>
                <w:position w:val="0"/>
                <w:sz w:val="21"/>
                <w:szCs w:val="21"/>
                <w:highlight w:val="none"/>
                <w:vertAlign w:val="baseline"/>
              </w:rPr>
            </w:pPr>
            <w:r>
              <w:rPr>
                <w:rFonts w:hint="default" w:ascii="Times New Roman" w:hAnsi="Times New Roman" w:eastAsia="宋体" w:cs="Times New Roman"/>
                <w:color w:val="auto"/>
                <w:spacing w:val="0"/>
                <w:w w:val="100"/>
                <w:position w:val="0"/>
                <w:sz w:val="21"/>
                <w:szCs w:val="21"/>
                <w:highlight w:val="none"/>
                <w:lang w:val="en-US" w:eastAsia="zh-CN"/>
              </w:rPr>
              <w:t>坚决遏制高耗能、高排放、低水平项目盲目上马。新改扩建项目严格落实国家产业规划、产业政策、生态环境分区管控方案、规划环评、项目环评、节能审查、产能置换、重点污染物总量控制、污染物排放区域削减、碳排放达峰目标等相关要求，原则上采用清洁运输方式。涉及产能置换的项目，被置换产能及其配套设施关停后，新建项目方可投产</w:t>
            </w:r>
          </w:p>
        </w:tc>
        <w:tc>
          <w:tcPr>
            <w:tcW w:w="1789" w:type="pct"/>
            <w:tcBorders>
              <w:tl2br w:val="nil"/>
              <w:tr2bl w:val="nil"/>
            </w:tcBorders>
            <w:vAlign w:val="center"/>
          </w:tcPr>
          <w:p w14:paraId="2A14105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w w:val="100"/>
                <w:position w:val="0"/>
                <w:sz w:val="21"/>
                <w:szCs w:val="21"/>
                <w:highlight w:val="none"/>
                <w:vertAlign w:val="baseline"/>
              </w:rPr>
            </w:pPr>
            <w:r>
              <w:rPr>
                <w:rFonts w:hint="default" w:ascii="Times New Roman" w:hAnsi="Times New Roman" w:eastAsia="宋体" w:cs="Times New Roman"/>
                <w:color w:val="auto"/>
                <w:spacing w:val="0"/>
                <w:w w:val="100"/>
                <w:position w:val="0"/>
                <w:sz w:val="21"/>
                <w:szCs w:val="21"/>
                <w:highlight w:val="none"/>
                <w:lang w:val="en-US" w:eastAsia="zh-CN"/>
              </w:rPr>
              <w:t>本项目为</w:t>
            </w:r>
            <w:r>
              <w:rPr>
                <w:rFonts w:hint="eastAsia" w:cs="Times New Roman"/>
                <w:color w:val="auto"/>
                <w:spacing w:val="0"/>
                <w:w w:val="100"/>
                <w:position w:val="0"/>
                <w:sz w:val="21"/>
                <w:szCs w:val="21"/>
                <w:highlight w:val="none"/>
                <w:lang w:val="en-US" w:eastAsia="zh-CN"/>
              </w:rPr>
              <w:t>铝塑复合板生产建设项目</w:t>
            </w:r>
            <w:r>
              <w:rPr>
                <w:rFonts w:hint="default" w:ascii="Times New Roman" w:hAnsi="Times New Roman" w:eastAsia="宋体" w:cs="Times New Roman"/>
                <w:color w:val="auto"/>
                <w:spacing w:val="0"/>
                <w:w w:val="100"/>
                <w:position w:val="0"/>
                <w:sz w:val="21"/>
                <w:szCs w:val="21"/>
                <w:highlight w:val="none"/>
                <w:lang w:val="en-US" w:eastAsia="zh-CN"/>
              </w:rPr>
              <w:t>，</w:t>
            </w:r>
            <w:r>
              <w:rPr>
                <w:rFonts w:hint="eastAsia" w:ascii="Times New Roman" w:hAnsi="Times New Roman" w:eastAsia="宋体" w:cs="Times New Roman"/>
                <w:color w:val="auto"/>
                <w:spacing w:val="0"/>
                <w:w w:val="100"/>
                <w:position w:val="0"/>
                <w:sz w:val="21"/>
                <w:szCs w:val="21"/>
                <w:highlight w:val="none"/>
                <w:lang w:val="en-US" w:eastAsia="zh-CN"/>
              </w:rPr>
              <w:t>不属于</w:t>
            </w:r>
            <w:r>
              <w:rPr>
                <w:rFonts w:hint="default" w:ascii="Times New Roman" w:hAnsi="Times New Roman" w:eastAsia="宋体" w:cs="Times New Roman"/>
                <w:color w:val="auto"/>
                <w:spacing w:val="0"/>
                <w:w w:val="100"/>
                <w:position w:val="0"/>
                <w:sz w:val="21"/>
                <w:szCs w:val="21"/>
                <w:highlight w:val="none"/>
                <w:lang w:val="en-US" w:eastAsia="zh-CN"/>
              </w:rPr>
              <w:t>高耗能、高排放、低水平项目</w:t>
            </w:r>
            <w:r>
              <w:rPr>
                <w:rFonts w:hint="eastAsia" w:cs="Times New Roman"/>
                <w:color w:val="auto"/>
                <w:spacing w:val="0"/>
                <w:w w:val="100"/>
                <w:position w:val="0"/>
                <w:sz w:val="21"/>
                <w:szCs w:val="21"/>
                <w:highlight w:val="none"/>
                <w:lang w:val="en-US" w:eastAsia="zh-CN"/>
              </w:rPr>
              <w:t>，</w:t>
            </w:r>
            <w:r>
              <w:rPr>
                <w:rFonts w:hint="default" w:ascii="Times New Roman" w:hAnsi="Times New Roman" w:eastAsia="宋体" w:cs="Times New Roman"/>
                <w:color w:val="auto"/>
                <w:spacing w:val="0"/>
                <w:w w:val="100"/>
                <w:position w:val="0"/>
                <w:sz w:val="21"/>
                <w:szCs w:val="21"/>
                <w:highlight w:val="none"/>
                <w:lang w:val="en-US" w:eastAsia="zh-CN"/>
              </w:rPr>
              <w:t>建设符合园区规划，规划环评及昌吉回族自治州生态环境准入清单的相关要求，VOCs按照要求进行“倍量替代”。因此符合《空气质量持续改善行动计划》（国发〔2023〕24号）相关要求。</w:t>
            </w:r>
          </w:p>
        </w:tc>
        <w:tc>
          <w:tcPr>
            <w:tcW w:w="300" w:type="pct"/>
            <w:tcBorders>
              <w:tl2br w:val="nil"/>
              <w:tr2bl w:val="nil"/>
            </w:tcBorders>
            <w:vAlign w:val="center"/>
          </w:tcPr>
          <w:p w14:paraId="5B6835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vertAlign w:val="baseline"/>
              </w:rPr>
            </w:pPr>
            <w:r>
              <w:rPr>
                <w:rFonts w:hint="default" w:ascii="Times New Roman" w:hAnsi="Times New Roman" w:eastAsia="宋体" w:cs="Times New Roman"/>
                <w:color w:val="auto"/>
                <w:spacing w:val="0"/>
                <w:w w:val="100"/>
                <w:position w:val="0"/>
                <w:sz w:val="21"/>
                <w:szCs w:val="21"/>
                <w:highlight w:val="none"/>
                <w:vertAlign w:val="baseline"/>
                <w:lang w:val="en-US" w:eastAsia="zh-CN"/>
              </w:rPr>
              <w:t>符合</w:t>
            </w:r>
          </w:p>
        </w:tc>
      </w:tr>
      <w:tr w14:paraId="7C7AC3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493" w:type="pct"/>
            <w:tcBorders>
              <w:tl2br w:val="nil"/>
              <w:tr2bl w:val="nil"/>
            </w:tcBorders>
            <w:vAlign w:val="center"/>
          </w:tcPr>
          <w:p w14:paraId="3C0E370B">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w w:val="100"/>
                <w:position w:val="0"/>
                <w:sz w:val="21"/>
                <w:szCs w:val="21"/>
                <w:highlight w:val="none"/>
                <w:vertAlign w:val="baseline"/>
              </w:rPr>
            </w:pPr>
            <w:r>
              <w:rPr>
                <w:rFonts w:hint="default" w:ascii="Times New Roman" w:hAnsi="Times New Roman" w:eastAsia="宋体" w:cs="Times New Roman"/>
                <w:color w:val="auto"/>
                <w:spacing w:val="0"/>
                <w:w w:val="100"/>
                <w:position w:val="0"/>
                <w:sz w:val="21"/>
                <w:szCs w:val="21"/>
                <w:highlight w:val="none"/>
                <w:lang w:val="en-US" w:eastAsia="zh-CN"/>
              </w:rPr>
              <w:t>《新疆维吾尔自治区2025年空气质量持续改善行动实施方案》（新政办发〔2024〕58号）</w:t>
            </w:r>
          </w:p>
        </w:tc>
        <w:tc>
          <w:tcPr>
            <w:tcW w:w="2415" w:type="pct"/>
            <w:tcBorders>
              <w:tl2br w:val="nil"/>
              <w:tr2bl w:val="nil"/>
            </w:tcBorders>
            <w:vAlign w:val="center"/>
          </w:tcPr>
          <w:p w14:paraId="6E57C80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w w:val="100"/>
                <w:position w:val="0"/>
                <w:sz w:val="21"/>
                <w:szCs w:val="21"/>
                <w:highlight w:val="none"/>
                <w:vertAlign w:val="baseline"/>
              </w:rPr>
            </w:pPr>
            <w:r>
              <w:rPr>
                <w:rFonts w:hint="default" w:ascii="Times New Roman" w:hAnsi="Times New Roman" w:eastAsia="宋体" w:cs="Times New Roman"/>
                <w:color w:val="auto"/>
                <w:spacing w:val="0"/>
                <w:w w:val="100"/>
                <w:position w:val="0"/>
                <w:sz w:val="21"/>
                <w:szCs w:val="21"/>
                <w:highlight w:val="none"/>
                <w:lang w:val="en-US" w:eastAsia="zh-CN"/>
              </w:rPr>
              <w:t>坚决遏制高耗能、高排放、低水平项目盲目上马。新改扩建项目严格落实国家和自治区产业规划、产业政策、生态环境分区管控方案、规划环评、项目环评、节能审查、产能置换、重点污染物总量控制、污染物排放区域削减、碳排放达峰目标等相关要求，原则上采用清洁运输方式，达到能效标杆水平、环保绩效A级水平。涉及产能置换的项目，被置换产能及设备关停后，新建项目方可投产。”“强化挥发性有机物和氮氧化物综合治理。优化含VOCs原辅材料和产品结构，加快推进含VOCs原辅材料源头替代，推广使用低（无）VOCs含量涂料，严格执行VOCs含量限值标准。实施石化、化工、工业涂装、包装印刷等重点行业及油品储运销（储罐）VOCs深度治理。企业开停工、检维修期间，及时收集处理退料、清洗、吹扫等作业产生的VOCs废气，不得将火炬燃烧装置作为日常大气污染处理设施。联防联控区石化、化工行业集中的园区，建立统一的泄漏检测与修复信息管理平台。加大锅炉、炉窑及移动源氮氧化物减排力度，有序实施燃气锅炉低氮燃烧改造。加强氮肥、纯碱等行业大气氨排放治理，强化工业源烟气脱硫脱硝氨逃逸防控。</w:t>
            </w:r>
          </w:p>
        </w:tc>
        <w:tc>
          <w:tcPr>
            <w:tcW w:w="1789" w:type="pct"/>
            <w:tcBorders>
              <w:tl2br w:val="nil"/>
              <w:tr2bl w:val="nil"/>
            </w:tcBorders>
            <w:vAlign w:val="center"/>
          </w:tcPr>
          <w:p w14:paraId="7E9D349B">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w w:val="100"/>
                <w:position w:val="0"/>
                <w:sz w:val="21"/>
                <w:szCs w:val="21"/>
                <w:highlight w:val="none"/>
                <w:vertAlign w:val="baseline"/>
              </w:rPr>
            </w:pPr>
            <w:r>
              <w:rPr>
                <w:rFonts w:hint="default" w:ascii="Times New Roman" w:hAnsi="Times New Roman" w:eastAsia="宋体" w:cs="Times New Roman"/>
                <w:color w:val="auto"/>
                <w:spacing w:val="0"/>
                <w:w w:val="100"/>
                <w:position w:val="0"/>
                <w:sz w:val="21"/>
                <w:szCs w:val="21"/>
                <w:highlight w:val="none"/>
                <w:lang w:val="en-US" w:eastAsia="zh-CN"/>
              </w:rPr>
              <w:t>本项目为</w:t>
            </w:r>
            <w:r>
              <w:rPr>
                <w:rFonts w:hint="eastAsia" w:cs="Times New Roman"/>
                <w:color w:val="auto"/>
                <w:spacing w:val="0"/>
                <w:w w:val="100"/>
                <w:position w:val="0"/>
                <w:sz w:val="21"/>
                <w:szCs w:val="21"/>
                <w:highlight w:val="none"/>
                <w:lang w:val="en-US" w:eastAsia="zh-CN"/>
              </w:rPr>
              <w:t>铝塑复合板生产建设项目</w:t>
            </w:r>
            <w:r>
              <w:rPr>
                <w:rFonts w:hint="default" w:ascii="Times New Roman" w:hAnsi="Times New Roman" w:eastAsia="宋体" w:cs="Times New Roman"/>
                <w:color w:val="auto"/>
                <w:spacing w:val="0"/>
                <w:w w:val="100"/>
                <w:position w:val="0"/>
                <w:sz w:val="21"/>
                <w:szCs w:val="21"/>
                <w:highlight w:val="none"/>
                <w:lang w:val="en-US" w:eastAsia="zh-CN"/>
              </w:rPr>
              <w:t>，项目不属于高耗能、高排放、低水平项目，符合《产业结构调整指导目录（2024年本）》中产业政策要求，项目位于</w:t>
            </w:r>
            <w:r>
              <w:rPr>
                <w:rFonts w:hint="eastAsia" w:cs="Times New Roman"/>
                <w:color w:val="auto"/>
                <w:spacing w:val="0"/>
                <w:w w:val="100"/>
                <w:position w:val="0"/>
                <w:sz w:val="21"/>
                <w:szCs w:val="21"/>
                <w:highlight w:val="none"/>
                <w:lang w:val="en-US" w:eastAsia="zh-CN"/>
              </w:rPr>
              <w:t>甘泉堡工业园区中小微企业创新区</w:t>
            </w:r>
            <w:r>
              <w:rPr>
                <w:rFonts w:hint="default" w:ascii="Times New Roman" w:hAnsi="Times New Roman" w:eastAsia="宋体" w:cs="Times New Roman"/>
                <w:color w:val="auto"/>
                <w:spacing w:val="0"/>
                <w:w w:val="100"/>
                <w:position w:val="0"/>
                <w:sz w:val="21"/>
                <w:szCs w:val="21"/>
                <w:highlight w:val="none"/>
                <w:lang w:val="en-US" w:eastAsia="zh-CN"/>
              </w:rPr>
              <w:t>，用地属于工业用地，符合园区规划，按要求设置总量控制指标；项目有机废气由集气罩收集后经活</w:t>
            </w:r>
            <w:r>
              <w:rPr>
                <w:rFonts w:hint="default" w:ascii="Times New Roman" w:hAnsi="Times New Roman" w:eastAsia="宋体" w:cs="Times New Roman"/>
                <w:color w:val="auto"/>
                <w:spacing w:val="0"/>
                <w:w w:val="100"/>
                <w:position w:val="0"/>
                <w:sz w:val="21"/>
                <w:szCs w:val="21"/>
                <w:highlight w:val="none"/>
              </w:rPr>
              <w:t>性炭吸附脱附</w:t>
            </w:r>
            <w:r>
              <w:rPr>
                <w:rFonts w:hint="eastAsia" w:cs="Times New Roman"/>
                <w:color w:val="auto"/>
                <w:spacing w:val="0"/>
                <w:w w:val="100"/>
                <w:position w:val="0"/>
                <w:sz w:val="21"/>
                <w:szCs w:val="21"/>
                <w:highlight w:val="none"/>
                <w:lang w:val="en-US" w:eastAsia="zh-CN"/>
              </w:rPr>
              <w:t>+</w:t>
            </w:r>
            <w:r>
              <w:rPr>
                <w:rFonts w:hint="default" w:ascii="Times New Roman" w:hAnsi="Times New Roman" w:eastAsia="宋体" w:cs="Times New Roman"/>
                <w:color w:val="auto"/>
                <w:spacing w:val="0"/>
                <w:w w:val="100"/>
                <w:position w:val="0"/>
                <w:sz w:val="21"/>
                <w:szCs w:val="21"/>
                <w:highlight w:val="none"/>
              </w:rPr>
              <w:t>催化燃烧</w:t>
            </w:r>
            <w:r>
              <w:rPr>
                <w:rFonts w:hint="default" w:ascii="Times New Roman" w:hAnsi="Times New Roman" w:eastAsia="宋体" w:cs="Times New Roman"/>
                <w:color w:val="auto"/>
                <w:spacing w:val="0"/>
                <w:w w:val="100"/>
                <w:position w:val="0"/>
                <w:sz w:val="21"/>
                <w:szCs w:val="21"/>
                <w:highlight w:val="none"/>
                <w:lang w:val="en-US" w:eastAsia="zh-CN"/>
              </w:rPr>
              <w:t>处理后通过</w:t>
            </w:r>
            <w:r>
              <w:rPr>
                <w:rFonts w:hint="eastAsia" w:cs="Times New Roman"/>
                <w:color w:val="auto"/>
                <w:spacing w:val="0"/>
                <w:w w:val="100"/>
                <w:position w:val="0"/>
                <w:sz w:val="21"/>
                <w:szCs w:val="21"/>
                <w:highlight w:val="none"/>
                <w:lang w:val="en-US" w:eastAsia="zh-CN"/>
              </w:rPr>
              <w:t>15m</w:t>
            </w:r>
            <w:r>
              <w:rPr>
                <w:rFonts w:hint="default" w:ascii="Times New Roman" w:hAnsi="Times New Roman" w:eastAsia="宋体" w:cs="Times New Roman"/>
                <w:color w:val="auto"/>
                <w:spacing w:val="0"/>
                <w:w w:val="100"/>
                <w:position w:val="0"/>
                <w:sz w:val="21"/>
                <w:szCs w:val="21"/>
                <w:highlight w:val="none"/>
                <w:lang w:val="en-US" w:eastAsia="zh-CN"/>
              </w:rPr>
              <w:t>高排气筒排放</w:t>
            </w:r>
            <w:r>
              <w:rPr>
                <w:rFonts w:hint="eastAsia" w:cs="Times New Roman"/>
                <w:color w:val="auto"/>
                <w:spacing w:val="0"/>
                <w:w w:val="100"/>
                <w:position w:val="0"/>
                <w:sz w:val="21"/>
                <w:szCs w:val="21"/>
                <w:highlight w:val="none"/>
                <w:lang w:val="en-US" w:eastAsia="zh"/>
              </w:rPr>
              <w:t>，</w:t>
            </w:r>
            <w:r>
              <w:rPr>
                <w:rFonts w:hint="default" w:ascii="Times New Roman" w:hAnsi="Times New Roman" w:eastAsia="宋体" w:cs="Times New Roman"/>
                <w:color w:val="auto"/>
                <w:spacing w:val="0"/>
                <w:w w:val="100"/>
                <w:position w:val="0"/>
                <w:sz w:val="21"/>
                <w:szCs w:val="21"/>
                <w:highlight w:val="none"/>
                <w:lang w:val="en-US" w:eastAsia="zh-CN"/>
              </w:rPr>
              <w:t>符合方案挥发性有机废气管控要求。综上，项目符合《新疆维吾尔自治区2025年空气质量持续改善行动实施方案》（新政办发〔2024〕58号）要求。</w:t>
            </w:r>
          </w:p>
        </w:tc>
        <w:tc>
          <w:tcPr>
            <w:tcW w:w="300" w:type="pct"/>
            <w:tcBorders>
              <w:tl2br w:val="nil"/>
              <w:tr2bl w:val="nil"/>
            </w:tcBorders>
            <w:vAlign w:val="center"/>
          </w:tcPr>
          <w:p w14:paraId="3F049F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vertAlign w:val="baseline"/>
              </w:rPr>
            </w:pPr>
            <w:r>
              <w:rPr>
                <w:rFonts w:hint="default" w:ascii="Times New Roman" w:hAnsi="Times New Roman" w:eastAsia="宋体" w:cs="Times New Roman"/>
                <w:color w:val="auto"/>
                <w:spacing w:val="0"/>
                <w:w w:val="100"/>
                <w:position w:val="0"/>
                <w:sz w:val="21"/>
                <w:szCs w:val="21"/>
                <w:highlight w:val="none"/>
                <w:vertAlign w:val="baseline"/>
                <w:lang w:val="en-US" w:eastAsia="zh-CN"/>
              </w:rPr>
              <w:t>符合</w:t>
            </w:r>
          </w:p>
        </w:tc>
      </w:tr>
      <w:tr w14:paraId="2F4757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493" w:type="pct"/>
            <w:tcBorders>
              <w:tl2br w:val="nil"/>
              <w:tr2bl w:val="nil"/>
            </w:tcBorders>
            <w:vAlign w:val="center"/>
          </w:tcPr>
          <w:p w14:paraId="29F0D572">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w w:val="100"/>
                <w:position w:val="0"/>
                <w:sz w:val="21"/>
                <w:szCs w:val="21"/>
                <w:highlight w:val="none"/>
                <w:lang w:val="en-US" w:eastAsia="zh-CN"/>
              </w:rPr>
            </w:pPr>
            <w:r>
              <w:rPr>
                <w:rFonts w:hint="eastAsia" w:ascii="Times New Roman" w:hAnsi="Times New Roman" w:eastAsia="宋体" w:cs="Times New Roman"/>
                <w:color w:val="auto"/>
                <w:spacing w:val="0"/>
                <w:w w:val="100"/>
                <w:position w:val="0"/>
                <w:sz w:val="21"/>
                <w:szCs w:val="21"/>
                <w:highlight w:val="none"/>
                <w:lang w:val="en-US" w:eastAsia="zh-CN"/>
              </w:rPr>
              <w:t>《催化燃烧法工业有机废气治理工程技术规范》(HJ2027-2013)</w:t>
            </w:r>
          </w:p>
        </w:tc>
        <w:tc>
          <w:tcPr>
            <w:tcW w:w="2415" w:type="pct"/>
            <w:tcBorders>
              <w:tl2br w:val="nil"/>
              <w:tr2bl w:val="nil"/>
            </w:tcBorders>
            <w:vAlign w:val="center"/>
          </w:tcPr>
          <w:p w14:paraId="61D86E3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w w:val="100"/>
                <w:position w:val="0"/>
                <w:sz w:val="21"/>
                <w:szCs w:val="21"/>
                <w:highlight w:val="none"/>
                <w:lang w:val="en-US" w:eastAsia="zh-CN"/>
              </w:rPr>
            </w:pPr>
            <w:r>
              <w:rPr>
                <w:rFonts w:hint="default" w:ascii="Times New Roman" w:hAnsi="Times New Roman" w:eastAsia="宋体" w:cs="Times New Roman"/>
                <w:color w:val="auto"/>
                <w:spacing w:val="0"/>
                <w:w w:val="100"/>
                <w:position w:val="0"/>
                <w:sz w:val="21"/>
                <w:szCs w:val="21"/>
                <w:highlight w:val="none"/>
                <w:lang w:val="en-US" w:eastAsia="zh-CN"/>
              </w:rPr>
              <w:t>治理设备应先于产生废气的生产工艺设备运行。由于事故或设备维修等原因造成治理设备停止运行时，应立即报告当地生态环境行政主管部门。治理设备正常运行时废气的排放应符合国家和地方相关污染物排放标准的规定。治理设备不得超负荷运行。企业应建立健全与治理工程相关的各项规章制度，制定运行、维护和操作规程，建立主要设备运行状况的台账制度。</w:t>
            </w:r>
          </w:p>
        </w:tc>
        <w:tc>
          <w:tcPr>
            <w:tcW w:w="1789" w:type="pct"/>
            <w:tcBorders>
              <w:tl2br w:val="nil"/>
              <w:tr2bl w:val="nil"/>
            </w:tcBorders>
            <w:vAlign w:val="center"/>
          </w:tcPr>
          <w:p w14:paraId="3FFFE90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spacing w:val="0"/>
                <w:w w:val="100"/>
                <w:position w:val="0"/>
                <w:sz w:val="21"/>
                <w:szCs w:val="21"/>
                <w:highlight w:val="none"/>
                <w:lang w:val="en-US" w:eastAsia="zh-CN"/>
              </w:rPr>
            </w:pPr>
            <w:r>
              <w:rPr>
                <w:rFonts w:hint="eastAsia" w:cs="Times New Roman"/>
                <w:color w:val="auto"/>
                <w:spacing w:val="0"/>
                <w:w w:val="100"/>
                <w:position w:val="0"/>
                <w:sz w:val="21"/>
                <w:szCs w:val="21"/>
                <w:highlight w:val="none"/>
                <w:lang w:val="en-US" w:eastAsia="zh-CN"/>
              </w:rPr>
              <w:t>保证催化</w:t>
            </w:r>
            <w:r>
              <w:rPr>
                <w:rFonts w:hint="default" w:ascii="Times New Roman" w:hAnsi="Times New Roman" w:eastAsia="宋体" w:cs="Times New Roman"/>
                <w:color w:val="auto"/>
                <w:spacing w:val="0"/>
                <w:w w:val="100"/>
                <w:position w:val="0"/>
                <w:sz w:val="21"/>
                <w:szCs w:val="21"/>
                <w:highlight w:val="none"/>
                <w:lang w:val="en-US" w:eastAsia="zh-CN"/>
              </w:rPr>
              <w:t>燃烧装置先于产生废气的生产工艺设备运行。由于事故或设备维修等原因造成治理设备停止运行时，立即报告当地生态环境行政主管部门</w:t>
            </w:r>
            <w:r>
              <w:rPr>
                <w:rFonts w:hint="eastAsia" w:cs="Times New Roman"/>
                <w:color w:val="auto"/>
                <w:spacing w:val="0"/>
                <w:w w:val="100"/>
                <w:position w:val="0"/>
                <w:sz w:val="21"/>
                <w:szCs w:val="21"/>
                <w:highlight w:val="none"/>
                <w:lang w:val="en-US" w:eastAsia="zh-CN"/>
              </w:rPr>
              <w:t>；废气排放满足</w:t>
            </w:r>
            <w:r>
              <w:rPr>
                <w:rFonts w:hint="default" w:ascii="Times New Roman" w:hAnsi="Times New Roman" w:eastAsia="宋体" w:cs="Times New Roman"/>
                <w:color w:val="auto"/>
                <w:spacing w:val="0"/>
                <w:w w:val="100"/>
                <w:position w:val="0"/>
                <w:sz w:val="21"/>
                <w:szCs w:val="21"/>
                <w:highlight w:val="none"/>
                <w:lang w:val="en-US" w:eastAsia="zh-CN"/>
              </w:rPr>
              <w:t>国家和地方相关污染物排放标准的规定</w:t>
            </w:r>
            <w:r>
              <w:rPr>
                <w:rFonts w:hint="eastAsia" w:cs="Times New Roman"/>
                <w:color w:val="auto"/>
                <w:spacing w:val="0"/>
                <w:w w:val="100"/>
                <w:position w:val="0"/>
                <w:sz w:val="21"/>
                <w:szCs w:val="21"/>
                <w:highlight w:val="none"/>
                <w:lang w:val="en-US" w:eastAsia="zh-CN"/>
              </w:rPr>
              <w:t>，设备严禁满负荷运行并</w:t>
            </w:r>
            <w:r>
              <w:rPr>
                <w:rFonts w:hint="default" w:ascii="Times New Roman" w:hAnsi="Times New Roman" w:eastAsia="宋体" w:cs="Times New Roman"/>
                <w:color w:val="auto"/>
                <w:spacing w:val="0"/>
                <w:w w:val="100"/>
                <w:position w:val="0"/>
                <w:sz w:val="21"/>
                <w:szCs w:val="21"/>
                <w:highlight w:val="none"/>
                <w:lang w:val="en-US" w:eastAsia="zh-CN"/>
              </w:rPr>
              <w:t>建立</w:t>
            </w:r>
            <w:r>
              <w:rPr>
                <w:rFonts w:hint="eastAsia" w:cs="Times New Roman"/>
                <w:color w:val="auto"/>
                <w:spacing w:val="0"/>
                <w:w w:val="100"/>
                <w:position w:val="0"/>
                <w:sz w:val="21"/>
                <w:szCs w:val="21"/>
                <w:highlight w:val="none"/>
                <w:lang w:val="en-US" w:eastAsia="zh-CN"/>
              </w:rPr>
              <w:t>催化</w:t>
            </w:r>
            <w:r>
              <w:rPr>
                <w:rFonts w:hint="default" w:ascii="Times New Roman" w:hAnsi="Times New Roman" w:eastAsia="宋体" w:cs="Times New Roman"/>
                <w:color w:val="auto"/>
                <w:spacing w:val="0"/>
                <w:w w:val="100"/>
                <w:position w:val="0"/>
                <w:sz w:val="21"/>
                <w:szCs w:val="21"/>
                <w:highlight w:val="none"/>
                <w:lang w:val="en-US" w:eastAsia="zh-CN"/>
              </w:rPr>
              <w:t>燃烧装置运行状况的台账制度</w:t>
            </w:r>
            <w:r>
              <w:rPr>
                <w:rFonts w:hint="eastAsia" w:cs="Times New Roman"/>
                <w:color w:val="auto"/>
                <w:spacing w:val="0"/>
                <w:w w:val="100"/>
                <w:position w:val="0"/>
                <w:sz w:val="21"/>
                <w:szCs w:val="21"/>
                <w:highlight w:val="none"/>
                <w:lang w:val="en-US" w:eastAsia="zh-CN"/>
              </w:rPr>
              <w:t>。</w:t>
            </w:r>
          </w:p>
        </w:tc>
        <w:tc>
          <w:tcPr>
            <w:tcW w:w="300" w:type="pct"/>
            <w:tcBorders>
              <w:tl2br w:val="nil"/>
              <w:tr2bl w:val="nil"/>
            </w:tcBorders>
            <w:vAlign w:val="center"/>
          </w:tcPr>
          <w:p w14:paraId="4FF839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vertAlign w:val="baseline"/>
                <w:lang w:val="en-US" w:eastAsia="zh-CN"/>
              </w:rPr>
            </w:pPr>
            <w:r>
              <w:rPr>
                <w:rFonts w:hint="eastAsia" w:ascii="Times New Roman" w:hAnsi="Times New Roman" w:eastAsia="宋体" w:cs="Times New Roman"/>
                <w:color w:val="auto"/>
                <w:spacing w:val="0"/>
                <w:w w:val="100"/>
                <w:position w:val="0"/>
                <w:sz w:val="21"/>
                <w:szCs w:val="21"/>
                <w:highlight w:val="none"/>
                <w:vertAlign w:val="baseline"/>
                <w:lang w:val="en-US" w:eastAsia="zh-CN"/>
              </w:rPr>
              <w:t>符合</w:t>
            </w:r>
          </w:p>
        </w:tc>
      </w:tr>
    </w:tbl>
    <w:p w14:paraId="0DB3DBC4">
      <w:pPr>
        <w:pStyle w:val="32"/>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p>
    <w:p w14:paraId="56355A5D">
      <w:pPr>
        <w:pStyle w:val="32"/>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p>
    <w:p w14:paraId="5215D666">
      <w:pPr>
        <w:pStyle w:val="32"/>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sectPr>
          <w:headerReference r:id="rId6" w:type="default"/>
          <w:footerReference r:id="rId7" w:type="default"/>
          <w:pgSz w:w="11906" w:h="16838"/>
          <w:pgMar w:top="1440" w:right="1800" w:bottom="1440" w:left="1800" w:header="851" w:footer="850" w:gutter="0"/>
          <w:pgBorders>
            <w:top w:val="none" w:sz="0" w:space="0"/>
            <w:left w:val="none" w:sz="0" w:space="0"/>
            <w:bottom w:val="none" w:sz="0" w:space="0"/>
            <w:right w:val="none" w:sz="0" w:space="0"/>
          </w:pgBorders>
          <w:pgNumType w:fmt="decimal" w:start="1"/>
          <w:cols w:space="425" w:num="1"/>
          <w:docGrid w:type="lines" w:linePitch="312" w:charSpace="0"/>
        </w:sectPr>
      </w:pPr>
    </w:p>
    <w:p w14:paraId="3E0AFE80">
      <w:pPr>
        <w:keepNext w:val="0"/>
        <w:keepLines w:val="0"/>
        <w:pageBreakBefore w:val="0"/>
        <w:widowControl w:val="0"/>
        <w:kinsoku/>
        <w:wordWrap/>
        <w:overflowPunct/>
        <w:topLinePunct w:val="0"/>
        <w:autoSpaceDE/>
        <w:autoSpaceDN/>
        <w:bidi w:val="0"/>
        <w:adjustRightInd/>
        <w:snapToGrid/>
        <w:spacing w:before="0" w:beforeLines="0"/>
        <w:ind w:left="0" w:leftChars="0" w:right="0" w:rightChars="0" w:firstLine="0" w:firstLineChars="0"/>
        <w:textAlignment w:val="auto"/>
        <w:outlineLvl w:val="9"/>
        <w:rPr>
          <w:rFonts w:hint="default" w:ascii="Times New Roman" w:hAnsi="Times New Roman" w:eastAsia="宋体" w:cs="Times New Roman"/>
          <w:b/>
          <w:bCs/>
          <w:caps w:val="0"/>
          <w:snapToGrid/>
          <w:color w:val="auto"/>
          <w:spacing w:val="0"/>
          <w:w w:val="100"/>
          <w:kern w:val="21"/>
          <w:position w:val="0"/>
          <w:sz w:val="24"/>
          <w:szCs w:val="24"/>
          <w:highlight w:val="none"/>
        </w:rPr>
      </w:pPr>
    </w:p>
    <w:p w14:paraId="41310BD7">
      <w:pPr>
        <w:pStyle w:val="4"/>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bookmarkStart w:id="12" w:name="_Toc23801"/>
      <w:r>
        <w:rPr>
          <w:rFonts w:hint="eastAsia"/>
          <w:color w:val="auto"/>
          <w:spacing w:val="0"/>
          <w:w w:val="100"/>
          <w:position w:val="0"/>
          <w:highlight w:val="none"/>
          <w:lang w:val="en-US" w:eastAsia="zh-CN"/>
        </w:rPr>
        <w:t>1.3.3“生态环境分区管控”符合性分析</w:t>
      </w:r>
      <w:bookmarkEnd w:id="12"/>
    </w:p>
    <w:p w14:paraId="081EB2D8">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1.3.3.1与《新疆维吾尔自治区生态环境分区管控动态更新成果》（新环环评发〔2024〕157号）的符合性分析</w:t>
      </w:r>
    </w:p>
    <w:p w14:paraId="6D3BB3EB">
      <w:pPr>
        <w:pStyle w:val="3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r>
        <w:rPr>
          <w:rFonts w:hint="eastAsia"/>
          <w:color w:val="auto"/>
          <w:spacing w:val="0"/>
          <w:w w:val="100"/>
          <w:position w:val="0"/>
          <w:highlight w:val="none"/>
        </w:rPr>
        <w:t>表1</w:t>
      </w:r>
      <w:r>
        <w:rPr>
          <w:rFonts w:hint="eastAsia"/>
          <w:color w:val="auto"/>
          <w:spacing w:val="0"/>
          <w:w w:val="100"/>
          <w:position w:val="0"/>
          <w:highlight w:val="none"/>
          <w:lang w:val="en-US" w:eastAsia="zh-CN"/>
        </w:rPr>
        <w:t>.3.3-1</w:t>
      </w:r>
      <w:r>
        <w:rPr>
          <w:rFonts w:hint="eastAsia"/>
          <w:color w:val="auto"/>
          <w:spacing w:val="0"/>
          <w:w w:val="100"/>
          <w:position w:val="0"/>
          <w:highlight w:val="none"/>
        </w:rPr>
        <w:t xml:space="preserve">   项目与</w:t>
      </w:r>
      <w:r>
        <w:rPr>
          <w:color w:val="auto"/>
          <w:spacing w:val="0"/>
          <w:w w:val="100"/>
          <w:position w:val="0"/>
          <w:highlight w:val="none"/>
        </w:rPr>
        <w:t>《新疆维吾尔自治区生态环境分区管控</w:t>
      </w:r>
      <w:r>
        <w:rPr>
          <w:rFonts w:hint="eastAsia"/>
          <w:color w:val="auto"/>
          <w:spacing w:val="0"/>
          <w:w w:val="100"/>
          <w:position w:val="0"/>
          <w:highlight w:val="none"/>
        </w:rPr>
        <w:t>动态更新成果</w:t>
      </w:r>
      <w:r>
        <w:rPr>
          <w:color w:val="auto"/>
          <w:spacing w:val="0"/>
          <w:w w:val="100"/>
          <w:position w:val="0"/>
          <w:highlight w:val="none"/>
        </w:rPr>
        <w:t>》</w:t>
      </w:r>
      <w:r>
        <w:rPr>
          <w:rFonts w:hint="eastAsia"/>
          <w:color w:val="auto"/>
          <w:spacing w:val="0"/>
          <w:w w:val="100"/>
          <w:position w:val="0"/>
          <w:highlight w:val="none"/>
        </w:rPr>
        <w:t>（新环环评发</w:t>
      </w:r>
      <w:r>
        <w:rPr>
          <w:color w:val="auto"/>
          <w:spacing w:val="0"/>
          <w:w w:val="100"/>
          <w:position w:val="0"/>
          <w:highlight w:val="none"/>
        </w:rPr>
        <w:t>〔202</w:t>
      </w:r>
      <w:r>
        <w:rPr>
          <w:rFonts w:hint="eastAsia"/>
          <w:color w:val="auto"/>
          <w:spacing w:val="0"/>
          <w:w w:val="100"/>
          <w:position w:val="0"/>
          <w:highlight w:val="none"/>
        </w:rPr>
        <w:t>4</w:t>
      </w:r>
      <w:r>
        <w:rPr>
          <w:color w:val="auto"/>
          <w:spacing w:val="0"/>
          <w:w w:val="100"/>
          <w:position w:val="0"/>
          <w:highlight w:val="none"/>
        </w:rPr>
        <w:t>〕</w:t>
      </w:r>
      <w:r>
        <w:rPr>
          <w:rFonts w:hint="eastAsia"/>
          <w:color w:val="auto"/>
          <w:spacing w:val="0"/>
          <w:w w:val="100"/>
          <w:position w:val="0"/>
          <w:highlight w:val="none"/>
        </w:rPr>
        <w:t>157</w:t>
      </w:r>
      <w:r>
        <w:rPr>
          <w:color w:val="auto"/>
          <w:spacing w:val="0"/>
          <w:w w:val="100"/>
          <w:position w:val="0"/>
          <w:highlight w:val="none"/>
        </w:rPr>
        <w:t>号</w:t>
      </w:r>
      <w:r>
        <w:rPr>
          <w:rFonts w:hint="eastAsia"/>
          <w:color w:val="auto"/>
          <w:spacing w:val="0"/>
          <w:w w:val="100"/>
          <w:position w:val="0"/>
          <w:highlight w:val="none"/>
        </w:rPr>
        <w:t>）符合性分析一览表</w:t>
      </w:r>
    </w:p>
    <w:tbl>
      <w:tblPr>
        <w:tblStyle w:val="25"/>
        <w:tblW w:w="4998" w:type="pct"/>
        <w:tblInd w:w="0" w:type="dxa"/>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Layout w:type="fixed"/>
        <w:tblCellMar>
          <w:top w:w="0" w:type="dxa"/>
          <w:left w:w="108" w:type="dxa"/>
          <w:bottom w:w="0" w:type="dxa"/>
          <w:right w:w="108" w:type="dxa"/>
        </w:tblCellMar>
      </w:tblPr>
      <w:tblGrid>
        <w:gridCol w:w="615"/>
        <w:gridCol w:w="641"/>
        <w:gridCol w:w="4334"/>
        <w:gridCol w:w="2559"/>
        <w:gridCol w:w="370"/>
      </w:tblGrid>
      <w:tr w14:paraId="33ED128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0" w:hRule="atLeast"/>
          <w:tblHeader/>
        </w:trPr>
        <w:tc>
          <w:tcPr>
            <w:tcW w:w="737" w:type="pct"/>
            <w:gridSpan w:val="2"/>
            <w:tcBorders>
              <w:top w:val="single" w:color="000000" w:sz="12" w:space="0"/>
            </w:tcBorders>
            <w:shd w:val="clear" w:color="auto" w:fill="auto"/>
            <w:noWrap w:val="0"/>
            <w:vAlign w:val="center"/>
          </w:tcPr>
          <w:p w14:paraId="5047901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eastAsia"/>
                <w:b/>
                <w:bCs/>
                <w:color w:val="auto"/>
                <w:spacing w:val="0"/>
                <w:w w:val="100"/>
                <w:position w:val="0"/>
                <w:highlight w:val="none"/>
                <w:lang w:eastAsia="zh-CN"/>
              </w:rPr>
            </w:pPr>
            <w:r>
              <w:rPr>
                <w:rFonts w:hint="default"/>
                <w:b/>
                <w:bCs/>
                <w:color w:val="auto"/>
                <w:spacing w:val="0"/>
                <w:w w:val="100"/>
                <w:position w:val="0"/>
                <w:highlight w:val="none"/>
              </w:rPr>
              <w:t>管控</w:t>
            </w:r>
            <w:r>
              <w:rPr>
                <w:rFonts w:hint="eastAsia"/>
                <w:b/>
                <w:bCs/>
                <w:color w:val="auto"/>
                <w:spacing w:val="0"/>
                <w:w w:val="100"/>
                <w:position w:val="0"/>
                <w:highlight w:val="none"/>
                <w:lang w:val="en-US" w:eastAsia="zh-CN"/>
              </w:rPr>
              <w:t>维度</w:t>
            </w:r>
          </w:p>
        </w:tc>
        <w:tc>
          <w:tcPr>
            <w:tcW w:w="2543" w:type="pct"/>
            <w:tcBorders>
              <w:top w:val="single" w:color="000000" w:sz="12" w:space="0"/>
            </w:tcBorders>
            <w:shd w:val="clear" w:color="auto" w:fill="auto"/>
            <w:noWrap w:val="0"/>
            <w:vAlign w:val="center"/>
          </w:tcPr>
          <w:p w14:paraId="74A51D7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管控要求</w:t>
            </w:r>
          </w:p>
        </w:tc>
        <w:tc>
          <w:tcPr>
            <w:tcW w:w="1501" w:type="pct"/>
            <w:tcBorders>
              <w:top w:val="single" w:color="000000" w:sz="12" w:space="0"/>
            </w:tcBorders>
            <w:shd w:val="clear" w:color="auto" w:fill="auto"/>
            <w:noWrap w:val="0"/>
            <w:vAlign w:val="center"/>
          </w:tcPr>
          <w:p w14:paraId="1260712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项目情况</w:t>
            </w:r>
          </w:p>
        </w:tc>
        <w:tc>
          <w:tcPr>
            <w:tcW w:w="217" w:type="pct"/>
            <w:tcBorders>
              <w:top w:val="single" w:color="000000" w:sz="12" w:space="0"/>
            </w:tcBorders>
            <w:shd w:val="clear" w:color="auto" w:fill="auto"/>
            <w:noWrap w:val="0"/>
            <w:vAlign w:val="center"/>
          </w:tcPr>
          <w:p w14:paraId="341CBAF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符合性</w:t>
            </w:r>
          </w:p>
        </w:tc>
      </w:tr>
      <w:tr w14:paraId="710FEDC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PrEx>
        <w:trPr>
          <w:trHeight w:val="0" w:hRule="atLeast"/>
        </w:trPr>
        <w:tc>
          <w:tcPr>
            <w:tcW w:w="360" w:type="pct"/>
            <w:vMerge w:val="restart"/>
            <w:shd w:val="clear" w:color="auto" w:fill="auto"/>
            <w:noWrap w:val="0"/>
            <w:vAlign w:val="center"/>
          </w:tcPr>
          <w:p w14:paraId="517122A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A1空间布局约束</w:t>
            </w:r>
          </w:p>
        </w:tc>
        <w:tc>
          <w:tcPr>
            <w:tcW w:w="376" w:type="pct"/>
            <w:vMerge w:val="restart"/>
            <w:shd w:val="clear" w:color="auto" w:fill="auto"/>
            <w:noWrap w:val="0"/>
            <w:vAlign w:val="center"/>
          </w:tcPr>
          <w:p w14:paraId="415D5EE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A1.1禁止开发建设的活动</w:t>
            </w:r>
          </w:p>
        </w:tc>
        <w:tc>
          <w:tcPr>
            <w:tcW w:w="2543" w:type="pct"/>
            <w:shd w:val="clear" w:color="auto" w:fill="auto"/>
            <w:noWrap w:val="0"/>
            <w:vAlign w:val="center"/>
          </w:tcPr>
          <w:p w14:paraId="60ACA1A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default"/>
                <w:color w:val="auto"/>
                <w:spacing w:val="0"/>
                <w:w w:val="100"/>
                <w:position w:val="0"/>
                <w:highlight w:val="none"/>
              </w:rPr>
            </w:pPr>
            <w:r>
              <w:rPr>
                <w:rFonts w:hint="default"/>
                <w:color w:val="auto"/>
                <w:spacing w:val="0"/>
                <w:w w:val="100"/>
                <w:position w:val="0"/>
                <w:highlight w:val="none"/>
              </w:rPr>
              <w:t>〔A1.1-1〕禁止新建、扩建《产业结构调整指导目录</w:t>
            </w:r>
            <w:r>
              <w:rPr>
                <w:rFonts w:hint="eastAsia"/>
                <w:color w:val="auto"/>
                <w:spacing w:val="0"/>
                <w:w w:val="100"/>
                <w:position w:val="0"/>
                <w:highlight w:val="none"/>
              </w:rPr>
              <w:t>（</w:t>
            </w:r>
            <w:r>
              <w:rPr>
                <w:rFonts w:hint="default"/>
                <w:color w:val="auto"/>
                <w:spacing w:val="0"/>
                <w:w w:val="100"/>
                <w:position w:val="0"/>
                <w:highlight w:val="none"/>
              </w:rPr>
              <w:t>2024年本</w:t>
            </w:r>
            <w:r>
              <w:rPr>
                <w:rFonts w:hint="eastAsia"/>
                <w:color w:val="auto"/>
                <w:spacing w:val="0"/>
                <w:w w:val="100"/>
                <w:position w:val="0"/>
                <w:highlight w:val="none"/>
              </w:rPr>
              <w:t>）</w:t>
            </w:r>
            <w:r>
              <w:rPr>
                <w:rFonts w:hint="default"/>
                <w:color w:val="auto"/>
                <w:spacing w:val="0"/>
                <w:w w:val="100"/>
                <w:position w:val="0"/>
                <w:highlight w:val="none"/>
              </w:rPr>
              <w:t>》中淘汰类项目。禁止引入《市场准入负面清单</w:t>
            </w:r>
            <w:r>
              <w:rPr>
                <w:rFonts w:hint="eastAsia"/>
                <w:color w:val="auto"/>
                <w:spacing w:val="0"/>
                <w:w w:val="100"/>
                <w:position w:val="0"/>
                <w:highlight w:val="none"/>
              </w:rPr>
              <w:t>（</w:t>
            </w:r>
            <w:r>
              <w:rPr>
                <w:rFonts w:hint="default"/>
                <w:color w:val="auto"/>
                <w:spacing w:val="0"/>
                <w:w w:val="100"/>
                <w:position w:val="0"/>
                <w:highlight w:val="none"/>
              </w:rPr>
              <w:t>2022年版</w:t>
            </w:r>
            <w:r>
              <w:rPr>
                <w:rFonts w:hint="eastAsia"/>
                <w:color w:val="auto"/>
                <w:spacing w:val="0"/>
                <w:w w:val="100"/>
                <w:position w:val="0"/>
                <w:highlight w:val="none"/>
              </w:rPr>
              <w:t>）</w:t>
            </w:r>
            <w:r>
              <w:rPr>
                <w:rFonts w:hint="default"/>
                <w:color w:val="auto"/>
                <w:spacing w:val="0"/>
                <w:w w:val="100"/>
                <w:position w:val="0"/>
                <w:highlight w:val="none"/>
              </w:rPr>
              <w:t>》禁止准入类事项。</w:t>
            </w:r>
          </w:p>
        </w:tc>
        <w:tc>
          <w:tcPr>
            <w:tcW w:w="1501" w:type="pct"/>
            <w:shd w:val="clear" w:color="auto" w:fill="auto"/>
            <w:noWrap w:val="0"/>
            <w:vAlign w:val="center"/>
          </w:tcPr>
          <w:p w14:paraId="32AB370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default"/>
                <w:color w:val="auto"/>
                <w:spacing w:val="0"/>
                <w:w w:val="100"/>
                <w:position w:val="0"/>
                <w:highlight w:val="none"/>
              </w:rPr>
            </w:pPr>
            <w:r>
              <w:rPr>
                <w:rFonts w:hint="default"/>
                <w:color w:val="auto"/>
                <w:spacing w:val="0"/>
                <w:w w:val="100"/>
                <w:position w:val="0"/>
                <w:highlight w:val="none"/>
              </w:rPr>
              <w:t>本项目属于《产业结构调整指导目录</w:t>
            </w:r>
            <w:r>
              <w:rPr>
                <w:rFonts w:hint="eastAsia"/>
                <w:color w:val="auto"/>
                <w:spacing w:val="0"/>
                <w:w w:val="100"/>
                <w:position w:val="0"/>
                <w:highlight w:val="none"/>
              </w:rPr>
              <w:t>（</w:t>
            </w:r>
            <w:r>
              <w:rPr>
                <w:rFonts w:hint="default"/>
                <w:color w:val="auto"/>
                <w:spacing w:val="0"/>
                <w:w w:val="100"/>
                <w:position w:val="0"/>
                <w:highlight w:val="none"/>
              </w:rPr>
              <w:t>2024年本</w:t>
            </w:r>
            <w:r>
              <w:rPr>
                <w:rFonts w:hint="eastAsia"/>
                <w:color w:val="auto"/>
                <w:spacing w:val="0"/>
                <w:w w:val="100"/>
                <w:position w:val="0"/>
                <w:highlight w:val="none"/>
              </w:rPr>
              <w:t>）</w:t>
            </w:r>
            <w:r>
              <w:rPr>
                <w:rFonts w:hint="default"/>
                <w:color w:val="auto"/>
                <w:spacing w:val="0"/>
                <w:w w:val="100"/>
                <w:position w:val="0"/>
                <w:highlight w:val="none"/>
              </w:rPr>
              <w:t>》中</w:t>
            </w:r>
            <w:r>
              <w:rPr>
                <w:rFonts w:hint="eastAsia"/>
                <w:color w:val="auto"/>
                <w:spacing w:val="0"/>
                <w:w w:val="100"/>
                <w:position w:val="0"/>
                <w:highlight w:val="none"/>
                <w:lang w:val="en-US" w:eastAsia="zh-CN"/>
              </w:rPr>
              <w:t>允许类</w:t>
            </w:r>
            <w:r>
              <w:rPr>
                <w:rFonts w:hint="default"/>
                <w:color w:val="auto"/>
                <w:spacing w:val="0"/>
                <w:w w:val="100"/>
                <w:position w:val="0"/>
                <w:highlight w:val="none"/>
              </w:rPr>
              <w:t>项目，不属于《市场准入负面清单</w:t>
            </w:r>
            <w:r>
              <w:rPr>
                <w:rFonts w:hint="eastAsia"/>
                <w:color w:val="auto"/>
                <w:spacing w:val="0"/>
                <w:w w:val="100"/>
                <w:position w:val="0"/>
                <w:highlight w:val="none"/>
              </w:rPr>
              <w:t>（</w:t>
            </w:r>
            <w:r>
              <w:rPr>
                <w:rFonts w:hint="default"/>
                <w:color w:val="auto"/>
                <w:spacing w:val="0"/>
                <w:w w:val="100"/>
                <w:position w:val="0"/>
                <w:highlight w:val="none"/>
              </w:rPr>
              <w:t>202</w:t>
            </w:r>
            <w:r>
              <w:rPr>
                <w:rFonts w:hint="eastAsia"/>
                <w:color w:val="auto"/>
                <w:spacing w:val="0"/>
                <w:w w:val="100"/>
                <w:position w:val="0"/>
                <w:highlight w:val="none"/>
                <w:lang w:val="en-US" w:eastAsia="zh-CN"/>
              </w:rPr>
              <w:t>5</w:t>
            </w:r>
            <w:r>
              <w:rPr>
                <w:rFonts w:hint="default"/>
                <w:color w:val="auto"/>
                <w:spacing w:val="0"/>
                <w:w w:val="100"/>
                <w:position w:val="0"/>
                <w:highlight w:val="none"/>
              </w:rPr>
              <w:t>年版</w:t>
            </w:r>
            <w:r>
              <w:rPr>
                <w:rFonts w:hint="eastAsia"/>
                <w:color w:val="auto"/>
                <w:spacing w:val="0"/>
                <w:w w:val="100"/>
                <w:position w:val="0"/>
                <w:highlight w:val="none"/>
              </w:rPr>
              <w:t>）</w:t>
            </w:r>
            <w:r>
              <w:rPr>
                <w:rFonts w:hint="default"/>
                <w:color w:val="auto"/>
                <w:spacing w:val="0"/>
                <w:w w:val="100"/>
                <w:position w:val="0"/>
                <w:highlight w:val="none"/>
              </w:rPr>
              <w:t>》禁止准入类事项</w:t>
            </w:r>
          </w:p>
        </w:tc>
        <w:tc>
          <w:tcPr>
            <w:tcW w:w="217" w:type="pct"/>
            <w:shd w:val="clear" w:color="auto" w:fill="auto"/>
            <w:noWrap w:val="0"/>
            <w:vAlign w:val="center"/>
          </w:tcPr>
          <w:p w14:paraId="63F00BF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符合</w:t>
            </w:r>
          </w:p>
        </w:tc>
      </w:tr>
      <w:tr w14:paraId="34F57C8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0" w:hRule="atLeast"/>
        </w:trPr>
        <w:tc>
          <w:tcPr>
            <w:tcW w:w="360" w:type="pct"/>
            <w:vMerge w:val="continue"/>
            <w:shd w:val="clear" w:color="auto" w:fill="auto"/>
            <w:noWrap w:val="0"/>
            <w:vAlign w:val="center"/>
          </w:tcPr>
          <w:p w14:paraId="3C6E3CD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376" w:type="pct"/>
            <w:vMerge w:val="continue"/>
            <w:shd w:val="clear" w:color="auto" w:fill="auto"/>
            <w:noWrap w:val="0"/>
            <w:vAlign w:val="center"/>
          </w:tcPr>
          <w:p w14:paraId="50B766A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2543" w:type="pct"/>
            <w:shd w:val="clear" w:color="auto" w:fill="auto"/>
            <w:noWrap w:val="0"/>
            <w:vAlign w:val="center"/>
          </w:tcPr>
          <w:p w14:paraId="54F8C5A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default"/>
                <w:color w:val="auto"/>
                <w:spacing w:val="0"/>
                <w:w w:val="100"/>
                <w:position w:val="0"/>
                <w:highlight w:val="none"/>
              </w:rPr>
            </w:pPr>
            <w:r>
              <w:rPr>
                <w:rFonts w:hint="default"/>
                <w:color w:val="auto"/>
                <w:spacing w:val="0"/>
                <w:w w:val="100"/>
                <w:position w:val="0"/>
                <w:highlight w:val="none"/>
              </w:rPr>
              <w:t>[A1.1-3]禁止在饮用水水源保护区、风景名胜区、自然保护区的核心区和缓冲区、城镇居民区、文化教育科学研究区等人口集中区域以及</w:t>
            </w:r>
            <w:r>
              <w:rPr>
                <w:rFonts w:hint="eastAsia"/>
                <w:color w:val="auto"/>
                <w:spacing w:val="0"/>
                <w:w w:val="100"/>
                <w:position w:val="0"/>
                <w:highlight w:val="none"/>
                <w:lang w:eastAsia="zh-CN"/>
              </w:rPr>
              <w:t>法律法规</w:t>
            </w:r>
            <w:r>
              <w:rPr>
                <w:rFonts w:hint="default"/>
                <w:color w:val="auto"/>
                <w:spacing w:val="0"/>
                <w:w w:val="100"/>
                <w:position w:val="0"/>
                <w:highlight w:val="none"/>
              </w:rPr>
              <w:t>规定的其他禁止养殖区域建设畜禽养殖场、养殖小区。</w:t>
            </w:r>
          </w:p>
        </w:tc>
        <w:tc>
          <w:tcPr>
            <w:tcW w:w="1501" w:type="pct"/>
            <w:shd w:val="clear" w:color="auto" w:fill="auto"/>
            <w:noWrap w:val="0"/>
            <w:vAlign w:val="center"/>
          </w:tcPr>
          <w:p w14:paraId="496727B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default"/>
                <w:color w:val="auto"/>
                <w:spacing w:val="0"/>
                <w:w w:val="100"/>
                <w:position w:val="0"/>
                <w:highlight w:val="none"/>
              </w:rPr>
            </w:pPr>
            <w:r>
              <w:rPr>
                <w:rFonts w:hint="default"/>
                <w:color w:val="auto"/>
                <w:spacing w:val="0"/>
                <w:w w:val="100"/>
                <w:position w:val="0"/>
                <w:highlight w:val="none"/>
              </w:rPr>
              <w:t>本项目位于</w:t>
            </w:r>
            <w:r>
              <w:rPr>
                <w:rFonts w:hint="eastAsia"/>
                <w:color w:val="auto"/>
                <w:spacing w:val="0"/>
                <w:w w:val="100"/>
                <w:position w:val="0"/>
                <w:highlight w:val="none"/>
              </w:rPr>
              <w:t>甘泉堡工业园</w:t>
            </w:r>
            <w:r>
              <w:rPr>
                <w:rFonts w:hint="default"/>
                <w:color w:val="auto"/>
                <w:spacing w:val="0"/>
                <w:w w:val="100"/>
                <w:position w:val="0"/>
                <w:highlight w:val="none"/>
              </w:rPr>
              <w:t>，评价范围内无自然保护区、风景旅游区、文物保护区及珍稀动物保护区等敏感因素，不涉及生态保护红线。</w:t>
            </w:r>
          </w:p>
        </w:tc>
        <w:tc>
          <w:tcPr>
            <w:tcW w:w="217" w:type="pct"/>
            <w:shd w:val="clear" w:color="auto" w:fill="auto"/>
            <w:noWrap w:val="0"/>
            <w:vAlign w:val="center"/>
          </w:tcPr>
          <w:p w14:paraId="3A7FDD9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符合</w:t>
            </w:r>
          </w:p>
        </w:tc>
      </w:tr>
      <w:tr w14:paraId="102C288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0" w:hRule="atLeast"/>
        </w:trPr>
        <w:tc>
          <w:tcPr>
            <w:tcW w:w="360" w:type="pct"/>
            <w:vMerge w:val="continue"/>
            <w:shd w:val="clear" w:color="auto" w:fill="auto"/>
            <w:noWrap w:val="0"/>
            <w:vAlign w:val="center"/>
          </w:tcPr>
          <w:p w14:paraId="1D9D0BB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376" w:type="pct"/>
            <w:vMerge w:val="restart"/>
            <w:shd w:val="clear" w:color="auto" w:fill="auto"/>
            <w:noWrap w:val="0"/>
            <w:vAlign w:val="center"/>
          </w:tcPr>
          <w:p w14:paraId="1FEAF71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A1.2限制开发建设的活动</w:t>
            </w:r>
          </w:p>
        </w:tc>
        <w:tc>
          <w:tcPr>
            <w:tcW w:w="2543" w:type="pct"/>
            <w:shd w:val="clear" w:color="auto" w:fill="auto"/>
            <w:noWrap w:val="0"/>
            <w:vAlign w:val="center"/>
          </w:tcPr>
          <w:p w14:paraId="2E4BCC6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default"/>
                <w:color w:val="auto"/>
                <w:spacing w:val="0"/>
                <w:w w:val="100"/>
                <w:position w:val="0"/>
                <w:highlight w:val="none"/>
              </w:rPr>
            </w:pPr>
            <w:r>
              <w:rPr>
                <w:rFonts w:hint="default"/>
                <w:color w:val="auto"/>
                <w:spacing w:val="0"/>
                <w:w w:val="100"/>
                <w:position w:val="0"/>
                <w:highlight w:val="none"/>
              </w:rPr>
              <w:t>〔A1.2-1〕严格控制缺水地区、水污染严重区域和敏感区域高耗水、高污染行业发展。</w:t>
            </w:r>
          </w:p>
        </w:tc>
        <w:tc>
          <w:tcPr>
            <w:tcW w:w="1501" w:type="pct"/>
            <w:shd w:val="clear" w:color="auto" w:fill="auto"/>
            <w:noWrap w:val="0"/>
            <w:vAlign w:val="center"/>
          </w:tcPr>
          <w:p w14:paraId="1CF6E94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default"/>
                <w:color w:val="auto"/>
                <w:spacing w:val="0"/>
                <w:w w:val="100"/>
                <w:position w:val="0"/>
                <w:highlight w:val="none"/>
              </w:rPr>
            </w:pPr>
            <w:r>
              <w:rPr>
                <w:rFonts w:hint="default"/>
                <w:color w:val="auto"/>
                <w:spacing w:val="0"/>
                <w:w w:val="100"/>
                <w:position w:val="0"/>
                <w:highlight w:val="none"/>
              </w:rPr>
              <w:t>本项目不属于高耗水、高污染项目。</w:t>
            </w:r>
          </w:p>
        </w:tc>
        <w:tc>
          <w:tcPr>
            <w:tcW w:w="217" w:type="pct"/>
            <w:shd w:val="clear" w:color="auto" w:fill="auto"/>
            <w:noWrap w:val="0"/>
            <w:vAlign w:val="center"/>
          </w:tcPr>
          <w:p w14:paraId="51218F0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符合</w:t>
            </w:r>
          </w:p>
        </w:tc>
      </w:tr>
      <w:tr w14:paraId="3FD14E6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0" w:hRule="atLeast"/>
        </w:trPr>
        <w:tc>
          <w:tcPr>
            <w:tcW w:w="360" w:type="pct"/>
            <w:vMerge w:val="continue"/>
            <w:shd w:val="clear" w:color="auto" w:fill="auto"/>
            <w:noWrap w:val="0"/>
            <w:vAlign w:val="center"/>
          </w:tcPr>
          <w:p w14:paraId="29B5495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376" w:type="pct"/>
            <w:vMerge w:val="continue"/>
            <w:shd w:val="clear" w:color="auto" w:fill="auto"/>
            <w:noWrap w:val="0"/>
            <w:vAlign w:val="center"/>
          </w:tcPr>
          <w:p w14:paraId="4F8F03C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2543" w:type="pct"/>
            <w:shd w:val="clear" w:color="auto" w:fill="auto"/>
            <w:noWrap w:val="0"/>
            <w:vAlign w:val="center"/>
          </w:tcPr>
          <w:p w14:paraId="2DF59BD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default"/>
                <w:color w:val="auto"/>
                <w:spacing w:val="0"/>
                <w:w w:val="100"/>
                <w:position w:val="0"/>
                <w:highlight w:val="none"/>
              </w:rPr>
            </w:pPr>
            <w:r>
              <w:rPr>
                <w:rFonts w:hint="default"/>
                <w:color w:val="auto"/>
                <w:spacing w:val="0"/>
                <w:w w:val="100"/>
                <w:position w:val="0"/>
                <w:highlight w:val="none"/>
              </w:rPr>
              <w:t>〔A1.2-2〕建设项目用地原则上不得占用永久基本农田，确需占用永久基本农田的建设项目须符合《中华人民共和国基本农田保护条例》中相关要求，占用耕地、林地或草地的建设项目须按照国家、自治区相关补偿要求进行补偿。</w:t>
            </w:r>
          </w:p>
        </w:tc>
        <w:tc>
          <w:tcPr>
            <w:tcW w:w="1501" w:type="pct"/>
            <w:shd w:val="clear" w:color="auto" w:fill="auto"/>
            <w:noWrap w:val="0"/>
            <w:vAlign w:val="center"/>
          </w:tcPr>
          <w:p w14:paraId="1EA83F4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eastAsia"/>
                <w:color w:val="auto"/>
                <w:spacing w:val="0"/>
                <w:w w:val="100"/>
                <w:position w:val="0"/>
                <w:highlight w:val="none"/>
              </w:rPr>
            </w:pPr>
            <w:r>
              <w:rPr>
                <w:rFonts w:hint="default"/>
                <w:color w:val="auto"/>
                <w:spacing w:val="0"/>
                <w:w w:val="100"/>
                <w:position w:val="0"/>
                <w:highlight w:val="none"/>
              </w:rPr>
              <w:t>本项目</w:t>
            </w:r>
            <w:r>
              <w:rPr>
                <w:rFonts w:hint="eastAsia"/>
                <w:color w:val="auto"/>
                <w:spacing w:val="0"/>
                <w:w w:val="100"/>
                <w:position w:val="0"/>
                <w:highlight w:val="none"/>
                <w:lang w:val="en-US" w:eastAsia="zh-CN"/>
              </w:rPr>
              <w:t>不占用永久基本农田、不占用</w:t>
            </w:r>
            <w:r>
              <w:rPr>
                <w:rFonts w:hint="default"/>
                <w:color w:val="auto"/>
                <w:spacing w:val="0"/>
                <w:w w:val="100"/>
                <w:position w:val="0"/>
                <w:highlight w:val="none"/>
              </w:rPr>
              <w:t>耕地、林地或草地</w:t>
            </w:r>
            <w:r>
              <w:rPr>
                <w:rFonts w:hint="eastAsia"/>
                <w:color w:val="auto"/>
                <w:spacing w:val="0"/>
                <w:w w:val="100"/>
                <w:position w:val="0"/>
                <w:highlight w:val="none"/>
              </w:rPr>
              <w:t>。</w:t>
            </w:r>
          </w:p>
        </w:tc>
        <w:tc>
          <w:tcPr>
            <w:tcW w:w="217" w:type="pct"/>
            <w:shd w:val="clear" w:color="auto" w:fill="auto"/>
            <w:noWrap w:val="0"/>
            <w:vAlign w:val="center"/>
          </w:tcPr>
          <w:p w14:paraId="5A5DF80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符合</w:t>
            </w:r>
          </w:p>
        </w:tc>
      </w:tr>
      <w:tr w14:paraId="5C009F3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rPr>
        <w:tc>
          <w:tcPr>
            <w:tcW w:w="360" w:type="pct"/>
            <w:vMerge w:val="continue"/>
            <w:shd w:val="clear" w:color="auto" w:fill="auto"/>
            <w:noWrap w:val="0"/>
            <w:vAlign w:val="center"/>
          </w:tcPr>
          <w:p w14:paraId="50AD255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376" w:type="pct"/>
            <w:vMerge w:val="restart"/>
            <w:shd w:val="clear" w:color="auto" w:fill="auto"/>
            <w:noWrap w:val="0"/>
            <w:vAlign w:val="center"/>
          </w:tcPr>
          <w:p w14:paraId="079B701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A1.3不符合空间布局要求活动的退出要求</w:t>
            </w:r>
          </w:p>
        </w:tc>
        <w:tc>
          <w:tcPr>
            <w:tcW w:w="2543" w:type="pct"/>
            <w:shd w:val="clear" w:color="auto" w:fill="auto"/>
            <w:noWrap w:val="0"/>
            <w:vAlign w:val="center"/>
          </w:tcPr>
          <w:p w14:paraId="1C0FB18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default"/>
                <w:color w:val="auto"/>
                <w:spacing w:val="0"/>
                <w:w w:val="100"/>
                <w:position w:val="0"/>
                <w:highlight w:val="none"/>
              </w:rPr>
            </w:pPr>
            <w:r>
              <w:rPr>
                <w:rFonts w:hint="default"/>
                <w:color w:val="auto"/>
                <w:spacing w:val="0"/>
                <w:w w:val="100"/>
                <w:position w:val="0"/>
                <w:highlight w:val="none"/>
              </w:rPr>
              <w:t>〔A1.3-1〕任何单位和个人不得在水源涵养区、饮用水水源保护区内和河流、湖泊、水库周围建设重化工、涉重金属等工业污染项目；对已建成的工业污染项目，当地人民政府应当组织限期搬迁。</w:t>
            </w:r>
          </w:p>
        </w:tc>
        <w:tc>
          <w:tcPr>
            <w:tcW w:w="1501" w:type="pct"/>
            <w:shd w:val="clear" w:color="auto" w:fill="auto"/>
            <w:noWrap w:val="0"/>
            <w:vAlign w:val="center"/>
          </w:tcPr>
          <w:p w14:paraId="1B4192D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default"/>
                <w:color w:val="auto"/>
                <w:spacing w:val="0"/>
                <w:w w:val="100"/>
                <w:position w:val="0"/>
                <w:highlight w:val="none"/>
              </w:rPr>
            </w:pPr>
            <w:r>
              <w:rPr>
                <w:rFonts w:hint="default"/>
                <w:color w:val="auto"/>
                <w:spacing w:val="0"/>
                <w:w w:val="100"/>
                <w:position w:val="0"/>
                <w:highlight w:val="none"/>
              </w:rPr>
              <w:t>本项目</w:t>
            </w:r>
            <w:r>
              <w:rPr>
                <w:rFonts w:hint="eastAsia"/>
                <w:color w:val="auto"/>
                <w:spacing w:val="0"/>
                <w:w w:val="100"/>
                <w:position w:val="0"/>
                <w:highlight w:val="none"/>
                <w:lang w:val="en-US" w:eastAsia="zh-CN"/>
              </w:rPr>
              <w:t>所在地属于</w:t>
            </w:r>
            <w:r>
              <w:rPr>
                <w:rFonts w:hint="eastAsia"/>
                <w:color w:val="auto"/>
                <w:spacing w:val="0"/>
                <w:w w:val="100"/>
                <w:position w:val="0"/>
                <w:highlight w:val="none"/>
              </w:rPr>
              <w:t>甘泉堡工业园</w:t>
            </w:r>
            <w:r>
              <w:rPr>
                <w:rFonts w:hint="default"/>
                <w:color w:val="auto"/>
                <w:spacing w:val="0"/>
                <w:w w:val="100"/>
                <w:position w:val="0"/>
                <w:highlight w:val="none"/>
              </w:rPr>
              <w:t>，评价范围内无水源涵养区、饮用水水源保护区内和河流、湖泊、水库。</w:t>
            </w:r>
          </w:p>
        </w:tc>
        <w:tc>
          <w:tcPr>
            <w:tcW w:w="217" w:type="pct"/>
            <w:shd w:val="clear" w:color="auto" w:fill="auto"/>
            <w:noWrap w:val="0"/>
            <w:vAlign w:val="center"/>
          </w:tcPr>
          <w:p w14:paraId="4532A31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符合</w:t>
            </w:r>
          </w:p>
        </w:tc>
      </w:tr>
      <w:tr w14:paraId="605F0A0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0" w:hRule="atLeast"/>
        </w:trPr>
        <w:tc>
          <w:tcPr>
            <w:tcW w:w="360" w:type="pct"/>
            <w:vMerge w:val="continue"/>
            <w:shd w:val="clear" w:color="auto" w:fill="auto"/>
            <w:noWrap w:val="0"/>
            <w:vAlign w:val="center"/>
          </w:tcPr>
          <w:p w14:paraId="3A2E289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376" w:type="pct"/>
            <w:vMerge w:val="continue"/>
            <w:shd w:val="clear" w:color="auto" w:fill="auto"/>
            <w:noWrap w:val="0"/>
            <w:vAlign w:val="center"/>
          </w:tcPr>
          <w:p w14:paraId="30063EF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2543" w:type="pct"/>
            <w:shd w:val="clear" w:color="auto" w:fill="auto"/>
            <w:noWrap w:val="0"/>
            <w:vAlign w:val="center"/>
          </w:tcPr>
          <w:p w14:paraId="4CD0E5F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default"/>
                <w:color w:val="auto"/>
                <w:spacing w:val="0"/>
                <w:w w:val="100"/>
                <w:position w:val="0"/>
                <w:highlight w:val="none"/>
              </w:rPr>
            </w:pPr>
            <w:r>
              <w:rPr>
                <w:rFonts w:hint="default"/>
                <w:color w:val="auto"/>
                <w:spacing w:val="0"/>
                <w:w w:val="100"/>
                <w:position w:val="0"/>
                <w:highlight w:val="none"/>
              </w:rPr>
              <w:t>〔A1.3-2〕对不符合国家产业政策、严重污染水环境的生产项目全部予以取缔。</w:t>
            </w:r>
          </w:p>
        </w:tc>
        <w:tc>
          <w:tcPr>
            <w:tcW w:w="1501" w:type="pct"/>
            <w:shd w:val="clear" w:color="auto" w:fill="auto"/>
            <w:noWrap w:val="0"/>
            <w:vAlign w:val="center"/>
          </w:tcPr>
          <w:p w14:paraId="105C7F8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default"/>
                <w:color w:val="auto"/>
                <w:spacing w:val="0"/>
                <w:w w:val="100"/>
                <w:position w:val="0"/>
                <w:highlight w:val="none"/>
              </w:rPr>
            </w:pPr>
            <w:r>
              <w:rPr>
                <w:rFonts w:hint="default"/>
                <w:color w:val="auto"/>
                <w:spacing w:val="0"/>
                <w:w w:val="100"/>
                <w:position w:val="0"/>
                <w:highlight w:val="none"/>
              </w:rPr>
              <w:t>本项目</w:t>
            </w:r>
            <w:r>
              <w:rPr>
                <w:rFonts w:hint="eastAsia"/>
                <w:color w:val="auto"/>
                <w:spacing w:val="0"/>
                <w:w w:val="100"/>
                <w:position w:val="0"/>
                <w:highlight w:val="none"/>
                <w:lang w:val="en-US" w:eastAsia="zh-CN"/>
              </w:rPr>
              <w:t>无生产废水外排，生活污水排入污水管网，纳入阜西区污水处理厂处理</w:t>
            </w:r>
            <w:r>
              <w:rPr>
                <w:rFonts w:hint="default"/>
                <w:color w:val="auto"/>
                <w:spacing w:val="0"/>
                <w:w w:val="100"/>
                <w:position w:val="0"/>
                <w:highlight w:val="none"/>
              </w:rPr>
              <w:t>。</w:t>
            </w:r>
          </w:p>
        </w:tc>
        <w:tc>
          <w:tcPr>
            <w:tcW w:w="217" w:type="pct"/>
            <w:shd w:val="clear" w:color="auto" w:fill="auto"/>
            <w:noWrap w:val="0"/>
            <w:vAlign w:val="center"/>
          </w:tcPr>
          <w:p w14:paraId="102A819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符合</w:t>
            </w:r>
          </w:p>
        </w:tc>
      </w:tr>
      <w:tr w14:paraId="1A3E69A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0" w:hRule="atLeast"/>
        </w:trPr>
        <w:tc>
          <w:tcPr>
            <w:tcW w:w="360" w:type="pct"/>
            <w:vMerge w:val="continue"/>
            <w:shd w:val="clear" w:color="auto" w:fill="auto"/>
            <w:noWrap w:val="0"/>
            <w:vAlign w:val="center"/>
          </w:tcPr>
          <w:p w14:paraId="0371269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376" w:type="pct"/>
            <w:vMerge w:val="restart"/>
            <w:shd w:val="clear" w:color="auto" w:fill="auto"/>
            <w:noWrap w:val="0"/>
            <w:vAlign w:val="center"/>
          </w:tcPr>
          <w:p w14:paraId="34C6C9A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A1.4其他布局要求</w:t>
            </w:r>
          </w:p>
        </w:tc>
        <w:tc>
          <w:tcPr>
            <w:tcW w:w="2543" w:type="pct"/>
            <w:shd w:val="clear" w:color="auto" w:fill="auto"/>
            <w:noWrap w:val="0"/>
            <w:vAlign w:val="center"/>
          </w:tcPr>
          <w:p w14:paraId="3D75438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default"/>
                <w:color w:val="auto"/>
                <w:spacing w:val="0"/>
                <w:w w:val="100"/>
                <w:position w:val="0"/>
                <w:highlight w:val="none"/>
              </w:rPr>
            </w:pPr>
            <w:r>
              <w:rPr>
                <w:rFonts w:hint="default"/>
                <w:color w:val="auto"/>
                <w:spacing w:val="0"/>
                <w:w w:val="100"/>
                <w:position w:val="0"/>
                <w:highlight w:val="none"/>
              </w:rPr>
              <w:t>〔A1.4-1〕一切开发建设活动应符合国家、自治区主体功能区规划、自治区和各地颁布实施的生态环境功能区划、国民经济发展规划、产业发展规划、国土空间规划等相关规划及重点生态功能区负面清单要求，符合区域或产业规划环评要求，</w:t>
            </w:r>
          </w:p>
        </w:tc>
        <w:tc>
          <w:tcPr>
            <w:tcW w:w="1501" w:type="pct"/>
            <w:shd w:val="clear" w:color="auto" w:fill="auto"/>
            <w:noWrap w:val="0"/>
            <w:vAlign w:val="center"/>
          </w:tcPr>
          <w:p w14:paraId="35E0E14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default"/>
                <w:color w:val="auto"/>
                <w:spacing w:val="0"/>
                <w:w w:val="100"/>
                <w:position w:val="0"/>
                <w:highlight w:val="none"/>
              </w:rPr>
            </w:pPr>
            <w:r>
              <w:rPr>
                <w:rFonts w:hint="default"/>
                <w:color w:val="auto"/>
                <w:spacing w:val="0"/>
                <w:w w:val="100"/>
                <w:position w:val="0"/>
                <w:highlight w:val="none"/>
              </w:rPr>
              <w:t>本项目</w:t>
            </w:r>
            <w:r>
              <w:rPr>
                <w:rFonts w:hint="eastAsia"/>
                <w:color w:val="auto"/>
                <w:spacing w:val="0"/>
                <w:w w:val="100"/>
                <w:position w:val="0"/>
                <w:highlight w:val="none"/>
                <w:lang w:val="en-US" w:eastAsia="zh-CN"/>
              </w:rPr>
              <w:t>所在地属于</w:t>
            </w:r>
            <w:r>
              <w:rPr>
                <w:rFonts w:hint="eastAsia"/>
                <w:color w:val="auto"/>
                <w:spacing w:val="0"/>
                <w:w w:val="100"/>
                <w:position w:val="0"/>
                <w:highlight w:val="none"/>
              </w:rPr>
              <w:t>甘泉堡工业园</w:t>
            </w:r>
            <w:r>
              <w:rPr>
                <w:rFonts w:hint="default"/>
                <w:color w:val="auto"/>
                <w:spacing w:val="0"/>
                <w:w w:val="100"/>
                <w:position w:val="0"/>
                <w:highlight w:val="none"/>
              </w:rPr>
              <w:t>，符合国民经济发展规划</w:t>
            </w:r>
            <w:r>
              <w:rPr>
                <w:rFonts w:hint="eastAsia"/>
                <w:color w:val="auto"/>
                <w:spacing w:val="0"/>
                <w:w w:val="100"/>
                <w:position w:val="0"/>
                <w:highlight w:val="none"/>
              </w:rPr>
              <w:t>、</w:t>
            </w:r>
            <w:r>
              <w:rPr>
                <w:rFonts w:hint="default"/>
                <w:color w:val="auto"/>
                <w:spacing w:val="0"/>
                <w:w w:val="100"/>
                <w:position w:val="0"/>
                <w:highlight w:val="none"/>
              </w:rPr>
              <w:t>国土空间规划</w:t>
            </w:r>
            <w:r>
              <w:rPr>
                <w:rFonts w:hint="eastAsia"/>
                <w:color w:val="auto"/>
                <w:spacing w:val="0"/>
                <w:w w:val="100"/>
                <w:position w:val="0"/>
                <w:highlight w:val="none"/>
                <w:lang w:eastAsia="zh-CN"/>
              </w:rPr>
              <w:t>、</w:t>
            </w:r>
            <w:r>
              <w:rPr>
                <w:rFonts w:hint="eastAsia"/>
                <w:color w:val="auto"/>
                <w:spacing w:val="0"/>
                <w:w w:val="100"/>
                <w:position w:val="0"/>
                <w:highlight w:val="none"/>
                <w:lang w:val="en-US" w:eastAsia="zh-CN"/>
              </w:rPr>
              <w:t>园区规划</w:t>
            </w:r>
            <w:r>
              <w:rPr>
                <w:rFonts w:hint="default"/>
                <w:color w:val="auto"/>
                <w:spacing w:val="0"/>
                <w:w w:val="100"/>
                <w:position w:val="0"/>
                <w:highlight w:val="none"/>
              </w:rPr>
              <w:t>等</w:t>
            </w:r>
            <w:r>
              <w:rPr>
                <w:rFonts w:hint="eastAsia"/>
                <w:color w:val="auto"/>
                <w:spacing w:val="0"/>
                <w:w w:val="100"/>
                <w:position w:val="0"/>
                <w:highlight w:val="none"/>
              </w:rPr>
              <w:t>相关</w:t>
            </w:r>
            <w:r>
              <w:rPr>
                <w:rFonts w:hint="default"/>
                <w:color w:val="auto"/>
                <w:spacing w:val="0"/>
                <w:w w:val="100"/>
                <w:position w:val="0"/>
                <w:highlight w:val="none"/>
              </w:rPr>
              <w:t>要求。</w:t>
            </w:r>
          </w:p>
        </w:tc>
        <w:tc>
          <w:tcPr>
            <w:tcW w:w="217" w:type="pct"/>
            <w:shd w:val="clear" w:color="auto" w:fill="auto"/>
            <w:noWrap w:val="0"/>
            <w:vAlign w:val="center"/>
          </w:tcPr>
          <w:p w14:paraId="449CE71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符合</w:t>
            </w:r>
          </w:p>
        </w:tc>
      </w:tr>
      <w:tr w14:paraId="71661F8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0" w:hRule="atLeast"/>
        </w:trPr>
        <w:tc>
          <w:tcPr>
            <w:tcW w:w="360" w:type="pct"/>
            <w:vMerge w:val="continue"/>
            <w:shd w:val="clear" w:color="auto" w:fill="auto"/>
            <w:noWrap w:val="0"/>
            <w:vAlign w:val="center"/>
          </w:tcPr>
          <w:p w14:paraId="2892761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376" w:type="pct"/>
            <w:vMerge w:val="continue"/>
            <w:shd w:val="clear" w:color="auto" w:fill="auto"/>
            <w:noWrap w:val="0"/>
            <w:vAlign w:val="center"/>
          </w:tcPr>
          <w:p w14:paraId="514C086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2543" w:type="pct"/>
            <w:shd w:val="clear" w:color="auto" w:fill="auto"/>
            <w:noWrap w:val="0"/>
            <w:vAlign w:val="center"/>
          </w:tcPr>
          <w:p w14:paraId="075B33B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default"/>
                <w:color w:val="auto"/>
                <w:spacing w:val="0"/>
                <w:w w:val="100"/>
                <w:position w:val="0"/>
                <w:highlight w:val="none"/>
              </w:rPr>
            </w:pPr>
            <w:r>
              <w:rPr>
                <w:rFonts w:hint="default"/>
                <w:color w:val="auto"/>
                <w:spacing w:val="0"/>
                <w:w w:val="100"/>
                <w:position w:val="0"/>
                <w:highlight w:val="none"/>
              </w:rPr>
              <w:t>〔A1.4-2〕新建、扩建石化、化工、焦化、有色金属冶炼、平板玻璃项目应布设在依法合规设立并经规划环评的产业园区。</w:t>
            </w:r>
          </w:p>
        </w:tc>
        <w:tc>
          <w:tcPr>
            <w:tcW w:w="1501" w:type="pct"/>
            <w:shd w:val="clear" w:color="auto" w:fill="auto"/>
            <w:noWrap w:val="0"/>
            <w:vAlign w:val="center"/>
          </w:tcPr>
          <w:p w14:paraId="1D54040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eastAsia" w:eastAsia="宋体"/>
                <w:color w:val="auto"/>
                <w:spacing w:val="0"/>
                <w:w w:val="100"/>
                <w:position w:val="0"/>
                <w:highlight w:val="none"/>
                <w:lang w:val="en-US" w:eastAsia="zh-CN"/>
              </w:rPr>
            </w:pPr>
            <w:r>
              <w:rPr>
                <w:rFonts w:hint="eastAsia"/>
                <w:color w:val="auto"/>
                <w:spacing w:val="0"/>
                <w:w w:val="100"/>
                <w:position w:val="0"/>
                <w:highlight w:val="none"/>
                <w:lang w:val="en-US" w:eastAsia="zh-CN"/>
              </w:rPr>
              <w:t>本项目非</w:t>
            </w:r>
            <w:r>
              <w:rPr>
                <w:rFonts w:hint="default"/>
                <w:color w:val="auto"/>
                <w:spacing w:val="0"/>
                <w:w w:val="100"/>
                <w:position w:val="0"/>
                <w:highlight w:val="none"/>
              </w:rPr>
              <w:t>石化、化工、焦化、有色金属冶炼、平板玻璃项目</w:t>
            </w:r>
            <w:r>
              <w:rPr>
                <w:rFonts w:hint="eastAsia"/>
                <w:color w:val="auto"/>
                <w:spacing w:val="0"/>
                <w:w w:val="100"/>
                <w:position w:val="0"/>
                <w:highlight w:val="none"/>
                <w:lang w:eastAsia="zh-CN"/>
              </w:rPr>
              <w:t>。</w:t>
            </w:r>
          </w:p>
        </w:tc>
        <w:tc>
          <w:tcPr>
            <w:tcW w:w="217" w:type="pct"/>
            <w:shd w:val="clear" w:color="auto" w:fill="auto"/>
            <w:noWrap w:val="0"/>
            <w:vAlign w:val="center"/>
          </w:tcPr>
          <w:p w14:paraId="4C80F3B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符合</w:t>
            </w:r>
          </w:p>
        </w:tc>
      </w:tr>
      <w:tr w14:paraId="3A1014FC">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0" w:hRule="atLeast"/>
        </w:trPr>
        <w:tc>
          <w:tcPr>
            <w:tcW w:w="360" w:type="pct"/>
            <w:vMerge w:val="restart"/>
            <w:shd w:val="clear" w:color="auto" w:fill="auto"/>
            <w:noWrap w:val="0"/>
            <w:vAlign w:val="center"/>
          </w:tcPr>
          <w:p w14:paraId="5BC035E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A2污染物排放管控</w:t>
            </w:r>
          </w:p>
        </w:tc>
        <w:tc>
          <w:tcPr>
            <w:tcW w:w="376" w:type="pct"/>
            <w:shd w:val="clear" w:color="auto" w:fill="auto"/>
            <w:noWrap w:val="0"/>
            <w:vAlign w:val="center"/>
          </w:tcPr>
          <w:p w14:paraId="2FF82B4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A2.1污染物削减/替代要求</w:t>
            </w:r>
          </w:p>
        </w:tc>
        <w:tc>
          <w:tcPr>
            <w:tcW w:w="2543" w:type="pct"/>
            <w:shd w:val="clear" w:color="auto" w:fill="auto"/>
            <w:noWrap w:val="0"/>
            <w:vAlign w:val="center"/>
          </w:tcPr>
          <w:p w14:paraId="71636A4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default"/>
                <w:color w:val="auto"/>
                <w:spacing w:val="0"/>
                <w:w w:val="100"/>
                <w:position w:val="0"/>
                <w:highlight w:val="none"/>
              </w:rPr>
            </w:pPr>
            <w:r>
              <w:rPr>
                <w:rFonts w:hint="default"/>
                <w:color w:val="auto"/>
                <w:spacing w:val="0"/>
                <w:w w:val="100"/>
                <w:position w:val="0"/>
                <w:highlight w:val="none"/>
              </w:rPr>
              <w:t>〔A2.1-1〕新、改、扩建重点行业建设项目应符合</w:t>
            </w:r>
            <w:r>
              <w:rPr>
                <w:rFonts w:hint="eastAsia"/>
                <w:color w:val="auto"/>
                <w:spacing w:val="0"/>
                <w:w w:val="100"/>
                <w:position w:val="0"/>
                <w:highlight w:val="none"/>
              </w:rPr>
              <w:t>“</w:t>
            </w:r>
            <w:r>
              <w:rPr>
                <w:rFonts w:hint="default"/>
                <w:color w:val="auto"/>
                <w:spacing w:val="0"/>
                <w:w w:val="100"/>
                <w:position w:val="0"/>
                <w:highlight w:val="none"/>
              </w:rPr>
              <w:t>三线一单</w:t>
            </w:r>
            <w:r>
              <w:rPr>
                <w:rFonts w:hint="eastAsia"/>
                <w:color w:val="auto"/>
                <w:spacing w:val="0"/>
                <w:w w:val="100"/>
                <w:position w:val="0"/>
                <w:highlight w:val="none"/>
              </w:rPr>
              <w:t>”</w:t>
            </w:r>
            <w:r>
              <w:rPr>
                <w:rFonts w:hint="default"/>
                <w:color w:val="auto"/>
                <w:spacing w:val="0"/>
                <w:w w:val="100"/>
                <w:position w:val="0"/>
                <w:highlight w:val="none"/>
              </w:rPr>
              <w:t>、产业政策、区域环评、规划环评和行业环境准入管控要求。重点区域的新、改、扩建重点行业建设项目应遵循重点重金属污染物排放</w:t>
            </w:r>
            <w:r>
              <w:rPr>
                <w:rFonts w:hint="eastAsia"/>
                <w:color w:val="auto"/>
                <w:spacing w:val="0"/>
                <w:w w:val="100"/>
                <w:position w:val="0"/>
                <w:highlight w:val="none"/>
              </w:rPr>
              <w:t>“</w:t>
            </w:r>
            <w:r>
              <w:rPr>
                <w:rFonts w:hint="default"/>
                <w:color w:val="auto"/>
                <w:spacing w:val="0"/>
                <w:w w:val="100"/>
                <w:position w:val="0"/>
                <w:highlight w:val="none"/>
              </w:rPr>
              <w:t>减量替代</w:t>
            </w:r>
            <w:r>
              <w:rPr>
                <w:rFonts w:hint="eastAsia"/>
                <w:color w:val="auto"/>
                <w:spacing w:val="0"/>
                <w:w w:val="100"/>
                <w:position w:val="0"/>
                <w:highlight w:val="none"/>
              </w:rPr>
              <w:t>”</w:t>
            </w:r>
            <w:r>
              <w:rPr>
                <w:rFonts w:hint="default"/>
                <w:color w:val="auto"/>
                <w:spacing w:val="0"/>
                <w:w w:val="100"/>
                <w:position w:val="0"/>
                <w:highlight w:val="none"/>
              </w:rPr>
              <w:t>原则。</w:t>
            </w:r>
          </w:p>
        </w:tc>
        <w:tc>
          <w:tcPr>
            <w:tcW w:w="1501" w:type="pct"/>
            <w:shd w:val="clear" w:color="auto" w:fill="auto"/>
            <w:noWrap w:val="0"/>
            <w:vAlign w:val="center"/>
          </w:tcPr>
          <w:p w14:paraId="4F5D543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default"/>
                <w:color w:val="auto"/>
                <w:spacing w:val="0"/>
                <w:w w:val="100"/>
                <w:position w:val="0"/>
                <w:highlight w:val="none"/>
                <w:lang w:val="en-US" w:eastAsia="zh-CN"/>
              </w:rPr>
            </w:pPr>
            <w:r>
              <w:rPr>
                <w:rFonts w:hint="default"/>
                <w:color w:val="auto"/>
                <w:spacing w:val="0"/>
                <w:w w:val="100"/>
                <w:position w:val="0"/>
                <w:highlight w:val="none"/>
              </w:rPr>
              <w:t>本项目废气污染物严格执行污染物</w:t>
            </w:r>
            <w:r>
              <w:rPr>
                <w:rFonts w:hint="eastAsia"/>
                <w:color w:val="auto"/>
                <w:spacing w:val="0"/>
                <w:w w:val="100"/>
                <w:position w:val="0"/>
                <w:highlight w:val="none"/>
              </w:rPr>
              <w:t>倍量</w:t>
            </w:r>
            <w:r>
              <w:rPr>
                <w:rFonts w:hint="default"/>
                <w:color w:val="auto"/>
                <w:spacing w:val="0"/>
                <w:w w:val="100"/>
                <w:position w:val="0"/>
                <w:highlight w:val="none"/>
              </w:rPr>
              <w:t>替代要求</w:t>
            </w:r>
            <w:r>
              <w:rPr>
                <w:rFonts w:hint="eastAsia"/>
                <w:color w:val="auto"/>
                <w:spacing w:val="0"/>
                <w:w w:val="100"/>
                <w:position w:val="0"/>
                <w:highlight w:val="none"/>
                <w:lang w:eastAsia="zh-CN"/>
              </w:rPr>
              <w:t>，</w:t>
            </w:r>
            <w:r>
              <w:rPr>
                <w:rFonts w:hint="eastAsia"/>
                <w:color w:val="auto"/>
                <w:spacing w:val="0"/>
                <w:w w:val="100"/>
                <w:position w:val="0"/>
                <w:highlight w:val="none"/>
                <w:lang w:val="en-US" w:eastAsia="zh-CN"/>
              </w:rPr>
              <w:t>不涉及重点重金属污染物的排放。</w:t>
            </w:r>
          </w:p>
        </w:tc>
        <w:tc>
          <w:tcPr>
            <w:tcW w:w="217" w:type="pct"/>
            <w:shd w:val="clear" w:color="auto" w:fill="auto"/>
            <w:noWrap w:val="0"/>
            <w:vAlign w:val="center"/>
          </w:tcPr>
          <w:p w14:paraId="359DE09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符合</w:t>
            </w:r>
          </w:p>
        </w:tc>
      </w:tr>
      <w:tr w14:paraId="14D5BD1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PrEx>
        <w:trPr>
          <w:trHeight w:val="0" w:hRule="atLeast"/>
        </w:trPr>
        <w:tc>
          <w:tcPr>
            <w:tcW w:w="360" w:type="pct"/>
            <w:vMerge w:val="continue"/>
            <w:shd w:val="clear" w:color="auto" w:fill="auto"/>
            <w:noWrap w:val="0"/>
            <w:vAlign w:val="center"/>
          </w:tcPr>
          <w:p w14:paraId="14A9A5F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376" w:type="pct"/>
            <w:vMerge w:val="restart"/>
            <w:shd w:val="clear" w:color="auto" w:fill="auto"/>
            <w:noWrap w:val="0"/>
            <w:vAlign w:val="center"/>
          </w:tcPr>
          <w:p w14:paraId="51A1A4D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A2.2污染控制措施要求</w:t>
            </w:r>
          </w:p>
        </w:tc>
        <w:tc>
          <w:tcPr>
            <w:tcW w:w="2543" w:type="pct"/>
            <w:shd w:val="clear" w:color="auto" w:fill="auto"/>
            <w:noWrap w:val="0"/>
            <w:vAlign w:val="center"/>
          </w:tcPr>
          <w:p w14:paraId="1111106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default"/>
                <w:color w:val="auto"/>
                <w:spacing w:val="0"/>
                <w:w w:val="100"/>
                <w:position w:val="0"/>
                <w:highlight w:val="none"/>
              </w:rPr>
            </w:pPr>
            <w:r>
              <w:rPr>
                <w:rFonts w:hint="default"/>
                <w:color w:val="auto"/>
                <w:spacing w:val="0"/>
                <w:w w:val="100"/>
                <w:position w:val="0"/>
                <w:highlight w:val="none"/>
              </w:rPr>
              <w:t>〔A2.2-1〕推动能源、钢铁、建材、有色、电力、化工等重点领域技术升级，控制工业过程温室气体排放，推动工业领域绿色低碳发展。积极鼓励发展二氧化碳捕集利用与封存等低碳技术。促进大气污染物与温室气体协同控制。实施污染物和温室气体协同控制，实现减污降碳协同效应。强化污水、垃圾等集中处置设施环境管理，协同控制氢氟碳化物、甲烷、氧化亚氮等温室气体。加强节约能源与大气污染防治协同有效衔接，促进大气污染防治协同增效。</w:t>
            </w:r>
          </w:p>
        </w:tc>
        <w:tc>
          <w:tcPr>
            <w:tcW w:w="1501" w:type="pct"/>
            <w:shd w:val="clear" w:color="auto" w:fill="auto"/>
            <w:noWrap w:val="0"/>
            <w:vAlign w:val="center"/>
          </w:tcPr>
          <w:p w14:paraId="5476F15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本项目</w:t>
            </w:r>
            <w:r>
              <w:rPr>
                <w:rFonts w:hint="eastAsia"/>
                <w:color w:val="auto"/>
                <w:spacing w:val="0"/>
                <w:w w:val="100"/>
                <w:position w:val="0"/>
                <w:highlight w:val="none"/>
                <w:lang w:val="en-US" w:eastAsia="zh-CN"/>
              </w:rPr>
              <w:t>非能源、钢铁、建材、有色、电力、化工项目，无温室气体排放，</w:t>
            </w:r>
            <w:r>
              <w:rPr>
                <w:rFonts w:hint="default"/>
                <w:color w:val="auto"/>
                <w:spacing w:val="0"/>
                <w:w w:val="100"/>
                <w:position w:val="0"/>
                <w:highlight w:val="none"/>
              </w:rPr>
              <w:t>大气严格执行特别排放限值</w:t>
            </w:r>
            <w:r>
              <w:rPr>
                <w:rFonts w:hint="eastAsia"/>
                <w:color w:val="auto"/>
                <w:spacing w:val="0"/>
                <w:w w:val="100"/>
                <w:position w:val="0"/>
                <w:highlight w:val="none"/>
                <w:lang w:eastAsia="zh-CN"/>
              </w:rPr>
              <w:t>，</w:t>
            </w:r>
            <w:r>
              <w:rPr>
                <w:rFonts w:hint="eastAsia"/>
                <w:color w:val="auto"/>
                <w:spacing w:val="0"/>
                <w:w w:val="100"/>
                <w:position w:val="0"/>
                <w:highlight w:val="none"/>
                <w:lang w:val="en-US" w:eastAsia="zh-CN"/>
              </w:rPr>
              <w:t>有组织颗粒物、非甲烷总烃执行《合成树脂工业污染物排放标准》（GB31572-2015）（含2024年修改单）表5大气污染物特别排放限值，厂界无组织颗粒物、非甲烷总烃执行《合成树脂工业污染物排放标准》（GB31572-2015）（含2024年修改单）表9排放限值，厂区内非甲烷总烃执行</w:t>
            </w:r>
            <w:r>
              <w:rPr>
                <w:rFonts w:hint="default" w:ascii="Times New Roman" w:hAnsi="Times New Roman" w:eastAsia="宋体" w:cs="Times New Roman"/>
                <w:caps w:val="0"/>
                <w:snapToGrid/>
                <w:color w:val="auto"/>
                <w:spacing w:val="0"/>
                <w:w w:val="100"/>
                <w:kern w:val="21"/>
                <w:position w:val="0"/>
                <w:sz w:val="21"/>
                <w:szCs w:val="21"/>
                <w:highlight w:val="none"/>
              </w:rPr>
              <w:t>《挥发性有机物无组织排放控制标准》（GB37822-2019）</w:t>
            </w: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附录A表A.1中特别排放限值</w:t>
            </w:r>
            <w:r>
              <w:rPr>
                <w:rFonts w:hint="default"/>
                <w:color w:val="auto"/>
                <w:spacing w:val="0"/>
                <w:w w:val="100"/>
                <w:position w:val="0"/>
                <w:highlight w:val="none"/>
              </w:rPr>
              <w:t>。</w:t>
            </w:r>
          </w:p>
        </w:tc>
        <w:tc>
          <w:tcPr>
            <w:tcW w:w="217" w:type="pct"/>
            <w:shd w:val="clear" w:color="auto" w:fill="auto"/>
            <w:noWrap w:val="0"/>
            <w:vAlign w:val="center"/>
          </w:tcPr>
          <w:p w14:paraId="1897AD1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符合</w:t>
            </w:r>
          </w:p>
        </w:tc>
      </w:tr>
      <w:tr w14:paraId="4FFF60A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0" w:hRule="atLeast"/>
        </w:trPr>
        <w:tc>
          <w:tcPr>
            <w:tcW w:w="360" w:type="pct"/>
            <w:vMerge w:val="continue"/>
            <w:shd w:val="clear" w:color="auto" w:fill="auto"/>
            <w:noWrap w:val="0"/>
            <w:vAlign w:val="center"/>
          </w:tcPr>
          <w:p w14:paraId="6BCA796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376" w:type="pct"/>
            <w:vMerge w:val="continue"/>
            <w:shd w:val="clear" w:color="auto" w:fill="auto"/>
            <w:noWrap w:val="0"/>
            <w:vAlign w:val="center"/>
          </w:tcPr>
          <w:p w14:paraId="2FF16B0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2543" w:type="pct"/>
            <w:shd w:val="clear" w:color="auto" w:fill="auto"/>
            <w:noWrap w:val="0"/>
            <w:vAlign w:val="center"/>
          </w:tcPr>
          <w:p w14:paraId="604A8F8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default"/>
                <w:color w:val="auto"/>
                <w:spacing w:val="0"/>
                <w:w w:val="100"/>
                <w:position w:val="0"/>
                <w:highlight w:val="none"/>
              </w:rPr>
            </w:pPr>
            <w:r>
              <w:rPr>
                <w:rFonts w:hint="default"/>
                <w:color w:val="auto"/>
                <w:spacing w:val="0"/>
                <w:w w:val="100"/>
                <w:position w:val="0"/>
                <w:highlight w:val="none"/>
              </w:rPr>
              <w:t>〔A2.2-3〕强化重点区域大气污染联防联控，合理确定产业布局，推动区域内统一产业准入和排放标准。实施水泥行业错峰生产，推进散煤整治、挥发性有机污染物综合治理、钢铁、水泥、焦化和燃煤工业锅炉行业超低排放改造、燃气锅炉低氮燃烧改造、工业园区内轨道运输</w:t>
            </w:r>
            <w:r>
              <w:rPr>
                <w:rFonts w:hint="eastAsia"/>
                <w:color w:val="auto"/>
                <w:spacing w:val="0"/>
                <w:w w:val="100"/>
                <w:position w:val="0"/>
                <w:highlight w:val="none"/>
              </w:rPr>
              <w:t>（</w:t>
            </w:r>
            <w:r>
              <w:rPr>
                <w:rFonts w:hint="default"/>
                <w:color w:val="auto"/>
                <w:spacing w:val="0"/>
                <w:w w:val="100"/>
                <w:position w:val="0"/>
                <w:highlight w:val="none"/>
              </w:rPr>
              <w:t>大宗货物</w:t>
            </w:r>
            <w:r>
              <w:rPr>
                <w:rFonts w:hint="eastAsia"/>
                <w:color w:val="auto"/>
                <w:spacing w:val="0"/>
                <w:w w:val="100"/>
                <w:position w:val="0"/>
                <w:highlight w:val="none"/>
              </w:rPr>
              <w:t>“</w:t>
            </w:r>
            <w:r>
              <w:rPr>
                <w:rFonts w:hint="default"/>
                <w:color w:val="auto"/>
                <w:spacing w:val="0"/>
                <w:w w:val="100"/>
                <w:position w:val="0"/>
                <w:highlight w:val="none"/>
              </w:rPr>
              <w:t>公转铁</w:t>
            </w:r>
            <w:r>
              <w:rPr>
                <w:rFonts w:hint="eastAsia"/>
                <w:color w:val="auto"/>
                <w:spacing w:val="0"/>
                <w:w w:val="100"/>
                <w:position w:val="0"/>
                <w:highlight w:val="none"/>
              </w:rPr>
              <w:t>”）</w:t>
            </w:r>
            <w:r>
              <w:rPr>
                <w:rFonts w:hint="default"/>
                <w:color w:val="auto"/>
                <w:spacing w:val="0"/>
                <w:w w:val="100"/>
                <w:position w:val="0"/>
                <w:highlight w:val="none"/>
              </w:rPr>
              <w:t>、柴油货车治理、锅炉炉窑综合治理等工程项目。全面推行绿色施工，持续推动城市建成区重污染企业搬迁或关闭退出</w:t>
            </w:r>
          </w:p>
        </w:tc>
        <w:tc>
          <w:tcPr>
            <w:tcW w:w="1501" w:type="pct"/>
            <w:shd w:val="clear" w:color="auto" w:fill="auto"/>
            <w:noWrap w:val="0"/>
            <w:vAlign w:val="center"/>
          </w:tcPr>
          <w:p w14:paraId="544149C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default" w:eastAsia="宋体"/>
                <w:color w:val="auto"/>
                <w:spacing w:val="0"/>
                <w:w w:val="100"/>
                <w:position w:val="0"/>
                <w:highlight w:val="none"/>
                <w:lang w:val="en-US" w:eastAsia="zh-CN"/>
              </w:rPr>
            </w:pPr>
            <w:r>
              <w:rPr>
                <w:rFonts w:hint="eastAsia"/>
                <w:color w:val="auto"/>
                <w:spacing w:val="0"/>
                <w:w w:val="100"/>
                <w:position w:val="0"/>
                <w:highlight w:val="none"/>
                <w:lang w:val="en-US" w:eastAsia="zh-CN"/>
              </w:rPr>
              <w:t>本项目为铝塑板生产项目，生产过程有机废气经“活性炭吸附脱附+催化燃烧装置”处理后经15m排气筒（DA002）排放，有组织非甲烷总烃执行《合成树脂工业污染物排放标准》（GB31572-2015）（含2024年修改单）表5大气污染物特别排放限值，厂界无组织非甲烷总烃执行《合成树脂工业污染物排放标准》（GB31572-2015）（含2024年修改单）表9排放限值，厂区内非甲烷总烃执行</w:t>
            </w:r>
            <w:r>
              <w:rPr>
                <w:rFonts w:hint="default" w:ascii="Times New Roman" w:hAnsi="Times New Roman" w:eastAsia="宋体" w:cs="Times New Roman"/>
                <w:caps w:val="0"/>
                <w:snapToGrid/>
                <w:color w:val="auto"/>
                <w:spacing w:val="0"/>
                <w:w w:val="100"/>
                <w:kern w:val="21"/>
                <w:position w:val="0"/>
                <w:sz w:val="21"/>
                <w:szCs w:val="21"/>
                <w:highlight w:val="none"/>
              </w:rPr>
              <w:t>《挥发性有机物无组织排放控制标准》（GB37822-2019）</w:t>
            </w: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附录A表A.1中特别排放限值</w:t>
            </w:r>
            <w:r>
              <w:rPr>
                <w:rFonts w:hint="eastAsia" w:cs="Times New Roman"/>
                <w:caps w:val="0"/>
                <w:snapToGrid/>
                <w:color w:val="auto"/>
                <w:spacing w:val="0"/>
                <w:w w:val="100"/>
                <w:kern w:val="21"/>
                <w:position w:val="0"/>
                <w:sz w:val="21"/>
                <w:szCs w:val="21"/>
                <w:highlight w:val="none"/>
                <w:lang w:val="en-US" w:eastAsia="zh-CN"/>
              </w:rPr>
              <w:t>。</w:t>
            </w:r>
          </w:p>
        </w:tc>
        <w:tc>
          <w:tcPr>
            <w:tcW w:w="217" w:type="pct"/>
            <w:shd w:val="clear" w:color="auto" w:fill="auto"/>
            <w:noWrap w:val="0"/>
            <w:vAlign w:val="center"/>
          </w:tcPr>
          <w:p w14:paraId="292C0F3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符合</w:t>
            </w:r>
          </w:p>
        </w:tc>
      </w:tr>
      <w:tr w14:paraId="1DEFE5E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0" w:hRule="atLeast"/>
        </w:trPr>
        <w:tc>
          <w:tcPr>
            <w:tcW w:w="360" w:type="pct"/>
            <w:shd w:val="clear" w:color="auto" w:fill="auto"/>
            <w:noWrap w:val="0"/>
            <w:vAlign w:val="center"/>
          </w:tcPr>
          <w:p w14:paraId="01DE096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A3环境风险防控</w:t>
            </w:r>
          </w:p>
        </w:tc>
        <w:tc>
          <w:tcPr>
            <w:tcW w:w="376" w:type="pct"/>
            <w:shd w:val="clear" w:color="auto" w:fill="auto"/>
            <w:noWrap w:val="0"/>
            <w:vAlign w:val="center"/>
          </w:tcPr>
          <w:p w14:paraId="5EB19F1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A3.2联防联控要求</w:t>
            </w:r>
          </w:p>
        </w:tc>
        <w:tc>
          <w:tcPr>
            <w:tcW w:w="2543" w:type="pct"/>
            <w:shd w:val="clear" w:color="auto" w:fill="auto"/>
            <w:noWrap w:val="0"/>
            <w:vAlign w:val="center"/>
          </w:tcPr>
          <w:p w14:paraId="77DD178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A3.2-3]加强新污染物多环境介质协同治理。排放重点管控新污染物的企事业单位应采取污染控制措施，达到相关污染物排放标准及环境质量目标要求；按照排污许可管理有关要求，依法申领排污许可证或填写排污登记表，并在其中载明执行的污染控制标准要求及采取的污染控制措施。排放重点管控新污染物的企事业单位和其他生产经营者应按照相关法律法规要求，对排放</w:t>
            </w:r>
            <w:r>
              <w:rPr>
                <w:rFonts w:hint="eastAsia"/>
                <w:color w:val="auto"/>
                <w:spacing w:val="0"/>
                <w:w w:val="100"/>
                <w:position w:val="0"/>
                <w:highlight w:val="none"/>
              </w:rPr>
              <w:t>（</w:t>
            </w:r>
            <w:r>
              <w:rPr>
                <w:rFonts w:hint="default"/>
                <w:color w:val="auto"/>
                <w:spacing w:val="0"/>
                <w:w w:val="100"/>
                <w:position w:val="0"/>
                <w:highlight w:val="none"/>
              </w:rPr>
              <w:t>污</w:t>
            </w:r>
            <w:r>
              <w:rPr>
                <w:rFonts w:hint="eastAsia"/>
                <w:color w:val="auto"/>
                <w:spacing w:val="0"/>
                <w:w w:val="100"/>
                <w:position w:val="0"/>
                <w:highlight w:val="none"/>
              </w:rPr>
              <w:t>）</w:t>
            </w:r>
            <w:r>
              <w:rPr>
                <w:rFonts w:hint="default"/>
                <w:color w:val="auto"/>
                <w:spacing w:val="0"/>
                <w:w w:val="100"/>
                <w:position w:val="0"/>
                <w:highlight w:val="none"/>
              </w:rPr>
              <w:t>口及其周边环境定期开展环境监测，评估环境风险，排查整治环境安全隐患依法公开新污染物信息，采取措施防范环境风险。土壤污染重点监管单位应严格控制有毒有害物质排放，建立土壤污染隐患排查制度防止有毒有害物质渗漏、流失、扬散。</w:t>
            </w:r>
          </w:p>
        </w:tc>
        <w:tc>
          <w:tcPr>
            <w:tcW w:w="1501" w:type="pct"/>
            <w:shd w:val="clear" w:color="auto" w:fill="auto"/>
            <w:noWrap w:val="0"/>
            <w:vAlign w:val="center"/>
          </w:tcPr>
          <w:p w14:paraId="3B90461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本项目</w:t>
            </w:r>
            <w:r>
              <w:rPr>
                <w:rFonts w:hint="eastAsia"/>
                <w:color w:val="auto"/>
                <w:spacing w:val="0"/>
                <w:w w:val="100"/>
                <w:position w:val="0"/>
                <w:highlight w:val="none"/>
                <w:lang w:val="en-US" w:eastAsia="zh-CN"/>
              </w:rPr>
              <w:t>废气经相应处理设备处理后可达标排放，建成后按照要求申领排污许可证</w:t>
            </w:r>
            <w:r>
              <w:rPr>
                <w:rFonts w:hint="default"/>
                <w:color w:val="auto"/>
                <w:spacing w:val="0"/>
                <w:w w:val="100"/>
                <w:position w:val="0"/>
                <w:highlight w:val="none"/>
              </w:rPr>
              <w:t>。</w:t>
            </w:r>
          </w:p>
        </w:tc>
        <w:tc>
          <w:tcPr>
            <w:tcW w:w="217" w:type="pct"/>
            <w:shd w:val="clear" w:color="auto" w:fill="auto"/>
            <w:noWrap w:val="0"/>
            <w:vAlign w:val="center"/>
          </w:tcPr>
          <w:p w14:paraId="13D7978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符合</w:t>
            </w:r>
          </w:p>
        </w:tc>
      </w:tr>
      <w:tr w14:paraId="74AD7F2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0" w:hRule="atLeast"/>
        </w:trPr>
        <w:tc>
          <w:tcPr>
            <w:tcW w:w="360" w:type="pct"/>
            <w:vMerge w:val="restart"/>
            <w:shd w:val="clear" w:color="auto" w:fill="auto"/>
            <w:noWrap w:val="0"/>
            <w:vAlign w:val="center"/>
          </w:tcPr>
          <w:p w14:paraId="03B3369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A4资源利用要求</w:t>
            </w:r>
          </w:p>
        </w:tc>
        <w:tc>
          <w:tcPr>
            <w:tcW w:w="376" w:type="pct"/>
            <w:shd w:val="clear" w:color="auto" w:fill="auto"/>
            <w:noWrap w:val="0"/>
            <w:vAlign w:val="center"/>
          </w:tcPr>
          <w:p w14:paraId="54CB689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A4.4禁燃区要求</w:t>
            </w:r>
          </w:p>
        </w:tc>
        <w:tc>
          <w:tcPr>
            <w:tcW w:w="2543" w:type="pct"/>
            <w:shd w:val="clear" w:color="auto" w:fill="auto"/>
            <w:noWrap w:val="0"/>
            <w:vAlign w:val="center"/>
          </w:tcPr>
          <w:p w14:paraId="407E6C9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〔A4.4-1〕在禁燃区内，禁止销售、燃用高污染燃料</w:t>
            </w:r>
            <w:r>
              <w:rPr>
                <w:rFonts w:hint="eastAsia"/>
                <w:color w:val="auto"/>
                <w:spacing w:val="0"/>
                <w:w w:val="100"/>
                <w:position w:val="0"/>
                <w:highlight w:val="none"/>
              </w:rPr>
              <w:t>；</w:t>
            </w:r>
            <w:r>
              <w:rPr>
                <w:rFonts w:hint="default"/>
                <w:color w:val="auto"/>
                <w:spacing w:val="0"/>
                <w:w w:val="100"/>
                <w:position w:val="0"/>
                <w:highlight w:val="none"/>
              </w:rPr>
              <w:t>禁止新建、扩建燃用高污染燃料的设施。已建成的，应当在规定期限内改用清洁能源。</w:t>
            </w:r>
          </w:p>
        </w:tc>
        <w:tc>
          <w:tcPr>
            <w:tcW w:w="1501" w:type="pct"/>
            <w:shd w:val="clear" w:color="auto" w:fill="auto"/>
            <w:noWrap w:val="0"/>
            <w:vAlign w:val="center"/>
          </w:tcPr>
          <w:p w14:paraId="1D4733E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eastAsia"/>
                <w:color w:val="auto"/>
                <w:spacing w:val="0"/>
                <w:w w:val="100"/>
                <w:position w:val="0"/>
                <w:highlight w:val="none"/>
              </w:rPr>
            </w:pPr>
            <w:r>
              <w:rPr>
                <w:rFonts w:hint="default"/>
                <w:color w:val="auto"/>
                <w:spacing w:val="0"/>
                <w:w w:val="100"/>
                <w:position w:val="0"/>
                <w:highlight w:val="none"/>
              </w:rPr>
              <w:t>本项目不使用高污染燃料的设备</w:t>
            </w:r>
            <w:r>
              <w:rPr>
                <w:rFonts w:hint="eastAsia"/>
                <w:color w:val="auto"/>
                <w:spacing w:val="0"/>
                <w:w w:val="100"/>
                <w:position w:val="0"/>
                <w:highlight w:val="none"/>
              </w:rPr>
              <w:t>。</w:t>
            </w:r>
          </w:p>
        </w:tc>
        <w:tc>
          <w:tcPr>
            <w:tcW w:w="217" w:type="pct"/>
            <w:shd w:val="clear" w:color="auto" w:fill="auto"/>
            <w:noWrap w:val="0"/>
            <w:vAlign w:val="center"/>
          </w:tcPr>
          <w:p w14:paraId="7219E31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符合</w:t>
            </w:r>
          </w:p>
        </w:tc>
      </w:tr>
      <w:tr w14:paraId="79029C1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0" w:hRule="atLeast"/>
        </w:trPr>
        <w:tc>
          <w:tcPr>
            <w:tcW w:w="360" w:type="pct"/>
            <w:vMerge w:val="continue"/>
            <w:tcBorders>
              <w:bottom w:val="single" w:color="000000" w:sz="12" w:space="0"/>
            </w:tcBorders>
            <w:shd w:val="clear" w:color="auto" w:fill="auto"/>
            <w:noWrap w:val="0"/>
            <w:vAlign w:val="center"/>
          </w:tcPr>
          <w:p w14:paraId="3ECF9B4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376" w:type="pct"/>
            <w:tcBorders>
              <w:bottom w:val="single" w:color="000000" w:sz="12" w:space="0"/>
            </w:tcBorders>
            <w:shd w:val="clear" w:color="auto" w:fill="auto"/>
            <w:noWrap w:val="0"/>
            <w:vAlign w:val="center"/>
          </w:tcPr>
          <w:p w14:paraId="4AD598F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A4.5资源综合利用</w:t>
            </w:r>
          </w:p>
        </w:tc>
        <w:tc>
          <w:tcPr>
            <w:tcW w:w="2543" w:type="pct"/>
            <w:tcBorders>
              <w:bottom w:val="single" w:color="000000" w:sz="12" w:space="0"/>
            </w:tcBorders>
            <w:shd w:val="clear" w:color="auto" w:fill="auto"/>
            <w:noWrap w:val="0"/>
            <w:vAlign w:val="center"/>
          </w:tcPr>
          <w:p w14:paraId="5A08BCC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default"/>
                <w:color w:val="auto"/>
                <w:spacing w:val="0"/>
                <w:w w:val="100"/>
                <w:position w:val="0"/>
                <w:highlight w:val="none"/>
              </w:rPr>
            </w:pPr>
            <w:r>
              <w:rPr>
                <w:rFonts w:hint="default"/>
                <w:color w:val="auto"/>
                <w:spacing w:val="0"/>
                <w:w w:val="100"/>
                <w:position w:val="0"/>
                <w:highlight w:val="none"/>
              </w:rPr>
              <w:t>〔A4.5-1〕加强固体废物源头减量、资源化利用和无害化处置，最大限度减少填埋量。推进工业固体废物精细化、名录化环境管理，促进大宗工业固废综合利用、主要农业废弃物全量利用。加快构建废旧物资回收和循环利用体系，健全强制报废制度和废旧家电、消费电子等耐用消费品回收处理体系，推行生产企业</w:t>
            </w:r>
            <w:r>
              <w:rPr>
                <w:rFonts w:hint="eastAsia"/>
                <w:color w:val="auto"/>
                <w:spacing w:val="0"/>
                <w:w w:val="100"/>
                <w:position w:val="0"/>
                <w:highlight w:val="none"/>
              </w:rPr>
              <w:t>“</w:t>
            </w:r>
            <w:r>
              <w:rPr>
                <w:rFonts w:hint="default"/>
                <w:color w:val="auto"/>
                <w:spacing w:val="0"/>
                <w:w w:val="100"/>
                <w:position w:val="0"/>
                <w:highlight w:val="none"/>
              </w:rPr>
              <w:t>逆向回收</w:t>
            </w:r>
            <w:r>
              <w:rPr>
                <w:rFonts w:hint="eastAsia"/>
                <w:color w:val="auto"/>
                <w:spacing w:val="0"/>
                <w:w w:val="100"/>
                <w:position w:val="0"/>
                <w:highlight w:val="none"/>
              </w:rPr>
              <w:t>”</w:t>
            </w:r>
            <w:r>
              <w:rPr>
                <w:rFonts w:hint="default"/>
                <w:color w:val="auto"/>
                <w:spacing w:val="0"/>
                <w:w w:val="100"/>
                <w:position w:val="0"/>
                <w:highlight w:val="none"/>
              </w:rPr>
              <w:t>等模式。以尾矿和共伴生矿、煤矸石、炉渣、粉煤灰、脱硫石膏、冶炼渣、建筑垃圾等为重点，持续推进固体废物综合利用和环境整治不断提高大宗固体废物资源化利用水平。推行生活垃圾分类，加快建设县</w:t>
            </w:r>
            <w:r>
              <w:rPr>
                <w:rFonts w:hint="eastAsia"/>
                <w:color w:val="auto"/>
                <w:spacing w:val="0"/>
                <w:w w:val="100"/>
                <w:position w:val="0"/>
                <w:highlight w:val="none"/>
              </w:rPr>
              <w:t>（</w:t>
            </w:r>
            <w:r>
              <w:rPr>
                <w:rFonts w:hint="default"/>
                <w:color w:val="auto"/>
                <w:spacing w:val="0"/>
                <w:w w:val="100"/>
                <w:position w:val="0"/>
                <w:highlight w:val="none"/>
              </w:rPr>
              <w:t>市</w:t>
            </w:r>
            <w:r>
              <w:rPr>
                <w:rFonts w:hint="eastAsia"/>
                <w:color w:val="auto"/>
                <w:spacing w:val="0"/>
                <w:w w:val="100"/>
                <w:position w:val="0"/>
                <w:highlight w:val="none"/>
              </w:rPr>
              <w:t>）</w:t>
            </w:r>
            <w:r>
              <w:rPr>
                <w:rFonts w:hint="default"/>
                <w:color w:val="auto"/>
                <w:spacing w:val="0"/>
                <w:w w:val="100"/>
                <w:position w:val="0"/>
                <w:highlight w:val="none"/>
              </w:rPr>
              <w:t>生活垃圾处理设施，到2025年，全疆城市生活垃圾无害化处理率达到99%以上。</w:t>
            </w:r>
          </w:p>
        </w:tc>
        <w:tc>
          <w:tcPr>
            <w:tcW w:w="1501" w:type="pct"/>
            <w:tcBorders>
              <w:bottom w:val="single" w:color="000000" w:sz="12" w:space="0"/>
            </w:tcBorders>
            <w:shd w:val="clear" w:color="auto" w:fill="auto"/>
            <w:noWrap w:val="0"/>
            <w:vAlign w:val="center"/>
          </w:tcPr>
          <w:p w14:paraId="60A592C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default"/>
                <w:color w:val="auto"/>
                <w:spacing w:val="0"/>
                <w:w w:val="100"/>
                <w:position w:val="0"/>
                <w:highlight w:val="none"/>
              </w:rPr>
            </w:pPr>
            <w:r>
              <w:rPr>
                <w:rFonts w:hint="eastAsia"/>
                <w:color w:val="auto"/>
                <w:spacing w:val="0"/>
                <w:w w:val="100"/>
                <w:position w:val="0"/>
                <w:highlight w:val="none"/>
                <w:lang w:val="en-US" w:eastAsia="zh-CN"/>
              </w:rPr>
              <w:t>本项目一般固废集中收集外售废旧物资回收企业，生活垃圾在厂区集中收集后由环卫部门处理，危废集中收集到危废贮存库暂存，定期交由有资质单位处置。</w:t>
            </w:r>
          </w:p>
        </w:tc>
        <w:tc>
          <w:tcPr>
            <w:tcW w:w="217" w:type="pct"/>
            <w:tcBorders>
              <w:bottom w:val="single" w:color="000000" w:sz="12" w:space="0"/>
            </w:tcBorders>
            <w:shd w:val="clear" w:color="auto" w:fill="auto"/>
            <w:noWrap w:val="0"/>
            <w:vAlign w:val="center"/>
          </w:tcPr>
          <w:p w14:paraId="1550F38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符合</w:t>
            </w:r>
          </w:p>
        </w:tc>
      </w:tr>
    </w:tbl>
    <w:p w14:paraId="2AAAFC13">
      <w:pPr>
        <w:pStyle w:val="32"/>
        <w:keepNext w:val="0"/>
        <w:keepLines w:val="0"/>
        <w:pageBreakBefore w:val="0"/>
        <w:widowControl w:val="0"/>
        <w:kinsoku/>
        <w:wordWrap/>
        <w:overflowPunct/>
        <w:topLinePunct w:val="0"/>
        <w:autoSpaceDE/>
        <w:autoSpaceDN/>
        <w:bidi w:val="0"/>
        <w:adjustRightInd/>
        <w:snapToGrid/>
        <w:rPr>
          <w:rFonts w:hint="eastAsia" w:eastAsia="宋体"/>
          <w:color w:val="auto"/>
          <w:spacing w:val="0"/>
          <w:w w:val="100"/>
          <w:position w:val="0"/>
          <w:highlight w:val="none"/>
          <w:lang w:val="en-US" w:eastAsia="zh-CN"/>
        </w:rPr>
      </w:pPr>
      <w:r>
        <w:rPr>
          <w:rFonts w:hint="default" w:ascii="Times New Roman" w:hAnsi="Times New Roman" w:cs="Times New Roman"/>
          <w:color w:val="auto"/>
          <w:spacing w:val="0"/>
          <w:w w:val="100"/>
          <w:position w:val="0"/>
          <w:sz w:val="24"/>
          <w:highlight w:val="none"/>
        </w:rPr>
        <w:t>综上，本项目的建设符合《新疆维吾尔自治区生态环境分区管控动态更新成果》（新环环评发〔2024〕157号）</w:t>
      </w:r>
      <w:r>
        <w:rPr>
          <w:rFonts w:hint="eastAsia" w:cs="Times New Roman"/>
          <w:color w:val="auto"/>
          <w:spacing w:val="0"/>
          <w:w w:val="100"/>
          <w:position w:val="0"/>
          <w:sz w:val="24"/>
          <w:highlight w:val="none"/>
          <w:lang w:val="en-US" w:eastAsia="zh-CN"/>
        </w:rPr>
        <w:t>要求。</w:t>
      </w:r>
    </w:p>
    <w:p w14:paraId="43AFF2C6">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1.3.3.2与《关于发布昌吉回族自治州生态环境分区管控动态更新成果的公告》的符合性分析</w:t>
      </w:r>
    </w:p>
    <w:p w14:paraId="7C830FA5">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rPr>
        <w:t>根据</w:t>
      </w:r>
      <w:r>
        <w:rPr>
          <w:rFonts w:hint="default"/>
          <w:color w:val="auto"/>
          <w:spacing w:val="0"/>
          <w:w w:val="100"/>
          <w:position w:val="0"/>
          <w:highlight w:val="none"/>
          <w:lang w:val="en-US" w:eastAsia="zh-CN"/>
        </w:rPr>
        <w:t>《</w:t>
      </w:r>
      <w:r>
        <w:rPr>
          <w:rFonts w:hint="eastAsia"/>
          <w:color w:val="auto"/>
          <w:spacing w:val="0"/>
          <w:w w:val="100"/>
          <w:position w:val="0"/>
          <w:highlight w:val="none"/>
          <w:lang w:val="en-US" w:eastAsia="zh-CN"/>
        </w:rPr>
        <w:t>关于发布昌吉回族自治州生态环境分区管控动态更新成果的公告</w:t>
      </w:r>
      <w:r>
        <w:rPr>
          <w:rFonts w:hint="default"/>
          <w:color w:val="auto"/>
          <w:spacing w:val="0"/>
          <w:w w:val="100"/>
          <w:position w:val="0"/>
          <w:highlight w:val="none"/>
          <w:lang w:val="en-US" w:eastAsia="zh-CN"/>
        </w:rPr>
        <w:t>》</w:t>
      </w:r>
      <w:r>
        <w:rPr>
          <w:rFonts w:hint="eastAsia"/>
          <w:color w:val="auto"/>
          <w:spacing w:val="0"/>
          <w:w w:val="100"/>
          <w:position w:val="0"/>
          <w:highlight w:val="none"/>
          <w:lang w:val="en-US" w:eastAsia="zh-CN"/>
        </w:rPr>
        <w:t>（2025年1月10日发布）</w:t>
      </w:r>
      <w:r>
        <w:rPr>
          <w:rFonts w:hint="default"/>
          <w:color w:val="auto"/>
          <w:spacing w:val="0"/>
          <w:w w:val="100"/>
          <w:position w:val="0"/>
          <w:highlight w:val="none"/>
        </w:rPr>
        <w:t>，本项目位于</w:t>
      </w:r>
      <w:r>
        <w:rPr>
          <w:rFonts w:hint="eastAsia"/>
          <w:color w:val="auto"/>
          <w:spacing w:val="0"/>
          <w:w w:val="100"/>
          <w:position w:val="0"/>
          <w:highlight w:val="none"/>
          <w:lang w:val="en-US" w:eastAsia="zh-CN"/>
        </w:rPr>
        <w:t>甘泉堡工业园区中小微企业创新区</w:t>
      </w:r>
      <w:r>
        <w:rPr>
          <w:rFonts w:hint="default"/>
          <w:color w:val="auto"/>
          <w:spacing w:val="0"/>
          <w:w w:val="100"/>
          <w:position w:val="0"/>
          <w:highlight w:val="none"/>
          <w:lang w:val="en-US" w:eastAsia="zh-CN"/>
        </w:rPr>
        <w:t>，</w:t>
      </w:r>
      <w:r>
        <w:rPr>
          <w:color w:val="auto"/>
          <w:spacing w:val="0"/>
          <w:w w:val="100"/>
          <w:position w:val="0"/>
          <w:sz w:val="24"/>
          <w:highlight w:val="none"/>
          <w:lang w:bidi="ar"/>
        </w:rPr>
        <w:t>选址属于重点管控单元</w:t>
      </w:r>
      <w:r>
        <w:rPr>
          <w:rFonts w:hint="eastAsia"/>
          <w:color w:val="auto"/>
          <w:spacing w:val="0"/>
          <w:w w:val="100"/>
          <w:position w:val="0"/>
          <w:sz w:val="24"/>
          <w:highlight w:val="none"/>
          <w:lang w:eastAsia="zh-CN" w:bidi="ar"/>
        </w:rPr>
        <w:t>（</w:t>
      </w:r>
      <w:r>
        <w:rPr>
          <w:rFonts w:hint="eastAsia"/>
          <w:color w:val="auto"/>
          <w:spacing w:val="0"/>
          <w:w w:val="100"/>
          <w:position w:val="0"/>
          <w:sz w:val="24"/>
          <w:highlight w:val="none"/>
          <w:lang w:bidi="ar"/>
        </w:rPr>
        <w:t>环境管控单元判别见图</w:t>
      </w:r>
      <w:r>
        <w:rPr>
          <w:rFonts w:hint="eastAsia"/>
          <w:color w:val="auto"/>
          <w:spacing w:val="0"/>
          <w:w w:val="100"/>
          <w:position w:val="0"/>
          <w:sz w:val="24"/>
          <w:highlight w:val="none"/>
          <w:lang w:val="en-US" w:eastAsia="zh-CN" w:bidi="ar"/>
        </w:rPr>
        <w:t>1.3.3-1</w:t>
      </w:r>
      <w:r>
        <w:rPr>
          <w:rFonts w:hint="eastAsia"/>
          <w:color w:val="auto"/>
          <w:spacing w:val="0"/>
          <w:w w:val="100"/>
          <w:position w:val="0"/>
          <w:sz w:val="24"/>
          <w:highlight w:val="none"/>
          <w:lang w:bidi="ar"/>
        </w:rPr>
        <w:t>，</w:t>
      </w:r>
      <w:r>
        <w:rPr>
          <w:rFonts w:hint="eastAsia"/>
          <w:color w:val="auto"/>
          <w:spacing w:val="0"/>
          <w:w w:val="100"/>
          <w:position w:val="0"/>
          <w:sz w:val="24"/>
          <w:highlight w:val="none"/>
          <w:lang w:eastAsia="zh-CN" w:bidi="ar"/>
        </w:rPr>
        <w:t>）</w:t>
      </w:r>
      <w:r>
        <w:rPr>
          <w:color w:val="auto"/>
          <w:spacing w:val="0"/>
          <w:w w:val="100"/>
          <w:position w:val="0"/>
          <w:sz w:val="24"/>
          <w:highlight w:val="none"/>
          <w:lang w:bidi="ar"/>
        </w:rPr>
        <w:t>，环境管控单元名称：</w:t>
      </w:r>
      <w:r>
        <w:rPr>
          <w:rFonts w:hint="eastAsia"/>
          <w:color w:val="auto"/>
          <w:spacing w:val="0"/>
          <w:w w:val="100"/>
          <w:position w:val="0"/>
          <w:sz w:val="24"/>
          <w:highlight w:val="none"/>
          <w:lang w:bidi="ar"/>
        </w:rPr>
        <w:t>阜康高新技术产业开发区</w:t>
      </w:r>
      <w:r>
        <w:rPr>
          <w:color w:val="auto"/>
          <w:spacing w:val="0"/>
          <w:w w:val="100"/>
          <w:position w:val="0"/>
          <w:sz w:val="24"/>
          <w:highlight w:val="none"/>
          <w:lang w:bidi="ar"/>
        </w:rPr>
        <w:t>，环境管控单元编码：</w:t>
      </w:r>
      <w:r>
        <w:rPr>
          <w:rFonts w:hint="eastAsia"/>
          <w:color w:val="auto"/>
          <w:spacing w:val="0"/>
          <w:w w:val="100"/>
          <w:position w:val="0"/>
          <w:sz w:val="24"/>
          <w:highlight w:val="none"/>
          <w:lang w:bidi="ar"/>
        </w:rPr>
        <w:t>ZH65230220002</w:t>
      </w:r>
      <w:r>
        <w:rPr>
          <w:rFonts w:hint="eastAsia"/>
          <w:color w:val="auto"/>
          <w:spacing w:val="0"/>
          <w:w w:val="100"/>
          <w:position w:val="0"/>
          <w:sz w:val="24"/>
          <w:highlight w:val="none"/>
          <w:lang w:eastAsia="zh-CN" w:bidi="ar"/>
        </w:rPr>
        <w:t>，</w:t>
      </w:r>
      <w:r>
        <w:rPr>
          <w:color w:val="auto"/>
          <w:spacing w:val="0"/>
          <w:w w:val="100"/>
          <w:position w:val="0"/>
          <w:sz w:val="24"/>
          <w:highlight w:val="none"/>
          <w:lang w:bidi="ar"/>
        </w:rPr>
        <w:t>与《</w:t>
      </w:r>
      <w:r>
        <w:rPr>
          <w:rFonts w:hint="eastAsia"/>
          <w:color w:val="auto"/>
          <w:spacing w:val="0"/>
          <w:w w:val="100"/>
          <w:position w:val="0"/>
          <w:sz w:val="24"/>
          <w:highlight w:val="none"/>
          <w:lang w:bidi="ar"/>
        </w:rPr>
        <w:t>关于发布昌吉回族自治州生态环境分区管控动态更新成果的公告</w:t>
      </w:r>
      <w:r>
        <w:rPr>
          <w:color w:val="auto"/>
          <w:spacing w:val="0"/>
          <w:w w:val="100"/>
          <w:position w:val="0"/>
          <w:sz w:val="24"/>
          <w:highlight w:val="none"/>
          <w:lang w:bidi="ar"/>
        </w:rPr>
        <w:t>》（2024年</w:t>
      </w:r>
      <w:r>
        <w:rPr>
          <w:rFonts w:hint="eastAsia"/>
          <w:color w:val="auto"/>
          <w:spacing w:val="0"/>
          <w:w w:val="100"/>
          <w:position w:val="0"/>
          <w:sz w:val="24"/>
          <w:highlight w:val="none"/>
          <w:lang w:val="en-US" w:eastAsia="zh-CN" w:bidi="ar"/>
        </w:rPr>
        <w:t>12</w:t>
      </w:r>
      <w:r>
        <w:rPr>
          <w:color w:val="auto"/>
          <w:spacing w:val="0"/>
          <w:w w:val="100"/>
          <w:position w:val="0"/>
          <w:sz w:val="24"/>
          <w:highlight w:val="none"/>
          <w:lang w:bidi="ar"/>
        </w:rPr>
        <w:t>月2</w:t>
      </w:r>
      <w:r>
        <w:rPr>
          <w:rFonts w:hint="eastAsia"/>
          <w:color w:val="auto"/>
          <w:spacing w:val="0"/>
          <w:w w:val="100"/>
          <w:position w:val="0"/>
          <w:sz w:val="24"/>
          <w:highlight w:val="none"/>
          <w:lang w:val="en-US" w:eastAsia="zh-CN" w:bidi="ar"/>
        </w:rPr>
        <w:t>5</w:t>
      </w:r>
      <w:r>
        <w:rPr>
          <w:color w:val="auto"/>
          <w:spacing w:val="0"/>
          <w:w w:val="100"/>
          <w:position w:val="0"/>
          <w:sz w:val="24"/>
          <w:highlight w:val="none"/>
          <w:lang w:bidi="ar"/>
        </w:rPr>
        <w:t>日）符合性分析见表1</w:t>
      </w:r>
      <w:r>
        <w:rPr>
          <w:rFonts w:hint="eastAsia"/>
          <w:color w:val="auto"/>
          <w:spacing w:val="0"/>
          <w:w w:val="100"/>
          <w:position w:val="0"/>
          <w:sz w:val="24"/>
          <w:highlight w:val="none"/>
          <w:lang w:val="en-US" w:eastAsia="zh-CN" w:bidi="ar"/>
        </w:rPr>
        <w:t>.3.3-2</w:t>
      </w:r>
      <w:r>
        <w:rPr>
          <w:color w:val="auto"/>
          <w:spacing w:val="0"/>
          <w:w w:val="100"/>
          <w:position w:val="0"/>
          <w:sz w:val="24"/>
          <w:highlight w:val="none"/>
          <w:lang w:bidi="ar"/>
        </w:rPr>
        <w:t>，</w:t>
      </w:r>
      <w:r>
        <w:rPr>
          <w:rFonts w:hint="eastAsia"/>
          <w:color w:val="auto"/>
          <w:spacing w:val="0"/>
          <w:w w:val="100"/>
          <w:position w:val="0"/>
          <w:highlight w:val="none"/>
          <w:lang w:val="en-US" w:eastAsia="zh-CN"/>
        </w:rPr>
        <w:t>昌吉回族自治州</w:t>
      </w:r>
      <w:r>
        <w:rPr>
          <w:rFonts w:hint="eastAsia"/>
          <w:color w:val="auto"/>
          <w:spacing w:val="0"/>
          <w:w w:val="100"/>
          <w:position w:val="0"/>
          <w:sz w:val="24"/>
          <w:highlight w:val="none"/>
          <w:lang w:bidi="ar"/>
        </w:rPr>
        <w:t>环境管控单元分布图见图</w:t>
      </w:r>
      <w:r>
        <w:rPr>
          <w:rFonts w:hint="eastAsia"/>
          <w:color w:val="auto"/>
          <w:spacing w:val="0"/>
          <w:w w:val="100"/>
          <w:position w:val="0"/>
          <w:sz w:val="24"/>
          <w:highlight w:val="none"/>
          <w:lang w:val="en-US" w:eastAsia="zh-CN" w:bidi="ar"/>
        </w:rPr>
        <w:t>1.3.3-2</w:t>
      </w:r>
      <w:r>
        <w:rPr>
          <w:color w:val="auto"/>
          <w:spacing w:val="0"/>
          <w:w w:val="100"/>
          <w:position w:val="0"/>
          <w:sz w:val="24"/>
          <w:highlight w:val="none"/>
        </w:rPr>
        <w:t>。</w:t>
      </w:r>
    </w:p>
    <w:p w14:paraId="76423BF7">
      <w:pPr>
        <w:pStyle w:val="33"/>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s="Times New Roman"/>
          <w:b/>
          <w:bCs/>
          <w:color w:val="auto"/>
          <w:spacing w:val="0"/>
          <w:w w:val="100"/>
          <w:position w:val="0"/>
          <w:szCs w:val="21"/>
          <w:highlight w:val="none"/>
        </w:rPr>
      </w:pPr>
      <w:r>
        <w:rPr>
          <w:color w:val="auto"/>
          <w:spacing w:val="0"/>
          <w:w w:val="100"/>
          <w:position w:val="0"/>
          <w:highlight w:val="none"/>
        </w:rPr>
        <w:t>表</w:t>
      </w:r>
      <w:r>
        <w:rPr>
          <w:rFonts w:hint="eastAsia"/>
          <w:color w:val="auto"/>
          <w:spacing w:val="0"/>
          <w:w w:val="100"/>
          <w:position w:val="0"/>
          <w:highlight w:val="none"/>
          <w:lang w:val="en-US" w:eastAsia="zh-CN"/>
        </w:rPr>
        <w:t xml:space="preserve">1.3.3-2  </w:t>
      </w:r>
      <w:r>
        <w:rPr>
          <w:rFonts w:hint="default"/>
          <w:color w:val="auto"/>
          <w:spacing w:val="0"/>
          <w:w w:val="100"/>
          <w:position w:val="0"/>
          <w:highlight w:val="none"/>
        </w:rPr>
        <w:t xml:space="preserve"> 本项目与</w:t>
      </w:r>
      <w:r>
        <w:rPr>
          <w:rFonts w:hint="default"/>
          <w:color w:val="auto"/>
          <w:spacing w:val="0"/>
          <w:w w:val="100"/>
          <w:position w:val="0"/>
          <w:highlight w:val="none"/>
          <w:lang w:val="en-US" w:eastAsia="zh-CN"/>
        </w:rPr>
        <w:t>《关于发布昌吉回族自治州生态环境分区管控动态更新成果的公告》</w:t>
      </w:r>
      <w:r>
        <w:rPr>
          <w:rFonts w:hint="default"/>
          <w:color w:val="auto"/>
          <w:spacing w:val="0"/>
          <w:w w:val="100"/>
          <w:position w:val="0"/>
          <w:highlight w:val="none"/>
        </w:rPr>
        <w:t>的符合性分析</w:t>
      </w:r>
    </w:p>
    <w:tbl>
      <w:tblPr>
        <w:tblStyle w:val="26"/>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3813"/>
        <w:gridCol w:w="4139"/>
        <w:gridCol w:w="468"/>
      </w:tblGrid>
      <w:tr w14:paraId="7B7DEE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tblHeader/>
          <w:jc w:val="center"/>
        </w:trPr>
        <w:tc>
          <w:tcPr>
            <w:tcW w:w="2264" w:type="pct"/>
            <w:tcBorders>
              <w:bottom w:val="single" w:color="000000" w:sz="12" w:space="0"/>
              <w:tl2br w:val="nil"/>
              <w:tr2bl w:val="nil"/>
            </w:tcBorders>
            <w:noWrap w:val="0"/>
            <w:vAlign w:val="center"/>
          </w:tcPr>
          <w:p w14:paraId="096BE68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lang w:val="en-US" w:eastAsia="zh-CN"/>
              </w:rPr>
            </w:pPr>
            <w:r>
              <w:rPr>
                <w:rFonts w:hint="eastAsia"/>
                <w:b/>
                <w:bCs/>
                <w:color w:val="auto"/>
                <w:spacing w:val="0"/>
                <w:w w:val="100"/>
                <w:position w:val="0"/>
                <w:highlight w:val="none"/>
                <w:lang w:val="en-US" w:eastAsia="zh-CN"/>
              </w:rPr>
              <w:t>管控要求</w:t>
            </w:r>
          </w:p>
        </w:tc>
        <w:tc>
          <w:tcPr>
            <w:tcW w:w="2457" w:type="pct"/>
            <w:tcBorders>
              <w:bottom w:val="single" w:color="000000" w:sz="12" w:space="0"/>
              <w:tl2br w:val="nil"/>
              <w:tr2bl w:val="nil"/>
            </w:tcBorders>
            <w:noWrap w:val="0"/>
            <w:vAlign w:val="center"/>
          </w:tcPr>
          <w:p w14:paraId="7B5C8A8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lang w:val="en-US" w:eastAsia="zh-CN"/>
              </w:rPr>
            </w:pPr>
            <w:r>
              <w:rPr>
                <w:rFonts w:hint="default"/>
                <w:b/>
                <w:bCs/>
                <w:color w:val="auto"/>
                <w:spacing w:val="0"/>
                <w:w w:val="100"/>
                <w:position w:val="0"/>
                <w:highlight w:val="none"/>
                <w:lang w:val="en-US" w:eastAsia="zh-CN"/>
              </w:rPr>
              <w:t>项目情况</w:t>
            </w:r>
          </w:p>
        </w:tc>
        <w:tc>
          <w:tcPr>
            <w:tcW w:w="278" w:type="pct"/>
            <w:tcBorders>
              <w:bottom w:val="single" w:color="000000" w:sz="12" w:space="0"/>
              <w:tl2br w:val="nil"/>
              <w:tr2bl w:val="nil"/>
            </w:tcBorders>
            <w:noWrap w:val="0"/>
            <w:vAlign w:val="center"/>
          </w:tcPr>
          <w:p w14:paraId="09E5C4A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lang w:val="en-US" w:eastAsia="zh-CN"/>
              </w:rPr>
            </w:pPr>
            <w:r>
              <w:rPr>
                <w:rFonts w:hint="default"/>
                <w:b/>
                <w:bCs/>
                <w:color w:val="auto"/>
                <w:spacing w:val="0"/>
                <w:w w:val="100"/>
                <w:position w:val="0"/>
                <w:highlight w:val="none"/>
                <w:lang w:val="en-US" w:eastAsia="zh-CN"/>
              </w:rPr>
              <w:t>符合性</w:t>
            </w:r>
          </w:p>
        </w:tc>
      </w:tr>
      <w:tr w14:paraId="6B21AB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264" w:type="pct"/>
            <w:tcBorders>
              <w:top w:val="single" w:color="000000" w:sz="12" w:space="0"/>
              <w:tl2br w:val="nil"/>
              <w:tr2bl w:val="nil"/>
            </w:tcBorders>
            <w:noWrap w:val="0"/>
            <w:vAlign w:val="center"/>
          </w:tcPr>
          <w:p w14:paraId="0247507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eastAsia"/>
                <w:color w:val="auto"/>
                <w:spacing w:val="0"/>
                <w:w w:val="100"/>
                <w:position w:val="0"/>
                <w:highlight w:val="none"/>
              </w:rPr>
            </w:pPr>
            <w:r>
              <w:rPr>
                <w:rFonts w:hint="eastAsia"/>
                <w:color w:val="auto"/>
                <w:spacing w:val="0"/>
                <w:w w:val="100"/>
                <w:position w:val="0"/>
                <w:highlight w:val="none"/>
              </w:rPr>
              <w:t>1、入园企业须符合园区产业发展定位、产业发展布局规划。</w:t>
            </w:r>
          </w:p>
          <w:p w14:paraId="65211E7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eastAsia"/>
                <w:color w:val="auto"/>
                <w:spacing w:val="0"/>
                <w:w w:val="100"/>
                <w:position w:val="0"/>
                <w:highlight w:val="none"/>
              </w:rPr>
            </w:pPr>
            <w:r>
              <w:rPr>
                <w:rFonts w:hint="eastAsia"/>
                <w:color w:val="auto"/>
                <w:spacing w:val="0"/>
                <w:w w:val="100"/>
                <w:position w:val="0"/>
                <w:highlight w:val="none"/>
              </w:rPr>
              <w:t>2、入园企业须符合国土空间规划的布局及土地利用等相关要求。</w:t>
            </w:r>
          </w:p>
          <w:p w14:paraId="0278547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eastAsia"/>
                <w:color w:val="auto"/>
                <w:spacing w:val="0"/>
                <w:w w:val="100"/>
                <w:position w:val="0"/>
                <w:highlight w:val="none"/>
              </w:rPr>
            </w:pPr>
            <w:r>
              <w:rPr>
                <w:rFonts w:hint="eastAsia"/>
                <w:color w:val="auto"/>
                <w:spacing w:val="0"/>
                <w:w w:val="100"/>
                <w:position w:val="0"/>
                <w:highlight w:val="none"/>
              </w:rPr>
              <w:t>3、园区入驻项目须严格执行园区规划及规划环评相关要求。</w:t>
            </w:r>
          </w:p>
          <w:p w14:paraId="3FA80EA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eastAsia"/>
                <w:color w:val="auto"/>
                <w:spacing w:val="0"/>
                <w:w w:val="100"/>
                <w:position w:val="0"/>
                <w:highlight w:val="none"/>
              </w:rPr>
            </w:pPr>
            <w:r>
              <w:rPr>
                <w:rFonts w:hint="eastAsia"/>
                <w:color w:val="auto"/>
                <w:spacing w:val="0"/>
                <w:w w:val="100"/>
                <w:position w:val="0"/>
                <w:highlight w:val="none"/>
              </w:rPr>
              <w:t>4、园区入驻项目须满足《新疆维吾尔自治区重点行业生态环境准入条件（2024年）》相关要求。</w:t>
            </w:r>
          </w:p>
          <w:p w14:paraId="67FD27A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default"/>
                <w:color w:val="auto"/>
                <w:spacing w:val="0"/>
                <w:w w:val="100"/>
                <w:position w:val="0"/>
                <w:highlight w:val="none"/>
              </w:rPr>
            </w:pPr>
            <w:r>
              <w:rPr>
                <w:rFonts w:hint="eastAsia"/>
                <w:color w:val="auto"/>
                <w:spacing w:val="0"/>
                <w:w w:val="100"/>
                <w:position w:val="0"/>
                <w:highlight w:val="none"/>
              </w:rPr>
              <w:t>5、除国家规定新增原料用能不纳入能源消费总量控制的项目和列入国家规划的项目外，“乌-昌-石”等重点区域原则不再新建、扩建使用燃料用煤项目。</w:t>
            </w:r>
          </w:p>
        </w:tc>
        <w:tc>
          <w:tcPr>
            <w:tcW w:w="2457" w:type="pct"/>
            <w:tcBorders>
              <w:top w:val="single" w:color="000000" w:sz="12" w:space="0"/>
              <w:tl2br w:val="nil"/>
              <w:tr2bl w:val="nil"/>
            </w:tcBorders>
            <w:noWrap w:val="0"/>
            <w:vAlign w:val="center"/>
          </w:tcPr>
          <w:p w14:paraId="257B013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1、本项目符合《</w:t>
            </w:r>
            <w:r>
              <w:rPr>
                <w:rFonts w:hint="eastAsia"/>
                <w:color w:val="auto"/>
                <w:spacing w:val="0"/>
                <w:w w:val="100"/>
                <w:position w:val="0"/>
                <w:highlight w:val="none"/>
              </w:rPr>
              <w:t>甘泉堡工业园总体规划</w:t>
            </w:r>
            <w:r>
              <w:rPr>
                <w:rFonts w:hint="eastAsia"/>
                <w:color w:val="auto"/>
                <w:spacing w:val="0"/>
                <w:w w:val="100"/>
                <w:position w:val="0"/>
                <w:highlight w:val="none"/>
                <w:lang w:val="en-US" w:eastAsia="zh-CN"/>
              </w:rPr>
              <w:t>》产业定位机发展布局规划；</w:t>
            </w:r>
          </w:p>
          <w:p w14:paraId="7CBD202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2.本项目用地为工业用地，符合</w:t>
            </w:r>
            <w:r>
              <w:rPr>
                <w:rFonts w:hint="eastAsia"/>
                <w:color w:val="auto"/>
                <w:spacing w:val="0"/>
                <w:w w:val="100"/>
                <w:position w:val="0"/>
                <w:highlight w:val="none"/>
              </w:rPr>
              <w:t>国土空间规划的布局及土地利用</w:t>
            </w:r>
            <w:r>
              <w:rPr>
                <w:rFonts w:hint="eastAsia"/>
                <w:color w:val="auto"/>
                <w:spacing w:val="0"/>
                <w:w w:val="100"/>
                <w:position w:val="0"/>
                <w:highlight w:val="none"/>
                <w:lang w:val="en-US" w:eastAsia="zh-CN"/>
              </w:rPr>
              <w:t>要求；</w:t>
            </w:r>
          </w:p>
          <w:p w14:paraId="016F4EE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eastAsia"/>
                <w:color w:val="auto"/>
                <w:spacing w:val="0"/>
                <w:w w:val="100"/>
                <w:position w:val="0"/>
                <w:highlight w:val="none"/>
                <w:lang w:eastAsia="zh-CN"/>
              </w:rPr>
            </w:pPr>
            <w:r>
              <w:rPr>
                <w:rFonts w:hint="eastAsia"/>
                <w:color w:val="auto"/>
                <w:spacing w:val="0"/>
                <w:w w:val="100"/>
                <w:position w:val="0"/>
                <w:highlight w:val="none"/>
                <w:lang w:val="en-US" w:eastAsia="zh-CN"/>
              </w:rPr>
              <w:t>3.本项目</w:t>
            </w:r>
            <w:r>
              <w:rPr>
                <w:rFonts w:hint="eastAsia"/>
                <w:color w:val="auto"/>
                <w:spacing w:val="0"/>
                <w:w w:val="100"/>
                <w:position w:val="0"/>
                <w:highlight w:val="none"/>
              </w:rPr>
              <w:t>须严格执行园区规划及规划环评相关要求</w:t>
            </w:r>
            <w:r>
              <w:rPr>
                <w:rFonts w:hint="eastAsia"/>
                <w:color w:val="auto"/>
                <w:spacing w:val="0"/>
                <w:w w:val="100"/>
                <w:position w:val="0"/>
                <w:highlight w:val="none"/>
                <w:lang w:eastAsia="zh-CN"/>
              </w:rPr>
              <w:t>；</w:t>
            </w:r>
          </w:p>
          <w:p w14:paraId="5AF1104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4.本项目非《新疆维吾尔自治区重点行业生态环境准入条件（2024年）》中重点行业，选址位于基础设施完善的产业园区且符合相关规划、规划环评及其审查意见；</w:t>
            </w:r>
          </w:p>
          <w:p w14:paraId="7403BD1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5.本项目不使用煤作为燃料。</w:t>
            </w:r>
          </w:p>
        </w:tc>
        <w:tc>
          <w:tcPr>
            <w:tcW w:w="278" w:type="pct"/>
            <w:tcBorders>
              <w:top w:val="single" w:color="000000" w:sz="12" w:space="0"/>
              <w:tl2br w:val="nil"/>
              <w:tr2bl w:val="nil"/>
            </w:tcBorders>
            <w:noWrap w:val="0"/>
            <w:vAlign w:val="center"/>
          </w:tcPr>
          <w:p w14:paraId="27F5BA9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符合</w:t>
            </w:r>
          </w:p>
        </w:tc>
      </w:tr>
      <w:tr w14:paraId="286804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264" w:type="pct"/>
            <w:tcBorders>
              <w:tl2br w:val="nil"/>
              <w:tr2bl w:val="nil"/>
            </w:tcBorders>
            <w:noWrap w:val="0"/>
            <w:vAlign w:val="center"/>
          </w:tcPr>
          <w:p w14:paraId="4961B79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1、聚焦采暖期重污染天气治理，加大重点区域、重点行业结构调整和污染治理力度。</w:t>
            </w:r>
          </w:p>
          <w:p w14:paraId="0F6BC61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2、新（改、扩）建项目应执行最严格的大气污染物排放标准。</w:t>
            </w:r>
          </w:p>
          <w:p w14:paraId="23889FC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3、“乌-昌-石”区域内，已实施超低排放的涉气排污单位，其实施超低排放改造的污染因子执行超低排放限值，其他污染因子执行特别排放限值和特别控制要求。</w:t>
            </w:r>
          </w:p>
          <w:p w14:paraId="13D3B43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4、推动园区企业绿色发展，严格落实水污染物排放标准。</w:t>
            </w:r>
          </w:p>
          <w:p w14:paraId="6A26BB7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5、严格实施污染物排放总量控制要求；全面深化面源污染治理，积极推进绿色施工。</w:t>
            </w:r>
          </w:p>
        </w:tc>
        <w:tc>
          <w:tcPr>
            <w:tcW w:w="2457" w:type="pct"/>
            <w:tcBorders>
              <w:tl2br w:val="nil"/>
              <w:tr2bl w:val="nil"/>
            </w:tcBorders>
            <w:noWrap w:val="0"/>
            <w:vAlign w:val="center"/>
          </w:tcPr>
          <w:p w14:paraId="6312998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1项目</w:t>
            </w:r>
            <w:r>
              <w:rPr>
                <w:rFonts w:hint="eastAsia"/>
                <w:color w:val="auto"/>
                <w:spacing w:val="0"/>
                <w:w w:val="100"/>
                <w:position w:val="0"/>
                <w:highlight w:val="none"/>
                <w:lang w:val="en-US" w:eastAsia="zh-CN"/>
              </w:rPr>
              <w:t>执行最严格的大气污染物排放标准，有组织颗粒物、非甲烷总烃执行《合成树脂工业污染物排放标准》（GB31572-2015）（含2024年修改单）表5大气污染物特别排放限值，厂界无组织颗粒物、非甲烷总烃执行《合成树脂工业污染物排放标准》（GB31572-2015）（含2024年修改单）表9排放限值，厂区内非甲烷总烃执行</w:t>
            </w:r>
            <w:r>
              <w:rPr>
                <w:rFonts w:hint="default" w:ascii="Times New Roman" w:hAnsi="Times New Roman" w:eastAsia="宋体" w:cs="Times New Roman"/>
                <w:caps w:val="0"/>
                <w:snapToGrid/>
                <w:color w:val="auto"/>
                <w:spacing w:val="0"/>
                <w:w w:val="100"/>
                <w:kern w:val="21"/>
                <w:position w:val="0"/>
                <w:sz w:val="21"/>
                <w:szCs w:val="21"/>
                <w:highlight w:val="none"/>
              </w:rPr>
              <w:t>《挥发性有机物无组织排放控制标准》（GB37822-2019）</w:t>
            </w: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附录A表A.1中特别排放限值</w:t>
            </w:r>
            <w:r>
              <w:rPr>
                <w:rFonts w:hint="eastAsia" w:cs="Times New Roman"/>
                <w:caps w:val="0"/>
                <w:snapToGrid/>
                <w:color w:val="auto"/>
                <w:spacing w:val="0"/>
                <w:w w:val="100"/>
                <w:kern w:val="21"/>
                <w:position w:val="0"/>
                <w:sz w:val="21"/>
                <w:szCs w:val="21"/>
                <w:highlight w:val="none"/>
                <w:lang w:val="en-US" w:eastAsia="zh-CN"/>
              </w:rPr>
              <w:t>；</w:t>
            </w:r>
          </w:p>
          <w:p w14:paraId="500FD15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2.</w:t>
            </w:r>
            <w:r>
              <w:rPr>
                <w:rFonts w:hint="default"/>
                <w:color w:val="auto"/>
                <w:spacing w:val="0"/>
                <w:w w:val="100"/>
                <w:position w:val="0"/>
                <w:highlight w:val="none"/>
                <w:lang w:val="en-US" w:eastAsia="zh-CN"/>
              </w:rPr>
              <w:t>本项目</w:t>
            </w:r>
            <w:r>
              <w:rPr>
                <w:rFonts w:hint="eastAsia"/>
                <w:color w:val="auto"/>
                <w:spacing w:val="0"/>
                <w:w w:val="100"/>
                <w:position w:val="0"/>
                <w:highlight w:val="none"/>
                <w:lang w:val="en-US" w:eastAsia="zh-CN"/>
              </w:rPr>
              <w:t>无生产废水外排，生活污水排放可满足</w:t>
            </w:r>
            <w:r>
              <w:rPr>
                <w:rFonts w:hint="default"/>
                <w:color w:val="auto"/>
                <w:spacing w:val="0"/>
                <w:w w:val="100"/>
                <w:position w:val="0"/>
                <w:highlight w:val="none"/>
                <w:lang w:val="en-US" w:eastAsia="zh-CN"/>
              </w:rPr>
              <w:t>《污水综合排放标准》（GB8978-1996）表4中三级排放限值</w:t>
            </w:r>
            <w:r>
              <w:rPr>
                <w:rFonts w:hint="eastAsia" w:eastAsia="宋体"/>
                <w:color w:val="auto"/>
                <w:spacing w:val="0"/>
                <w:w w:val="100"/>
                <w:position w:val="0"/>
                <w:highlight w:val="none"/>
                <w:lang w:val="en-US" w:eastAsia="zh-CN"/>
              </w:rPr>
              <w:t>及《污水排入城镇下水道水质标准》（</w:t>
            </w:r>
            <w:r>
              <w:rPr>
                <w:rFonts w:hint="default" w:eastAsia="宋体"/>
                <w:color w:val="auto"/>
                <w:spacing w:val="0"/>
                <w:w w:val="100"/>
                <w:position w:val="0"/>
                <w:highlight w:val="none"/>
                <w:lang w:val="en-US" w:eastAsia="zh-CN"/>
              </w:rPr>
              <w:t>GB/T31962-2015</w:t>
            </w:r>
            <w:r>
              <w:rPr>
                <w:rFonts w:hint="eastAsia" w:eastAsia="宋体"/>
                <w:color w:val="auto"/>
                <w:spacing w:val="0"/>
                <w:w w:val="100"/>
                <w:position w:val="0"/>
                <w:highlight w:val="none"/>
                <w:lang w:val="en-US" w:eastAsia="zh-CN"/>
              </w:rPr>
              <w:t>）中</w:t>
            </w:r>
            <w:r>
              <w:rPr>
                <w:rFonts w:hint="default" w:eastAsia="宋体"/>
                <w:color w:val="auto"/>
                <w:spacing w:val="0"/>
                <w:w w:val="100"/>
                <w:position w:val="0"/>
                <w:highlight w:val="none"/>
                <w:lang w:val="en-US" w:eastAsia="zh-CN"/>
              </w:rPr>
              <w:t>NH</w:t>
            </w:r>
            <w:r>
              <w:rPr>
                <w:rFonts w:hint="default" w:eastAsia="宋体"/>
                <w:color w:val="auto"/>
                <w:spacing w:val="0"/>
                <w:w w:val="100"/>
                <w:position w:val="0"/>
                <w:highlight w:val="none"/>
                <w:vertAlign w:val="subscript"/>
                <w:lang w:val="en-US" w:eastAsia="zh-CN"/>
              </w:rPr>
              <w:t>3</w:t>
            </w:r>
            <w:r>
              <w:rPr>
                <w:rFonts w:hint="default" w:eastAsia="宋体"/>
                <w:color w:val="auto"/>
                <w:spacing w:val="0"/>
                <w:w w:val="100"/>
                <w:position w:val="0"/>
                <w:highlight w:val="none"/>
                <w:lang w:val="en-US" w:eastAsia="zh-CN"/>
              </w:rPr>
              <w:t>-N</w:t>
            </w:r>
            <w:r>
              <w:rPr>
                <w:rFonts w:hint="eastAsia" w:eastAsia="宋体"/>
                <w:color w:val="auto"/>
                <w:spacing w:val="0"/>
                <w:w w:val="100"/>
                <w:position w:val="0"/>
                <w:highlight w:val="none"/>
                <w:lang w:val="en-US" w:eastAsia="zh-CN"/>
              </w:rPr>
              <w:t>最高允许值</w:t>
            </w:r>
            <w:r>
              <w:rPr>
                <w:rFonts w:hint="default" w:eastAsia="宋体"/>
                <w:color w:val="auto"/>
                <w:spacing w:val="0"/>
                <w:w w:val="100"/>
                <w:position w:val="0"/>
                <w:highlight w:val="none"/>
                <w:lang w:val="en-US" w:eastAsia="zh-CN"/>
              </w:rPr>
              <w:t>B</w:t>
            </w:r>
            <w:r>
              <w:rPr>
                <w:rFonts w:hint="eastAsia" w:eastAsia="宋体"/>
                <w:color w:val="auto"/>
                <w:spacing w:val="0"/>
                <w:w w:val="100"/>
                <w:position w:val="0"/>
                <w:highlight w:val="none"/>
                <w:lang w:val="en-US" w:eastAsia="zh-CN"/>
              </w:rPr>
              <w:t>级标准</w:t>
            </w:r>
            <w:r>
              <w:rPr>
                <w:rFonts w:hint="default" w:eastAsia="宋体"/>
                <w:color w:val="auto"/>
                <w:spacing w:val="0"/>
                <w:w w:val="100"/>
                <w:position w:val="0"/>
                <w:highlight w:val="none"/>
                <w:lang w:val="en-US" w:eastAsia="zh-CN"/>
              </w:rPr>
              <w:t>45mg/L</w:t>
            </w:r>
            <w:r>
              <w:rPr>
                <w:rFonts w:hint="eastAsia"/>
                <w:color w:val="auto"/>
                <w:spacing w:val="0"/>
                <w:w w:val="100"/>
                <w:position w:val="0"/>
                <w:highlight w:val="none"/>
                <w:lang w:val="en-US" w:eastAsia="zh-CN"/>
              </w:rPr>
              <w:t>；</w:t>
            </w:r>
          </w:p>
          <w:p w14:paraId="2DC59AF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3.</w:t>
            </w:r>
            <w:r>
              <w:rPr>
                <w:rFonts w:hint="default"/>
                <w:color w:val="auto"/>
                <w:spacing w:val="0"/>
                <w:w w:val="100"/>
                <w:position w:val="0"/>
                <w:highlight w:val="none"/>
                <w:lang w:val="en-US" w:eastAsia="zh-CN"/>
              </w:rPr>
              <w:t>本项目</w:t>
            </w:r>
            <w:r>
              <w:rPr>
                <w:rFonts w:hint="eastAsia"/>
                <w:color w:val="auto"/>
                <w:spacing w:val="0"/>
                <w:w w:val="100"/>
                <w:position w:val="0"/>
                <w:highlight w:val="none"/>
                <w:lang w:val="en-US" w:eastAsia="zh-CN"/>
              </w:rPr>
              <w:t>按照要求实施总量控制；施工期仅为厂房装饰及设备安装，污染排放量较小，符合绿色施工要求。</w:t>
            </w:r>
          </w:p>
        </w:tc>
        <w:tc>
          <w:tcPr>
            <w:tcW w:w="278" w:type="pct"/>
            <w:tcBorders>
              <w:tl2br w:val="nil"/>
              <w:tr2bl w:val="nil"/>
            </w:tcBorders>
            <w:noWrap w:val="0"/>
            <w:vAlign w:val="center"/>
          </w:tcPr>
          <w:p w14:paraId="5FD5F5A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符合</w:t>
            </w:r>
          </w:p>
        </w:tc>
      </w:tr>
      <w:tr w14:paraId="1BB587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264" w:type="pct"/>
            <w:tcBorders>
              <w:tl2br w:val="nil"/>
              <w:tr2bl w:val="nil"/>
            </w:tcBorders>
            <w:noWrap w:val="0"/>
            <w:vAlign w:val="center"/>
          </w:tcPr>
          <w:p w14:paraId="0842ACC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default"/>
                <w:color w:val="auto"/>
                <w:spacing w:val="0"/>
                <w:w w:val="100"/>
                <w:position w:val="0"/>
                <w:highlight w:val="none"/>
              </w:rPr>
            </w:pPr>
            <w:r>
              <w:rPr>
                <w:rFonts w:hint="default"/>
                <w:color w:val="auto"/>
                <w:spacing w:val="0"/>
                <w:w w:val="100"/>
                <w:position w:val="0"/>
                <w:highlight w:val="none"/>
                <w:lang w:val="en-US" w:eastAsia="zh-CN"/>
              </w:rPr>
              <w:t>1、园区应设立环境应急管理机构，建立环境风险监管制度、环境风险预警制度、突发环境事件应急预案、环境风险应急保障制度等环境风险防控体系，并具备环境风险应急救援能力。</w:t>
            </w:r>
          </w:p>
        </w:tc>
        <w:tc>
          <w:tcPr>
            <w:tcW w:w="2457" w:type="pct"/>
            <w:tcBorders>
              <w:tl2br w:val="nil"/>
              <w:tr2bl w:val="nil"/>
            </w:tcBorders>
            <w:noWrap w:val="0"/>
            <w:vAlign w:val="center"/>
          </w:tcPr>
          <w:p w14:paraId="0BD04EE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本项目不涉及</w:t>
            </w:r>
          </w:p>
        </w:tc>
        <w:tc>
          <w:tcPr>
            <w:tcW w:w="278" w:type="pct"/>
            <w:tcBorders>
              <w:tl2br w:val="nil"/>
              <w:tr2bl w:val="nil"/>
            </w:tcBorders>
            <w:noWrap w:val="0"/>
            <w:vAlign w:val="center"/>
          </w:tcPr>
          <w:p w14:paraId="2552A65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w:t>
            </w:r>
          </w:p>
        </w:tc>
      </w:tr>
      <w:tr w14:paraId="0C8F51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264" w:type="pct"/>
            <w:tcBorders>
              <w:tl2br w:val="nil"/>
              <w:tr2bl w:val="nil"/>
            </w:tcBorders>
            <w:noWrap w:val="0"/>
            <w:vAlign w:val="center"/>
          </w:tcPr>
          <w:p w14:paraId="1A0518F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1、严守水资源开发利用控制、用水效率控制和水功能区限制纳污“三条红线”，严格实行区域用水总量和强度控制，强化用水定额管理。</w:t>
            </w:r>
          </w:p>
          <w:p w14:paraId="202A034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2、推行清洁生产、降低生产水耗、从源头上控制污染物的产生。</w:t>
            </w:r>
          </w:p>
          <w:p w14:paraId="2C6E07C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3、加强能耗“双控”管理，优化能源消费结构。严格合理控制煤炭消费增长，精准测算原料煤、动力煤，新增原料用能不纳入能源消费总量控制。</w:t>
            </w:r>
          </w:p>
        </w:tc>
        <w:tc>
          <w:tcPr>
            <w:tcW w:w="2457" w:type="pct"/>
            <w:tcBorders>
              <w:tl2br w:val="nil"/>
              <w:tr2bl w:val="nil"/>
            </w:tcBorders>
            <w:noWrap w:val="0"/>
            <w:vAlign w:val="center"/>
          </w:tcPr>
          <w:p w14:paraId="788AC54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1.本项目不涉及水资源开发利用；</w:t>
            </w:r>
          </w:p>
          <w:p w14:paraId="35ED12E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2.本项目生产用水为冷却用水，循环使用不外排，可降低生产水耗；</w:t>
            </w:r>
          </w:p>
          <w:p w14:paraId="4020388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3.本项目能源使用电，不涉及煤炭消费。</w:t>
            </w:r>
          </w:p>
        </w:tc>
        <w:tc>
          <w:tcPr>
            <w:tcW w:w="278" w:type="pct"/>
            <w:tcBorders>
              <w:tl2br w:val="nil"/>
              <w:tr2bl w:val="nil"/>
            </w:tcBorders>
            <w:noWrap w:val="0"/>
            <w:vAlign w:val="center"/>
          </w:tcPr>
          <w:p w14:paraId="7F4C99B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符合</w:t>
            </w:r>
          </w:p>
        </w:tc>
      </w:tr>
    </w:tbl>
    <w:p w14:paraId="616CEBD8">
      <w:pPr>
        <w:pStyle w:val="3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color w:val="auto"/>
          <w:spacing w:val="0"/>
          <w:w w:val="100"/>
          <w:position w:val="0"/>
          <w:highlight w:val="none"/>
          <w:lang w:val="en-US" w:eastAsia="zh-CN"/>
        </w:rPr>
      </w:pPr>
    </w:p>
    <w:p w14:paraId="2ED250D5">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3" w:name="_Toc11878"/>
      <w:r>
        <w:rPr>
          <w:rFonts w:hint="default"/>
          <w:color w:val="auto"/>
          <w:spacing w:val="0"/>
          <w:w w:val="100"/>
          <w:position w:val="0"/>
          <w:highlight w:val="none"/>
          <w:lang w:val="en-US" w:eastAsia="zh-CN"/>
        </w:rPr>
        <w:t>1.3.</w:t>
      </w:r>
      <w:r>
        <w:rPr>
          <w:rFonts w:hint="eastAsia"/>
          <w:color w:val="auto"/>
          <w:spacing w:val="0"/>
          <w:w w:val="100"/>
          <w:position w:val="0"/>
          <w:highlight w:val="none"/>
          <w:lang w:val="en-US" w:eastAsia="zh-CN"/>
        </w:rPr>
        <w:t>4</w:t>
      </w:r>
      <w:r>
        <w:rPr>
          <w:rFonts w:hint="default"/>
          <w:color w:val="auto"/>
          <w:spacing w:val="0"/>
          <w:w w:val="100"/>
          <w:position w:val="0"/>
          <w:highlight w:val="none"/>
          <w:lang w:val="en-US" w:eastAsia="zh-CN"/>
        </w:rPr>
        <w:t>与规划及规划环评符合性</w:t>
      </w:r>
      <w:bookmarkEnd w:id="13"/>
    </w:p>
    <w:p w14:paraId="451B812F">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1.3.</w:t>
      </w:r>
      <w:r>
        <w:rPr>
          <w:rFonts w:hint="eastAsia"/>
          <w:color w:val="auto"/>
          <w:spacing w:val="0"/>
          <w:w w:val="100"/>
          <w:position w:val="0"/>
          <w:highlight w:val="none"/>
          <w:lang w:val="en-US" w:eastAsia="zh-CN"/>
        </w:rPr>
        <w:t>4.</w:t>
      </w:r>
      <w:r>
        <w:rPr>
          <w:rFonts w:hint="default"/>
          <w:color w:val="auto"/>
          <w:spacing w:val="0"/>
          <w:w w:val="100"/>
          <w:position w:val="0"/>
          <w:highlight w:val="none"/>
          <w:lang w:val="en-US" w:eastAsia="zh-CN"/>
        </w:rPr>
        <w:t>1</w:t>
      </w:r>
      <w:r>
        <w:rPr>
          <w:rFonts w:hint="default" w:eastAsia="宋体"/>
          <w:color w:val="auto"/>
          <w:spacing w:val="0"/>
          <w:w w:val="100"/>
          <w:position w:val="0"/>
          <w:highlight w:val="none"/>
          <w:lang w:val="en-US" w:eastAsia="zh-CN"/>
        </w:rPr>
        <w:t>与</w:t>
      </w:r>
      <w:r>
        <w:rPr>
          <w:rFonts w:hint="eastAsia"/>
          <w:color w:val="auto"/>
          <w:spacing w:val="0"/>
          <w:w w:val="100"/>
          <w:position w:val="0"/>
          <w:highlight w:val="none"/>
          <w:lang w:val="en-US" w:eastAsia="zh-CN"/>
        </w:rPr>
        <w:t>《甘泉堡工业园总体规划（2016-2030年）》</w:t>
      </w:r>
      <w:r>
        <w:rPr>
          <w:rFonts w:hint="default" w:eastAsia="宋体"/>
          <w:color w:val="auto"/>
          <w:spacing w:val="0"/>
          <w:w w:val="100"/>
          <w:position w:val="0"/>
          <w:highlight w:val="none"/>
          <w:lang w:val="en-US" w:eastAsia="zh-CN"/>
        </w:rPr>
        <w:t>符合性分析</w:t>
      </w:r>
    </w:p>
    <w:p w14:paraId="6120C7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default"/>
          <w:color w:val="auto"/>
          <w:spacing w:val="0"/>
          <w:w w:val="100"/>
          <w:position w:val="0"/>
          <w:highlight w:val="none"/>
          <w:lang w:val="en-US" w:eastAsia="zh-CN"/>
        </w:rPr>
        <w:t>根据《甘泉堡工业园总体规划（2016-2030 年）（2016修订稿）》及其批复，</w:t>
      </w:r>
      <w:r>
        <w:rPr>
          <w:rFonts w:hint="eastAsia" w:ascii="Times New Roman" w:hAnsi="Times New Roman"/>
          <w:color w:val="auto"/>
          <w:spacing w:val="0"/>
          <w:w w:val="100"/>
          <w:position w:val="0"/>
          <w:highlight w:val="none"/>
        </w:rPr>
        <w:t>规划区划分成九个功能区，分别是：</w:t>
      </w:r>
    </w:p>
    <w:p w14:paraId="34A847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（1）优势资源转化工业区：五家渠市102团的东北部，面积约52平方公里。</w:t>
      </w:r>
    </w:p>
    <w:p w14:paraId="29CBFF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重点发展能源工业、煤炭化工工业、煤制油、精细化工工业及配套仓储物流业。</w:t>
      </w:r>
    </w:p>
    <w:p w14:paraId="2037015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鼓励发展的产业：</w:t>
      </w:r>
    </w:p>
    <w:p w14:paraId="7EE630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可发展一定规模的煤电产业及其拓展产业，形成煤电能源产业相关产业的生产基地。工业门类以三类为主，一、二类为辅。</w:t>
      </w:r>
    </w:p>
    <w:p w14:paraId="36E0D2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入驻企业需符合《现代煤化工建设项目环境准入条件（试行）》要求。</w:t>
      </w:r>
    </w:p>
    <w:p w14:paraId="02F184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工业用地建设指标：投资强度不低于5500万元/公顷，容积率不低于0.6，达产税收产出强度不低于700万元/公顷。</w:t>
      </w:r>
    </w:p>
    <w:p w14:paraId="554A71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（2）经济合作与产业孵化区：现状102省道以东、石化污水库以北区域，面积约11.5平方公里。</w:t>
      </w:r>
    </w:p>
    <w:p w14:paraId="030E98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以科技成果转化、先进企业孵化、创新人才培养为目标，建设一个创新氛围良好、产业服务齐全、配套设施完善的国际科技经济合作园区。</w:t>
      </w:r>
    </w:p>
    <w:p w14:paraId="20F0559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鼓励发展的产业：</w:t>
      </w:r>
    </w:p>
    <w:p w14:paraId="111FBC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新材料、新型建材、医药研发、机电工业、精密机械加工、特种设备制造和新型轻工产品、环保技术开发与设备制造。</w:t>
      </w:r>
    </w:p>
    <w:p w14:paraId="4816140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工业用地建设指标：投资强度不低于1500万元/公顷，容积率不低于1.5，达产税收产出强度不低于500万元/公顷。</w:t>
      </w:r>
    </w:p>
    <w:p w14:paraId="7319768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（3）新能源工业区：102团路以西及中央大道以北区域，面积约31.8平方公里。</w:t>
      </w:r>
    </w:p>
    <w:p w14:paraId="1E230A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鼓励发展的产业：</w:t>
      </w:r>
    </w:p>
    <w:p w14:paraId="10315F0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重点发展新型能源开发利用产业，如煤炭资源的深度开发利用技术；太阳能、风能和地热能的开发利用；大型发电设备制造业；铁路运输设备、装卸设备制造。</w:t>
      </w:r>
    </w:p>
    <w:p w14:paraId="5E0CC9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工业用地建设指标：投资强度不低于5000万元/公顷，容积率不低于0.7，达产税收产出强度不低于500万元/公顷；</w:t>
      </w:r>
    </w:p>
    <w:p w14:paraId="4260B25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（4）高新技术产业区：西延干渠南北两侧，北到南一路(4号路)，西到102省道，东到准东石油基地，面积约25.6平方公里。</w:t>
      </w:r>
    </w:p>
    <w:p w14:paraId="2596039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鼓励发展的产业：</w:t>
      </w:r>
    </w:p>
    <w:p w14:paraId="5AC9098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晶片制造；电子</w:t>
      </w:r>
      <w:r>
        <w:rPr>
          <w:rFonts w:hint="eastAsia"/>
          <w:color w:val="auto"/>
          <w:spacing w:val="0"/>
          <w:w w:val="100"/>
          <w:position w:val="0"/>
          <w:highlight w:val="none"/>
          <w:lang w:eastAsia="zh-CN"/>
        </w:rPr>
        <w:t>铝卷</w:t>
      </w:r>
      <w:r>
        <w:rPr>
          <w:rFonts w:hint="eastAsia" w:ascii="Times New Roman" w:hAnsi="Times New Roman"/>
          <w:color w:val="auto"/>
          <w:spacing w:val="0"/>
          <w:w w:val="100"/>
          <w:position w:val="0"/>
          <w:highlight w:val="none"/>
        </w:rPr>
        <w:t>；光纤和数字通讯设备；软件产业；汽车、医疗电子产品和设备制造以及煤电煤化工产业。</w:t>
      </w:r>
    </w:p>
    <w:p w14:paraId="417B242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工业用地建设指标：投资强度不低于3000万元/公顷，容积率不低于1.0，达产税收产出强度不低于700万元/公顷。</w:t>
      </w:r>
    </w:p>
    <w:p w14:paraId="6D39A9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（5）科教综合服务新区：102省道以东，规划中央大道以北三个地块，中央大道以南一个地块，以及102省道以西部分地块，面积约19.4平方公里。</w:t>
      </w:r>
    </w:p>
    <w:p w14:paraId="5A92F4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主要建设发展方向为科技、教育、行政办公、咨询管理等，以公共服务和配套居住功能为主。</w:t>
      </w:r>
    </w:p>
    <w:p w14:paraId="04C2D93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（6）物流仓储区：甘泉堡工业区南区，西延干渠南侧，米东大道西侧面积约17.1平方公里。</w:t>
      </w:r>
    </w:p>
    <w:p w14:paraId="2E6641E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区域依托铁路和公路交通设施，作为发展工业所必需的交通运输服务职能。以第三方物流为主的专业仓储物流配送，为加工企业提供全程物流服务和延伸细化物流服务，为乌鲁木齐市甘泉堡工业区服务。为高新技术产业园区和其它工业区提供服务，承担对外交流的功能，并与核心服务区一起提供现代服务。</w:t>
      </w:r>
    </w:p>
    <w:p w14:paraId="1817DA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仓储物流区主要发展的功能包括高端现代物流功能、商务功能、货运功能、专业市场功能等。</w:t>
      </w:r>
    </w:p>
    <w:p w14:paraId="75035B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（7）小微企业创新区：与阜康市邻接用地，面积约18平方公里。</w:t>
      </w:r>
    </w:p>
    <w:p w14:paraId="59F95C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以新型建材产业为主导的集研发孵化、生产加工、商贸交易、物流配送为一体的小微新兴产业企业园。</w:t>
      </w:r>
    </w:p>
    <w:p w14:paraId="72CE6A6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（8）生态保育区：“500”库区及周边1～5公里范围，其它受保护的农田、渠道及林地，面积约124平方公里。</w:t>
      </w:r>
    </w:p>
    <w:p w14:paraId="3874C4B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以种植绿化为主，作为当地的植被恢复，涵养土壤水源，可适当布置特色旅游产业。</w:t>
      </w:r>
    </w:p>
    <w:p w14:paraId="6FFBF4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（9）协调发展区：与五家渠市邻接用地，面积约43.7平方公里。</w:t>
      </w:r>
    </w:p>
    <w:p w14:paraId="1E80E348">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本项目位于甘泉堡工业园区中小微企业创新区，</w:t>
      </w:r>
      <w:r>
        <w:rPr>
          <w:rFonts w:hint="eastAsia"/>
          <w:color w:val="auto"/>
          <w:spacing w:val="0"/>
          <w:w w:val="100"/>
          <w:position w:val="0"/>
          <w:highlight w:val="none"/>
          <w:lang w:val="en-US" w:eastAsia="zh-CN"/>
        </w:rPr>
        <w:t>属于铝塑复合板生产项目，符合</w:t>
      </w:r>
      <w:r>
        <w:rPr>
          <w:rFonts w:hint="default"/>
          <w:color w:val="auto"/>
          <w:spacing w:val="0"/>
          <w:w w:val="100"/>
          <w:position w:val="0"/>
          <w:highlight w:val="none"/>
          <w:lang w:val="en-US" w:eastAsia="zh-CN"/>
        </w:rPr>
        <w:t>园区产业空间布局</w:t>
      </w:r>
      <w:r>
        <w:rPr>
          <w:rFonts w:hint="eastAsia"/>
          <w:color w:val="auto"/>
          <w:spacing w:val="0"/>
          <w:w w:val="100"/>
          <w:position w:val="0"/>
          <w:highlight w:val="none"/>
          <w:lang w:val="en-US" w:eastAsia="zh-CN"/>
        </w:rPr>
        <w:t>中</w:t>
      </w:r>
      <w:r>
        <w:rPr>
          <w:rFonts w:hint="default"/>
          <w:color w:val="auto"/>
          <w:spacing w:val="0"/>
          <w:w w:val="100"/>
          <w:position w:val="0"/>
          <w:highlight w:val="none"/>
          <w:lang w:val="en-US" w:eastAsia="zh-CN"/>
        </w:rPr>
        <w:t>小微企业创新区</w:t>
      </w:r>
      <w:r>
        <w:rPr>
          <w:rFonts w:hint="eastAsia" w:ascii="Times New Roman" w:hAnsi="Times New Roman"/>
          <w:color w:val="auto"/>
          <w:spacing w:val="0"/>
          <w:w w:val="100"/>
          <w:position w:val="0"/>
          <w:highlight w:val="none"/>
        </w:rPr>
        <w:t>以新型建材产业为主导的集研发孵化、生产加工</w:t>
      </w:r>
      <w:r>
        <w:rPr>
          <w:rFonts w:hint="eastAsia" w:ascii="Times New Roman" w:hAnsi="Times New Roman"/>
          <w:color w:val="auto"/>
          <w:spacing w:val="0"/>
          <w:w w:val="100"/>
          <w:position w:val="0"/>
          <w:highlight w:val="none"/>
          <w:lang w:val="en-US" w:eastAsia="zh-CN"/>
        </w:rPr>
        <w:t>要求</w:t>
      </w:r>
      <w:r>
        <w:rPr>
          <w:rFonts w:hint="default"/>
          <w:color w:val="auto"/>
          <w:spacing w:val="0"/>
          <w:w w:val="100"/>
          <w:position w:val="0"/>
          <w:highlight w:val="none"/>
          <w:lang w:val="en-US" w:eastAsia="zh-CN"/>
        </w:rPr>
        <w:t>，因此项目符合园区规划要求。</w:t>
      </w:r>
    </w:p>
    <w:p w14:paraId="5C8C6627">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1.3.</w:t>
      </w:r>
      <w:r>
        <w:rPr>
          <w:rFonts w:hint="eastAsia"/>
          <w:color w:val="auto"/>
          <w:spacing w:val="0"/>
          <w:w w:val="100"/>
          <w:position w:val="0"/>
          <w:highlight w:val="none"/>
          <w:lang w:val="en-US" w:eastAsia="zh-CN"/>
        </w:rPr>
        <w:t>4</w:t>
      </w:r>
      <w:r>
        <w:rPr>
          <w:rFonts w:hint="default"/>
          <w:color w:val="auto"/>
          <w:spacing w:val="0"/>
          <w:w w:val="100"/>
          <w:position w:val="0"/>
          <w:highlight w:val="none"/>
          <w:lang w:val="en-US" w:eastAsia="zh-CN"/>
        </w:rPr>
        <w:t>.</w:t>
      </w:r>
      <w:r>
        <w:rPr>
          <w:rFonts w:hint="eastAsia"/>
          <w:color w:val="auto"/>
          <w:spacing w:val="0"/>
          <w:w w:val="100"/>
          <w:position w:val="0"/>
          <w:highlight w:val="none"/>
          <w:lang w:val="en-US" w:eastAsia="zh-CN"/>
        </w:rPr>
        <w:t>2</w:t>
      </w:r>
      <w:r>
        <w:rPr>
          <w:rFonts w:hint="default" w:eastAsia="宋体"/>
          <w:color w:val="auto"/>
          <w:spacing w:val="0"/>
          <w:w w:val="100"/>
          <w:position w:val="0"/>
          <w:highlight w:val="none"/>
          <w:lang w:val="en-US" w:eastAsia="zh-CN"/>
        </w:rPr>
        <w:t>与甘泉堡工业园总体规划及规划环评符合性分析</w:t>
      </w:r>
    </w:p>
    <w:p w14:paraId="5CA72796">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甘泉堡工业园地处乌鲁木齐市与昌吉州的交界地带，东接准东石油基地，南临小黄山铁路和216国道，西接乌鲁木齐米东区，北至兵团农六师102团（五家渠）。区域中心距乌鲁木齐市中心区45公里，米东新区中心区20公里，阜康市中心15公里，准东石油基地5公里。东西跨长约21公里，南北约23公里，周围被五家渠、昌吉、乌鲁木齐、阜康等城市和准东石油基地、农六师102团包围。</w:t>
      </w:r>
    </w:p>
    <w:p w14:paraId="3658A395">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根据《甘泉堡工业园总体规划（2016-2030年）》，乌昌地区未来以实施优势资源转化战略为基础，以高新技术创新研发为先导的新兴战略产业基地，以新能源和优势资源深度开发利用为主，具有循环经济特色，面向中亚和东欧市场的出口加工基地，形成重点发展产业、补充发展产业和配套发展产业“7+3+2”的产业体系。</w:t>
      </w:r>
    </w:p>
    <w:p w14:paraId="2213C836">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（1）重点发展产业：确保现有煤电煤化工产业和精细化工业有序建设，重点发展新能源与新材料工业、先进装备制造业和机电工业（主要是电气设备和通讯设备），积极开拓生物医药、电子信息产业。</w:t>
      </w:r>
    </w:p>
    <w:p w14:paraId="17241153">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（2）补充发展产业：合理发展新型建材业和有色金属加工业，鼓励发展众创众筹等小微产业。</w:t>
      </w:r>
    </w:p>
    <w:p w14:paraId="772EB9A3">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3）配套发展产业：包括生产性服务业和消费性服务业。其中，生产性服务业指以铁路、高速公路为主动脉的物流运输产业，金融服务、信息技术、咨询、教育、产业研发、会展业等；生活性服务业指商业、文化、休闲、居住等。</w:t>
      </w:r>
    </w:p>
    <w:p w14:paraId="2E4890C1">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规划区划分为十个功能区，即优势资源转化区、经济合作与产业孵化区、新能源工业区、高新技术产业区、科教综合服务新区、物流仓储区、小微企业创新区、商贸物流区、生态保育区和协调发展区。本项目位于甘泉堡工业园中小微企业创新区。</w:t>
      </w:r>
    </w:p>
    <w:p w14:paraId="2D1F51D7">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小微创新区属于阜康市城市总体规划中的阜西工业园区，阜西工业园区总体规划内容包含于《甘泉堡工业园区总体规划（2016-2030年）》中。小微企业创新区以新型建材产业为主导的集研发孵化、生产加工、商贸交易、物流配送为一体的小微新兴产业企业园。本项目位于小微企业创新区，本项目属于</w:t>
      </w:r>
      <w:r>
        <w:rPr>
          <w:rFonts w:hint="eastAsia"/>
          <w:color w:val="auto"/>
          <w:spacing w:val="0"/>
          <w:w w:val="100"/>
          <w:position w:val="0"/>
          <w:highlight w:val="none"/>
          <w:lang w:val="en-US" w:eastAsia="zh-CN"/>
        </w:rPr>
        <w:t>铝塑复合板</w:t>
      </w:r>
      <w:r>
        <w:rPr>
          <w:rFonts w:hint="default"/>
          <w:color w:val="auto"/>
          <w:spacing w:val="0"/>
          <w:w w:val="100"/>
          <w:position w:val="0"/>
          <w:highlight w:val="none"/>
          <w:lang w:val="en-US" w:eastAsia="zh-CN"/>
        </w:rPr>
        <w:t>生产项目，属于小微产业，与园区产业布局相符。</w:t>
      </w:r>
    </w:p>
    <w:p w14:paraId="124B466D">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根据《关于甘泉堡工业园总体规划（2016-2030年）环境影响报告书的审查意见》（新环函〔2018〕368号）：“园区位于乌鲁木齐、昌吉、石河子、五家渠区域环境同防同治区的重点区域，不宜布局建设煤化工、电解铝、燃煤纯发电机组、金属硅、碳化硅、聚氯乙烯（电石法）、焦炭（含半焦）等行业的新增产能项目，加快钢铁、水泥、焦炭、玻璃、煤炭等行业落后产能淘汰力度”，本项目为塑料颗粒生产，不属于钢铁、水泥、焦炭、玻璃、煤炭等行业落后产能，符合产业政策、相关规划、规划环境影响评价结论及审查意见要求。</w:t>
      </w:r>
    </w:p>
    <w:p w14:paraId="154D188A">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关于甘泉堡工业园总体规划（2016-2030年）环境影响报告书的审查意见》（新环函〔2018〕368号）提出“严守生态保护红线，优化园区产业结构、空间布局，促进园区产业集约与绿色发展。规划空间管制区划定的禁建区和500水库坝外延1500米范围，以及规划范围内西延干渠两侧250米范围内划定为生态保护红线，禁止开发。结合区域发展方向、人口分布及环境保护等要求，按照《报告书》提出的空间管控距离控制园区和功能分区规划边界．制定并落实园区内现有不符合园区规划功能布局的企业搬迁、关停或转型改造计划。本项目距离500水库2400米，距离西延干渠2300米，不位于生态红线范围内。</w:t>
      </w:r>
    </w:p>
    <w:p w14:paraId="536A24DB">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关于甘泉堡工业园总体规划（2016-2030年）环境影响报告书的审查意见》（新环函〔2018〕368号）提出“坚守环境质量底线，严格污染物总量管控。根据规划区域及周边环境质量现状和目标，确定区域污染物排放总量上限，落实园区煤炭及其他颗粒状物料储运全封闭防尘措施，采取有效措施减少二氧化硫、氮氧化物、挥发性有机物、颗粒物、化学需氧量、氨氮、重金属等污染物的排放量，落实国家和自治区重点区域污染物特别排放限值。</w:t>
      </w:r>
    </w:p>
    <w:p w14:paraId="7A5B9538">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color w:val="auto"/>
          <w:spacing w:val="0"/>
          <w:w w:val="100"/>
          <w:position w:val="0"/>
          <w:highlight w:val="none"/>
          <w:lang w:val="en-US" w:eastAsia="zh-CN"/>
        </w:rPr>
        <w:t>本项目物料运输均在封闭厂房内进行，</w:t>
      </w:r>
      <w:r>
        <w:rPr>
          <w:rFonts w:hint="eastAsia"/>
          <w:color w:val="auto"/>
          <w:spacing w:val="0"/>
          <w:w w:val="100"/>
          <w:position w:val="0"/>
          <w:highlight w:val="none"/>
          <w:lang w:val="en-US" w:eastAsia="zh-CN"/>
        </w:rPr>
        <w:t xml:space="preserve"> </w:t>
      </w:r>
      <w:r>
        <w:rPr>
          <w:rFonts w:hint="default"/>
          <w:color w:val="auto"/>
          <w:spacing w:val="0"/>
          <w:w w:val="100"/>
          <w:position w:val="0"/>
          <w:highlight w:val="none"/>
          <w:lang w:val="en-US" w:eastAsia="zh-CN"/>
        </w:rPr>
        <w:t>项目产生的</w:t>
      </w:r>
      <w:r>
        <w:rPr>
          <w:rFonts w:hint="eastAsia"/>
          <w:color w:val="auto"/>
          <w:spacing w:val="0"/>
          <w:w w:val="100"/>
          <w:position w:val="0"/>
          <w:highlight w:val="none"/>
          <w:lang w:val="en-US" w:eastAsia="zh-CN"/>
        </w:rPr>
        <w:t>有机废气</w:t>
      </w:r>
      <w:r>
        <w:rPr>
          <w:rFonts w:hint="default"/>
          <w:color w:val="auto"/>
          <w:spacing w:val="0"/>
          <w:w w:val="100"/>
          <w:position w:val="0"/>
          <w:highlight w:val="none"/>
          <w:lang w:val="en-US" w:eastAsia="zh-CN"/>
        </w:rPr>
        <w:t>通过活性炭吸附脱附+催化燃烧装置</w:t>
      </w:r>
      <w:r>
        <w:rPr>
          <w:rFonts w:hint="eastAsia"/>
          <w:color w:val="auto"/>
          <w:spacing w:val="0"/>
          <w:w w:val="100"/>
          <w:position w:val="0"/>
          <w:highlight w:val="none"/>
          <w:lang w:val="en-US" w:eastAsia="zh-CN"/>
        </w:rPr>
        <w:t>处理后</w:t>
      </w:r>
      <w:r>
        <w:rPr>
          <w:rFonts w:hint="default"/>
          <w:color w:val="auto"/>
          <w:spacing w:val="0"/>
          <w:w w:val="100"/>
          <w:position w:val="0"/>
          <w:highlight w:val="none"/>
          <w:lang w:val="en-US" w:eastAsia="zh-CN"/>
        </w:rPr>
        <w:t>满足《合成树脂工业污染物排放标准》（GB31572—2015）</w:t>
      </w:r>
      <w:r>
        <w:rPr>
          <w:rFonts w:hint="eastAsia"/>
          <w:color w:val="auto"/>
          <w:spacing w:val="0"/>
          <w:w w:val="100"/>
          <w:position w:val="0"/>
          <w:highlight w:val="none"/>
          <w:lang w:val="en-US" w:eastAsia="zh-CN"/>
        </w:rPr>
        <w:t>排放要求</w:t>
      </w:r>
      <w:r>
        <w:rPr>
          <w:rFonts w:hint="default"/>
          <w:color w:val="auto"/>
          <w:spacing w:val="0"/>
          <w:w w:val="100"/>
          <w:position w:val="0"/>
          <w:highlight w:val="none"/>
          <w:lang w:val="en-US" w:eastAsia="zh-CN"/>
        </w:rPr>
        <w:t>；本项目严格控制用水量，新鲜水仅用于生活用水以及产品用水，符合《关于甘泉堡工业园总体规划（2016-2030年）环境影响报告书的审查意见》（新环函〔2018〕368号）提出“严格控制用水总量，提高用水效率，合理控制排污，严守水资源</w:t>
      </w:r>
      <w:r>
        <w:rPr>
          <w:rFonts w:hint="eastAsia"/>
          <w:color w:val="auto"/>
          <w:spacing w:val="0"/>
          <w:w w:val="100"/>
          <w:position w:val="0"/>
          <w:highlight w:val="none"/>
          <w:lang w:val="en-US" w:eastAsia="zh-CN"/>
        </w:rPr>
        <w:t>“</w:t>
      </w:r>
      <w:r>
        <w:rPr>
          <w:rFonts w:hint="default"/>
          <w:color w:val="auto"/>
          <w:spacing w:val="0"/>
          <w:w w:val="100"/>
          <w:position w:val="0"/>
          <w:highlight w:val="none"/>
          <w:lang w:val="en-US" w:eastAsia="zh-CN"/>
        </w:rPr>
        <w:t>三条红线</w:t>
      </w:r>
      <w:r>
        <w:rPr>
          <w:rFonts w:hint="eastAsia"/>
          <w:color w:val="auto"/>
          <w:spacing w:val="0"/>
          <w:w w:val="100"/>
          <w:position w:val="0"/>
          <w:highlight w:val="none"/>
          <w:lang w:val="en-US" w:eastAsia="zh-CN"/>
        </w:rPr>
        <w:t>”</w:t>
      </w:r>
      <w:r>
        <w:rPr>
          <w:rFonts w:hint="default"/>
          <w:color w:val="auto"/>
          <w:spacing w:val="0"/>
          <w:w w:val="100"/>
          <w:position w:val="0"/>
          <w:highlight w:val="none"/>
          <w:lang w:val="en-US" w:eastAsia="zh-CN"/>
        </w:rPr>
        <w:t>等要求。因此，本项目符合甘泉堡工业园产业布局、园区规划以及规划环评审查意见。</w:t>
      </w:r>
    </w:p>
    <w:p w14:paraId="26AD74C5">
      <w:pPr>
        <w:pStyle w:val="32"/>
        <w:keepNext w:val="0"/>
        <w:keepLines w:val="0"/>
        <w:pageBreakBefore w:val="0"/>
        <w:widowControl w:val="0"/>
        <w:kinsoku/>
        <w:wordWrap/>
        <w:overflowPunct/>
        <w:topLinePunct w:val="0"/>
        <w:autoSpaceDE/>
        <w:autoSpaceDN/>
        <w:bidi w:val="0"/>
        <w:adjustRightInd/>
        <w:snapToGrid/>
        <w:ind w:left="0" w:leftChars="0" w:firstLine="0" w:firstLineChars="0"/>
        <w:jc w:val="center"/>
        <w:rPr>
          <w:rFonts w:hint="default"/>
          <w:color w:val="auto"/>
          <w:spacing w:val="0"/>
          <w:w w:val="100"/>
          <w:position w:val="0"/>
          <w:highlight w:val="none"/>
          <w:lang w:val="en-US" w:eastAsia="zh-CN"/>
        </w:rPr>
      </w:pPr>
    </w:p>
    <w:p w14:paraId="58B61707">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4" w:name="_Toc13355"/>
      <w:r>
        <w:rPr>
          <w:rFonts w:hint="default"/>
          <w:color w:val="auto"/>
          <w:spacing w:val="0"/>
          <w:w w:val="100"/>
          <w:position w:val="0"/>
          <w:highlight w:val="none"/>
          <w:lang w:val="en-US" w:eastAsia="zh-CN"/>
        </w:rPr>
        <w:t>1.3.</w:t>
      </w:r>
      <w:r>
        <w:rPr>
          <w:rFonts w:hint="eastAsia"/>
          <w:color w:val="auto"/>
          <w:spacing w:val="0"/>
          <w:w w:val="100"/>
          <w:position w:val="0"/>
          <w:highlight w:val="none"/>
          <w:lang w:val="en-US" w:eastAsia="zh-CN"/>
        </w:rPr>
        <w:t>5</w:t>
      </w:r>
      <w:r>
        <w:rPr>
          <w:rFonts w:hint="default"/>
          <w:color w:val="auto"/>
          <w:spacing w:val="0"/>
          <w:w w:val="100"/>
          <w:position w:val="0"/>
          <w:highlight w:val="none"/>
          <w:lang w:val="en-US" w:eastAsia="zh-CN"/>
        </w:rPr>
        <w:t>选址合理性分析</w:t>
      </w:r>
      <w:bookmarkEnd w:id="14"/>
    </w:p>
    <w:p w14:paraId="739B0D5B">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w:t>
      </w:r>
      <w:r>
        <w:rPr>
          <w:rFonts w:hint="eastAsia"/>
          <w:color w:val="auto"/>
          <w:spacing w:val="0"/>
          <w:w w:val="100"/>
          <w:position w:val="0"/>
          <w:highlight w:val="none"/>
          <w:lang w:val="en-US" w:eastAsia="zh-CN"/>
        </w:rPr>
        <w:t>1</w:t>
      </w:r>
      <w:r>
        <w:rPr>
          <w:rFonts w:hint="default"/>
          <w:color w:val="auto"/>
          <w:spacing w:val="0"/>
          <w:w w:val="100"/>
          <w:position w:val="0"/>
          <w:highlight w:val="none"/>
          <w:lang w:val="en-US" w:eastAsia="zh-CN"/>
        </w:rPr>
        <w:t>）</w:t>
      </w:r>
      <w:r>
        <w:rPr>
          <w:rFonts w:hint="eastAsia"/>
          <w:color w:val="auto"/>
          <w:spacing w:val="0"/>
          <w:w w:val="100"/>
          <w:position w:val="0"/>
          <w:highlight w:val="none"/>
          <w:lang w:val="en-US" w:eastAsia="zh-CN"/>
        </w:rPr>
        <w:t>本项目</w:t>
      </w:r>
      <w:r>
        <w:rPr>
          <w:rFonts w:hint="default"/>
          <w:color w:val="auto"/>
          <w:spacing w:val="0"/>
          <w:w w:val="100"/>
          <w:position w:val="0"/>
          <w:highlight w:val="none"/>
          <w:lang w:val="en-US" w:eastAsia="zh-CN"/>
        </w:rPr>
        <w:t>用地合理性</w:t>
      </w:r>
    </w:p>
    <w:p w14:paraId="2F321E74">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eastAsia"/>
          <w:color w:val="auto"/>
          <w:spacing w:val="0"/>
          <w:w w:val="100"/>
          <w:position w:val="0"/>
          <w:highlight w:val="none"/>
        </w:rPr>
        <w:t>本项目为</w:t>
      </w:r>
      <w:r>
        <w:rPr>
          <w:rFonts w:hint="eastAsia"/>
          <w:color w:val="auto"/>
          <w:spacing w:val="0"/>
          <w:w w:val="100"/>
          <w:position w:val="0"/>
          <w:highlight w:val="none"/>
          <w:lang w:eastAsia="zh-CN"/>
        </w:rPr>
        <w:t>铝塑复合板</w:t>
      </w:r>
      <w:r>
        <w:rPr>
          <w:rFonts w:hint="eastAsia"/>
          <w:color w:val="auto"/>
          <w:spacing w:val="0"/>
          <w:w w:val="100"/>
          <w:position w:val="0"/>
          <w:highlight w:val="none"/>
        </w:rPr>
        <w:t>生产建设项目</w:t>
      </w:r>
      <w:r>
        <w:rPr>
          <w:rFonts w:hint="default"/>
          <w:color w:val="auto"/>
          <w:spacing w:val="0"/>
          <w:w w:val="100"/>
          <w:position w:val="0"/>
          <w:highlight w:val="none"/>
          <w:lang w:val="en-US" w:eastAsia="zh-CN"/>
        </w:rPr>
        <w:t>，</w:t>
      </w:r>
      <w:r>
        <w:rPr>
          <w:rFonts w:hint="eastAsia"/>
          <w:color w:val="auto"/>
          <w:spacing w:val="0"/>
          <w:w w:val="100"/>
          <w:position w:val="0"/>
          <w:highlight w:val="none"/>
          <w:lang w:val="en-US" w:eastAsia="zh-CN"/>
        </w:rPr>
        <w:t>厂区东侧、南侧、西侧均为园区生产厂房，北侧为阜锦路</w:t>
      </w:r>
      <w:r>
        <w:rPr>
          <w:rFonts w:hint="default"/>
          <w:color w:val="auto"/>
          <w:spacing w:val="0"/>
          <w:w w:val="100"/>
          <w:position w:val="0"/>
          <w:highlight w:val="none"/>
          <w:lang w:val="en-US" w:eastAsia="zh-CN"/>
        </w:rPr>
        <w:t>，选址地理位置优越，区域交通运输条件较好，园区道路、供电、供水、供气、排水、通讯等基础设施条件较好</w:t>
      </w:r>
      <w:r>
        <w:rPr>
          <w:rFonts w:hint="eastAsia"/>
          <w:color w:val="auto"/>
          <w:spacing w:val="0"/>
          <w:w w:val="100"/>
          <w:position w:val="0"/>
          <w:highlight w:val="none"/>
          <w:lang w:val="en-US" w:eastAsia="zh-CN"/>
        </w:rPr>
        <w:t>，</w:t>
      </w:r>
      <w:r>
        <w:rPr>
          <w:rFonts w:hint="default"/>
          <w:color w:val="auto"/>
          <w:spacing w:val="0"/>
          <w:w w:val="100"/>
          <w:position w:val="0"/>
          <w:highlight w:val="none"/>
          <w:lang w:val="en-US" w:eastAsia="zh-CN"/>
        </w:rPr>
        <w:t>用水、用电及进厂道路等公用设施可充分利用园区基础设施，项目周围环境基础设施较完善，有利于项目的建设</w:t>
      </w:r>
      <w:r>
        <w:rPr>
          <w:rFonts w:hint="eastAsia"/>
          <w:color w:val="auto"/>
          <w:spacing w:val="0"/>
          <w:w w:val="100"/>
          <w:position w:val="0"/>
          <w:highlight w:val="none"/>
          <w:lang w:val="en-US" w:eastAsia="zh-CN"/>
        </w:rPr>
        <w:t>，位于</w:t>
      </w:r>
      <w:r>
        <w:rPr>
          <w:rFonts w:hint="default"/>
          <w:color w:val="auto"/>
          <w:spacing w:val="0"/>
          <w:w w:val="100"/>
          <w:position w:val="0"/>
          <w:highlight w:val="none"/>
          <w:lang w:val="en-US" w:eastAsia="zh-CN"/>
        </w:rPr>
        <w:t>甘泉堡工业园区中小微企业创新区</w:t>
      </w:r>
      <w:r>
        <w:rPr>
          <w:rFonts w:hint="eastAsia"/>
          <w:color w:val="auto"/>
          <w:spacing w:val="0"/>
          <w:w w:val="100"/>
          <w:position w:val="0"/>
          <w:highlight w:val="none"/>
          <w:lang w:val="en-US" w:eastAsia="zh-CN"/>
        </w:rPr>
        <w:t>，</w:t>
      </w:r>
      <w:r>
        <w:rPr>
          <w:rFonts w:hint="default"/>
          <w:color w:val="auto"/>
          <w:spacing w:val="0"/>
          <w:w w:val="100"/>
          <w:position w:val="0"/>
          <w:highlight w:val="none"/>
          <w:lang w:val="en-US" w:eastAsia="zh-CN"/>
        </w:rPr>
        <w:t>选址符合园区用地规划</w:t>
      </w:r>
      <w:r>
        <w:rPr>
          <w:rFonts w:hint="eastAsia"/>
          <w:color w:val="auto"/>
          <w:spacing w:val="0"/>
          <w:w w:val="100"/>
          <w:position w:val="0"/>
          <w:highlight w:val="none"/>
          <w:lang w:val="en-US" w:eastAsia="zh-CN"/>
        </w:rPr>
        <w:t>与</w:t>
      </w:r>
      <w:r>
        <w:rPr>
          <w:rFonts w:hint="default"/>
          <w:color w:val="auto"/>
          <w:spacing w:val="0"/>
          <w:w w:val="100"/>
          <w:position w:val="0"/>
          <w:highlight w:val="none"/>
          <w:lang w:val="en-US" w:eastAsia="zh-CN"/>
        </w:rPr>
        <w:t>园区产业发展定位，用地符合国家产业政策和供地政策，符合园区土地利用总体规划。</w:t>
      </w:r>
    </w:p>
    <w:p w14:paraId="47B02058">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综上所述，</w:t>
      </w:r>
      <w:r>
        <w:rPr>
          <w:rFonts w:hint="default"/>
          <w:color w:val="auto"/>
          <w:spacing w:val="0"/>
          <w:w w:val="100"/>
          <w:position w:val="0"/>
          <w:highlight w:val="none"/>
          <w:lang w:val="en-US" w:eastAsia="zh-CN"/>
        </w:rPr>
        <w:t>项目选址用地从环境保护的角度分析是合理的。</w:t>
      </w:r>
    </w:p>
    <w:p w14:paraId="1E66C908">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w:t>
      </w:r>
      <w:r>
        <w:rPr>
          <w:rFonts w:hint="eastAsia"/>
          <w:color w:val="auto"/>
          <w:spacing w:val="0"/>
          <w:w w:val="100"/>
          <w:position w:val="0"/>
          <w:highlight w:val="none"/>
          <w:lang w:val="en-US" w:eastAsia="zh-CN"/>
        </w:rPr>
        <w:t>2</w:t>
      </w:r>
      <w:r>
        <w:rPr>
          <w:rFonts w:hint="default"/>
          <w:color w:val="auto"/>
          <w:spacing w:val="0"/>
          <w:w w:val="100"/>
          <w:position w:val="0"/>
          <w:highlight w:val="none"/>
          <w:lang w:val="en-US" w:eastAsia="zh-CN"/>
        </w:rPr>
        <w:t>）区域环境敏感性</w:t>
      </w:r>
    </w:p>
    <w:p w14:paraId="6C98D4AD">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本项目位于</w:t>
      </w:r>
      <w:r>
        <w:rPr>
          <w:rFonts w:hint="eastAsia"/>
          <w:color w:val="auto"/>
          <w:spacing w:val="0"/>
          <w:w w:val="100"/>
          <w:position w:val="0"/>
          <w:highlight w:val="none"/>
          <w:lang w:val="en-US" w:eastAsia="zh-CN"/>
        </w:rPr>
        <w:t>甘泉堡工业园区中小微企业创新区</w:t>
      </w:r>
      <w:r>
        <w:rPr>
          <w:rFonts w:hint="default"/>
          <w:color w:val="auto"/>
          <w:spacing w:val="0"/>
          <w:w w:val="100"/>
          <w:position w:val="0"/>
          <w:highlight w:val="none"/>
          <w:lang w:val="en-US" w:eastAsia="zh-CN"/>
        </w:rPr>
        <w:t>，经调查建设项目选址地区不属于生态保护红线区域，</w:t>
      </w:r>
      <w:r>
        <w:rPr>
          <w:rFonts w:hint="eastAsia"/>
          <w:color w:val="auto"/>
          <w:spacing w:val="0"/>
          <w:w w:val="100"/>
          <w:position w:val="0"/>
          <w:highlight w:val="none"/>
          <w:lang w:val="en-US" w:eastAsia="zh-CN"/>
        </w:rPr>
        <w:t>不涉及生态敏感区</w:t>
      </w:r>
      <w:r>
        <w:rPr>
          <w:rFonts w:hint="default"/>
          <w:color w:val="auto"/>
          <w:spacing w:val="0"/>
          <w:w w:val="100"/>
          <w:position w:val="0"/>
          <w:highlight w:val="none"/>
          <w:lang w:val="en-US" w:eastAsia="zh-CN"/>
        </w:rPr>
        <w:t>。厂址附近区域均为工业用地，无国家及省级确定的风景名胜区、历史遗迹等保护区，不属于敏感区；厂址所占用土地为规划的二类工业用地，区域内无特殊的具有自然观赏价值较高的景观。</w:t>
      </w:r>
    </w:p>
    <w:p w14:paraId="682F2E5D">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w:t>
      </w:r>
      <w:r>
        <w:rPr>
          <w:rFonts w:hint="eastAsia"/>
          <w:color w:val="auto"/>
          <w:spacing w:val="0"/>
          <w:w w:val="100"/>
          <w:position w:val="0"/>
          <w:highlight w:val="none"/>
          <w:lang w:val="en-US" w:eastAsia="zh-CN"/>
        </w:rPr>
        <w:t>3</w:t>
      </w:r>
      <w:r>
        <w:rPr>
          <w:rFonts w:hint="default"/>
          <w:color w:val="auto"/>
          <w:spacing w:val="0"/>
          <w:w w:val="100"/>
          <w:position w:val="0"/>
          <w:highlight w:val="none"/>
          <w:lang w:val="en-US" w:eastAsia="zh-CN"/>
        </w:rPr>
        <w:t>）环境风险</w:t>
      </w:r>
    </w:p>
    <w:p w14:paraId="2BD1D337">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本项目可能发生的主要环境风险事故为物料泄漏</w:t>
      </w:r>
      <w:r>
        <w:rPr>
          <w:rFonts w:hint="eastAsia" w:cs="Times New Roman"/>
          <w:b w:val="0"/>
          <w:bCs w:val="0"/>
          <w:caps w:val="0"/>
          <w:snapToGrid/>
          <w:color w:val="auto"/>
          <w:spacing w:val="0"/>
          <w:w w:val="100"/>
          <w:kern w:val="0"/>
          <w:position w:val="0"/>
          <w:sz w:val="24"/>
          <w:szCs w:val="20"/>
          <w:highlight w:val="none"/>
          <w:lang w:val="en-US" w:eastAsia="zh-CN"/>
        </w:rPr>
        <w:t>引起的</w:t>
      </w:r>
      <w:r>
        <w:rPr>
          <w:rFonts w:hint="default" w:ascii="Times New Roman" w:hAnsi="Times New Roman" w:eastAsia="宋体" w:cs="Times New Roman"/>
          <w:b w:val="0"/>
          <w:bCs w:val="0"/>
          <w:caps w:val="0"/>
          <w:snapToGrid/>
          <w:color w:val="auto"/>
          <w:spacing w:val="0"/>
          <w:w w:val="100"/>
          <w:kern w:val="0"/>
          <w:position w:val="0"/>
          <w:sz w:val="24"/>
          <w:szCs w:val="20"/>
          <w:highlight w:val="none"/>
          <w:lang w:val="en-US" w:eastAsia="zh-CN"/>
        </w:rPr>
        <w:t>火灾、爆炸事故。</w:t>
      </w:r>
      <w:r>
        <w:rPr>
          <w:rFonts w:hint="default"/>
          <w:color w:val="auto"/>
          <w:spacing w:val="0"/>
          <w:w w:val="100"/>
          <w:position w:val="0"/>
          <w:highlight w:val="none"/>
          <w:lang w:val="en-US" w:eastAsia="zh-CN"/>
        </w:rPr>
        <w:t>，以及引发的次生环境风险事故。在采取环评要求的防范措施和应急预案后，环境风险事故发生事故后其影响范围主要集中于厂区，环境风险在可接受范围之内。</w:t>
      </w:r>
    </w:p>
    <w:p w14:paraId="2CC5F8B6">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w:t>
      </w:r>
      <w:r>
        <w:rPr>
          <w:rFonts w:hint="eastAsia"/>
          <w:color w:val="auto"/>
          <w:spacing w:val="0"/>
          <w:w w:val="100"/>
          <w:position w:val="0"/>
          <w:highlight w:val="none"/>
          <w:lang w:val="en-US" w:eastAsia="zh-CN"/>
        </w:rPr>
        <w:t>4</w:t>
      </w:r>
      <w:r>
        <w:rPr>
          <w:rFonts w:hint="default"/>
          <w:color w:val="auto"/>
          <w:spacing w:val="0"/>
          <w:w w:val="100"/>
          <w:position w:val="0"/>
          <w:highlight w:val="none"/>
          <w:lang w:val="en-US" w:eastAsia="zh-CN"/>
        </w:rPr>
        <w:t>）总结</w:t>
      </w:r>
    </w:p>
    <w:p w14:paraId="24C623BF">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厂址位于</w:t>
      </w:r>
      <w:r>
        <w:rPr>
          <w:rFonts w:hint="eastAsia"/>
          <w:color w:val="auto"/>
          <w:spacing w:val="0"/>
          <w:w w:val="100"/>
          <w:position w:val="0"/>
          <w:highlight w:val="none"/>
          <w:lang w:val="en-US" w:eastAsia="zh-CN"/>
        </w:rPr>
        <w:t>甘泉堡工业园区中小微企业创新区</w:t>
      </w:r>
      <w:r>
        <w:rPr>
          <w:rFonts w:hint="default"/>
          <w:color w:val="auto"/>
          <w:spacing w:val="0"/>
          <w:w w:val="100"/>
          <w:position w:val="0"/>
          <w:highlight w:val="none"/>
          <w:lang w:val="en-US" w:eastAsia="zh-CN"/>
        </w:rPr>
        <w:t>，项目厂址未选择在环境敏感区域，厂址附近无《建设项目环境影响评价分类管理名录</w:t>
      </w:r>
      <w:r>
        <w:rPr>
          <w:rFonts w:hint="eastAsia"/>
          <w:color w:val="auto"/>
          <w:spacing w:val="0"/>
          <w:w w:val="100"/>
          <w:position w:val="0"/>
          <w:highlight w:val="none"/>
          <w:lang w:val="en-US" w:eastAsia="zh-CN"/>
        </w:rPr>
        <w:t>（2021年版）</w:t>
      </w:r>
      <w:r>
        <w:rPr>
          <w:rFonts w:hint="default"/>
          <w:color w:val="auto"/>
          <w:spacing w:val="0"/>
          <w:w w:val="100"/>
          <w:position w:val="0"/>
          <w:highlight w:val="none"/>
          <w:lang w:val="en-US" w:eastAsia="zh-CN"/>
        </w:rPr>
        <w:t>》中所称的环境敏感区“依法设立的各级各类保护区域和对建设项目产生环境影响特别敏感的区域”，区域内无特殊自然观赏价值较高的景观。</w:t>
      </w:r>
    </w:p>
    <w:p w14:paraId="3124A02C">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本项目符合国家及地方的产业政策和发展规划，建设区域环境质量现状良好，区域环境敏感程度较低，尚有一定环境容量，项目正常生产对环境的影响不大，环境风险水平可接受，不设置大气环境防护距离，结合环境影响预测评价结果综合分析，厂址选择是合理可行的。</w:t>
      </w:r>
    </w:p>
    <w:p w14:paraId="0BBFFADB">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5" w:name="_Toc11648"/>
      <w:bookmarkStart w:id="16" w:name="_Toc28374"/>
      <w:r>
        <w:rPr>
          <w:rFonts w:hint="default"/>
          <w:color w:val="auto"/>
          <w:spacing w:val="0"/>
          <w:w w:val="100"/>
          <w:position w:val="0"/>
          <w:highlight w:val="none"/>
          <w:lang w:val="en-US" w:eastAsia="zh-CN"/>
        </w:rPr>
        <w:t>1.4关注的主要环境问题及环境影响</w:t>
      </w:r>
      <w:bookmarkEnd w:id="15"/>
      <w:bookmarkEnd w:id="16"/>
    </w:p>
    <w:p w14:paraId="791FEE98">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本次环评主要关注项目实施过程中可能会产生的</w:t>
      </w:r>
      <w:r>
        <w:rPr>
          <w:rFonts w:hint="eastAsia"/>
          <w:color w:val="auto"/>
          <w:spacing w:val="0"/>
          <w:w w:val="100"/>
          <w:position w:val="0"/>
          <w:highlight w:val="none"/>
          <w:lang w:val="en-US" w:eastAsia="zh-CN"/>
        </w:rPr>
        <w:t>有机废气</w:t>
      </w:r>
      <w:r>
        <w:rPr>
          <w:rFonts w:hint="default"/>
          <w:color w:val="auto"/>
          <w:spacing w:val="0"/>
          <w:w w:val="100"/>
          <w:position w:val="0"/>
          <w:highlight w:val="none"/>
          <w:lang w:val="en-US" w:eastAsia="zh-CN"/>
        </w:rPr>
        <w:t>排放及治理措施，详细调查项目所在地周边的环境现状，重点分析项目运营期“三废”排放对周围环境的影响以及原辅料使用、贮存等过程中发生环境风险事故对环境的影响。</w:t>
      </w:r>
    </w:p>
    <w:p w14:paraId="75A360BE">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7" w:name="_Toc23007"/>
      <w:bookmarkStart w:id="18" w:name="_Toc22963"/>
      <w:r>
        <w:rPr>
          <w:rFonts w:hint="default"/>
          <w:color w:val="auto"/>
          <w:spacing w:val="0"/>
          <w:w w:val="100"/>
          <w:position w:val="0"/>
          <w:highlight w:val="none"/>
          <w:lang w:val="en-US" w:eastAsia="zh-CN"/>
        </w:rPr>
        <w:t>1.5环境影响评价的主要结论</w:t>
      </w:r>
      <w:bookmarkEnd w:id="17"/>
      <w:bookmarkEnd w:id="18"/>
    </w:p>
    <w:p w14:paraId="54B5F62D">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本项目的建设符合国家产业政策，选址合理可行；工艺选择符合清洁生产要求；各项污染物能够达标排放，运行后对周围环境影响较小；环境风险可控；通过公众参与分析，未收到当地群众对该项目建设的反馈意见；建成后对当地经济起到促进作用，项目建设可以实现“达标排放”、“总量控制”和“风险控制”的目标。考虑在建设过程中的不确定因素，建设过程中应认真落实环境保护“三同时”，严格落实设计和环评报告提出的污染防治措施和环境保护措施，并加强环保设施的运行维护和管理，保证各种环保设施的正常运行和污染物长期稳定达标排放。在落实并保证以上条件实施的前提下，从满足当地环境质量目标要求的角度分析，该项目的建设可行。</w:t>
      </w:r>
    </w:p>
    <w:p w14:paraId="5FB46968">
      <w:pPr>
        <w:pStyle w:val="32"/>
        <w:keepNext w:val="0"/>
        <w:keepLines w:val="0"/>
        <w:pageBreakBefore w:val="0"/>
        <w:widowControl w:val="0"/>
        <w:kinsoku/>
        <w:wordWrap/>
        <w:overflowPunct/>
        <w:topLinePunct w:val="0"/>
        <w:autoSpaceDE/>
        <w:autoSpaceDN/>
        <w:bidi w:val="0"/>
        <w:adjustRightInd/>
        <w:snapToGrid/>
        <w:ind w:left="0" w:leftChars="0" w:firstLine="0" w:firstLineChars="0"/>
        <w:rPr>
          <w:rFonts w:hint="default"/>
          <w:color w:val="auto"/>
          <w:spacing w:val="0"/>
          <w:w w:val="100"/>
          <w:position w:val="0"/>
          <w:highlight w:val="none"/>
          <w:lang w:val="en-US" w:eastAsia="zh-CN"/>
        </w:rPr>
      </w:pPr>
    </w:p>
    <w:p w14:paraId="14BA0714">
      <w:pPr>
        <w:pStyle w:val="32"/>
        <w:keepNext w:val="0"/>
        <w:keepLines w:val="0"/>
        <w:pageBreakBefore w:val="0"/>
        <w:widowControl w:val="0"/>
        <w:kinsoku/>
        <w:wordWrap/>
        <w:overflowPunct/>
        <w:topLinePunct w:val="0"/>
        <w:autoSpaceDE/>
        <w:autoSpaceDN/>
        <w:bidi w:val="0"/>
        <w:adjustRightInd/>
        <w:snapToGrid/>
        <w:ind w:left="0" w:leftChars="0" w:firstLine="0" w:firstLineChars="0"/>
        <w:rPr>
          <w:rFonts w:hint="default"/>
          <w:color w:val="auto"/>
          <w:spacing w:val="0"/>
          <w:w w:val="100"/>
          <w:position w:val="0"/>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02711D8C">
      <w:pPr>
        <w:pStyle w:val="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9" w:name="_Toc5008"/>
      <w:bookmarkStart w:id="20" w:name="_Toc15378"/>
      <w:r>
        <w:rPr>
          <w:rFonts w:hint="default"/>
          <w:color w:val="auto"/>
          <w:spacing w:val="0"/>
          <w:w w:val="100"/>
          <w:position w:val="0"/>
          <w:highlight w:val="none"/>
          <w:lang w:val="en-US" w:eastAsia="zh-CN"/>
        </w:rPr>
        <w:t>2总则</w:t>
      </w:r>
      <w:bookmarkEnd w:id="19"/>
      <w:bookmarkEnd w:id="20"/>
    </w:p>
    <w:p w14:paraId="1982FDEA">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21" w:name="_Toc28478"/>
      <w:bookmarkStart w:id="22" w:name="_Toc16752"/>
      <w:r>
        <w:rPr>
          <w:rFonts w:hint="default"/>
          <w:color w:val="auto"/>
          <w:spacing w:val="0"/>
          <w:w w:val="100"/>
          <w:position w:val="0"/>
          <w:highlight w:val="none"/>
          <w:lang w:val="en-US" w:eastAsia="zh-CN"/>
        </w:rPr>
        <w:t>2.1编制依据</w:t>
      </w:r>
      <w:bookmarkEnd w:id="21"/>
      <w:bookmarkEnd w:id="22"/>
    </w:p>
    <w:p w14:paraId="24CB24E1">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23" w:name="_Toc19858"/>
      <w:r>
        <w:rPr>
          <w:rFonts w:hint="default"/>
          <w:color w:val="auto"/>
          <w:spacing w:val="0"/>
          <w:w w:val="100"/>
          <w:position w:val="0"/>
          <w:highlight w:val="none"/>
          <w:lang w:val="en-US" w:eastAsia="zh-CN"/>
        </w:rPr>
        <w:t>2.1.1国家法律</w:t>
      </w:r>
      <w:bookmarkEnd w:id="23"/>
    </w:p>
    <w:p w14:paraId="2EF4074E">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（1）《中华人民共和国环境保护法》，2015年1月1日起施行；</w:t>
      </w:r>
    </w:p>
    <w:p w14:paraId="290ACBF8">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（2）《中华人民共和国环境影响评价法</w:t>
      </w:r>
      <w:r>
        <w:rPr>
          <w:rFonts w:hint="eastAsia"/>
          <w:color w:val="auto"/>
          <w:spacing w:val="0"/>
          <w:w w:val="100"/>
          <w:position w:val="0"/>
          <w:highlight w:val="none"/>
          <w:lang w:val="en-US" w:eastAsia="zh-CN"/>
        </w:rPr>
        <w:t>（2018年修订）</w:t>
      </w:r>
      <w:r>
        <w:rPr>
          <w:rFonts w:hint="default"/>
          <w:color w:val="auto"/>
          <w:spacing w:val="0"/>
          <w:w w:val="100"/>
          <w:position w:val="0"/>
          <w:highlight w:val="none"/>
          <w:lang w:val="en-US" w:eastAsia="zh-CN"/>
        </w:rPr>
        <w:t>》，2018年12月29日起施行；</w:t>
      </w:r>
    </w:p>
    <w:p w14:paraId="19D0E311">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（3）《中华人民共和国大气污染防治法</w:t>
      </w:r>
      <w:r>
        <w:rPr>
          <w:rFonts w:hint="eastAsia"/>
          <w:color w:val="auto"/>
          <w:spacing w:val="0"/>
          <w:w w:val="100"/>
          <w:position w:val="0"/>
          <w:highlight w:val="none"/>
          <w:lang w:val="en-US" w:eastAsia="zh-CN"/>
        </w:rPr>
        <w:t>（2018年修订）</w:t>
      </w:r>
      <w:r>
        <w:rPr>
          <w:rFonts w:hint="default"/>
          <w:color w:val="auto"/>
          <w:spacing w:val="0"/>
          <w:w w:val="100"/>
          <w:position w:val="0"/>
          <w:highlight w:val="none"/>
          <w:lang w:val="en-US" w:eastAsia="zh-CN"/>
        </w:rPr>
        <w:t>》，2018年10月26日起施行；</w:t>
      </w:r>
    </w:p>
    <w:p w14:paraId="63A38D1F">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（4）《中华人民共和国水污染防治法</w:t>
      </w:r>
      <w:r>
        <w:rPr>
          <w:rFonts w:hint="eastAsia"/>
          <w:color w:val="auto"/>
          <w:spacing w:val="0"/>
          <w:w w:val="100"/>
          <w:position w:val="0"/>
          <w:highlight w:val="none"/>
          <w:lang w:val="en-US" w:eastAsia="zh-CN"/>
        </w:rPr>
        <w:t>（2017年第二次修订）</w:t>
      </w:r>
      <w:r>
        <w:rPr>
          <w:rFonts w:hint="default"/>
          <w:color w:val="auto"/>
          <w:spacing w:val="0"/>
          <w:w w:val="100"/>
          <w:position w:val="0"/>
          <w:highlight w:val="none"/>
          <w:lang w:val="en-US" w:eastAsia="zh-CN"/>
        </w:rPr>
        <w:t>》，2018年1月1日起施行；</w:t>
      </w:r>
    </w:p>
    <w:p w14:paraId="69EE538E">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（5）《中华人民共和国噪声污染防治法》，2022年6月5日起施行；</w:t>
      </w:r>
    </w:p>
    <w:p w14:paraId="4CB6A7CE">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（6）《中华人民共和国固体废物污染环境防治法》，2020年9月1日起施行；</w:t>
      </w:r>
    </w:p>
    <w:p w14:paraId="1B266BAD">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（7）《中华人民共和国土壤污染防治法》，2019年1月1日起施行；</w:t>
      </w:r>
    </w:p>
    <w:p w14:paraId="662A1BBC">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（8）《中华人民共和国清洁生产促进法》，2012年7月1日起施行；</w:t>
      </w:r>
    </w:p>
    <w:p w14:paraId="12639FE6">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（9）《中华人民共和国循环经济促进法》，2018年10月26日起施行；</w:t>
      </w:r>
    </w:p>
    <w:p w14:paraId="497C498C">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（10）《中华人民共和国节约能源法》，2018年10月26日起施行；</w:t>
      </w:r>
    </w:p>
    <w:p w14:paraId="0711392F">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（11）《中华人民共和国水法》，2016年9月1日起施行；</w:t>
      </w:r>
    </w:p>
    <w:p w14:paraId="197E9CC2">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（12）《中华人民共和国安全生产法》，2021年9月1日起施行；</w:t>
      </w:r>
    </w:p>
    <w:p w14:paraId="345F026D">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（13）《中华人民共和国突发事件应对法》，2024年11月1日起施行；</w:t>
      </w:r>
    </w:p>
    <w:p w14:paraId="1FB3ECF1">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（14）《中华人民共和国土地管理法》，2019年8月26日起施行；</w:t>
      </w:r>
    </w:p>
    <w:p w14:paraId="17B293A7">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（15）《中华人民共和国水土保持法》，2011年3月1日起施行；</w:t>
      </w:r>
    </w:p>
    <w:p w14:paraId="5C35811C">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（16）《中华人民共和国防沙治沙法》，2018年10月26日修订。</w:t>
      </w:r>
    </w:p>
    <w:p w14:paraId="65C49B47">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24" w:name="_Toc12143"/>
      <w:r>
        <w:rPr>
          <w:rFonts w:hint="default"/>
          <w:color w:val="auto"/>
          <w:spacing w:val="0"/>
          <w:w w:val="100"/>
          <w:position w:val="0"/>
          <w:highlight w:val="none"/>
          <w:lang w:val="en-US" w:eastAsia="zh-CN"/>
        </w:rPr>
        <w:t>2.1.2国家行政法规及政策</w:t>
      </w:r>
      <w:bookmarkEnd w:id="24"/>
    </w:p>
    <w:p w14:paraId="0DCBBB6E">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（1）《建设项目环境保护管理条例》</w:t>
      </w:r>
      <w:r>
        <w:rPr>
          <w:rFonts w:hint="eastAsia"/>
          <w:color w:val="auto"/>
          <w:spacing w:val="0"/>
          <w:w w:val="100"/>
          <w:position w:val="0"/>
          <w:highlight w:val="none"/>
          <w:lang w:val="en-US" w:eastAsia="zh-CN"/>
        </w:rPr>
        <w:t>（2017年修订）</w:t>
      </w:r>
      <w:r>
        <w:rPr>
          <w:rFonts w:hint="default"/>
          <w:color w:val="auto"/>
          <w:spacing w:val="0"/>
          <w:w w:val="100"/>
          <w:position w:val="0"/>
          <w:highlight w:val="none"/>
          <w:lang w:val="en-US" w:eastAsia="zh-CN"/>
        </w:rPr>
        <w:t>；</w:t>
      </w:r>
    </w:p>
    <w:p w14:paraId="3F96F1F4">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（2）《危险化学品安全管理条例》</w:t>
      </w:r>
      <w:r>
        <w:rPr>
          <w:rFonts w:hint="eastAsia"/>
          <w:color w:val="auto"/>
          <w:spacing w:val="0"/>
          <w:w w:val="100"/>
          <w:position w:val="0"/>
          <w:highlight w:val="none"/>
          <w:lang w:val="en-US" w:eastAsia="zh-CN"/>
        </w:rPr>
        <w:t>（</w:t>
      </w:r>
      <w:r>
        <w:rPr>
          <w:rFonts w:hint="default"/>
          <w:color w:val="auto"/>
          <w:spacing w:val="0"/>
          <w:w w:val="100"/>
          <w:position w:val="0"/>
          <w:highlight w:val="none"/>
          <w:lang w:val="en-US" w:eastAsia="zh-CN"/>
        </w:rPr>
        <w:t>2013年12月7日</w:t>
      </w:r>
      <w:r>
        <w:rPr>
          <w:rFonts w:hint="eastAsia"/>
          <w:color w:val="auto"/>
          <w:spacing w:val="0"/>
          <w:w w:val="100"/>
          <w:position w:val="0"/>
          <w:highlight w:val="none"/>
          <w:lang w:val="en-US" w:eastAsia="zh-CN"/>
        </w:rPr>
        <w:t>修订）</w:t>
      </w:r>
      <w:r>
        <w:rPr>
          <w:rFonts w:hint="default"/>
          <w:color w:val="auto"/>
          <w:spacing w:val="0"/>
          <w:w w:val="100"/>
          <w:position w:val="0"/>
          <w:highlight w:val="none"/>
          <w:lang w:val="en-US" w:eastAsia="zh-CN"/>
        </w:rPr>
        <w:t>；</w:t>
      </w:r>
    </w:p>
    <w:p w14:paraId="4C293EBD">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（3）《排污许可管理条例》，国务院令第736号，2021年3月1日起施行；</w:t>
      </w:r>
    </w:p>
    <w:p w14:paraId="2CA76AC4">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（4）《国务院关于印发水污染防治行动计划的通知》，国发〔2015〕17号，2015年4月2日发布并实施；</w:t>
      </w:r>
    </w:p>
    <w:p w14:paraId="7EEE07EC">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（5）《中共中央国务院关于深入打好污染防治攻坚战的意见》，2021年11月2日发布；</w:t>
      </w:r>
    </w:p>
    <w:p w14:paraId="246A6D2D">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（6）《国务院关于印发“十四五”节能减排综合性工作方案的通知》，国发〔2021〕33号，2021年12月28日印发；</w:t>
      </w:r>
    </w:p>
    <w:p w14:paraId="37A50726">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（7）《中华人民共和国土地管理法实施条例》，国务院令第743号，2021年9月1日施行。</w:t>
      </w:r>
    </w:p>
    <w:p w14:paraId="5C0BC30A">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25" w:name="_Toc9794"/>
      <w:r>
        <w:rPr>
          <w:rFonts w:hint="default"/>
          <w:color w:val="auto"/>
          <w:spacing w:val="0"/>
          <w:w w:val="100"/>
          <w:position w:val="0"/>
          <w:highlight w:val="none"/>
          <w:lang w:val="en-US" w:eastAsia="zh-CN"/>
        </w:rPr>
        <w:t>2.1.3国家部门规章、规范性文件</w:t>
      </w:r>
      <w:bookmarkEnd w:id="25"/>
    </w:p>
    <w:p w14:paraId="4918A738">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（1）《建设项目环境影响评价分类管理名录（2021年版）》，生态环境部令第16号，2021年1月1日施行；</w:t>
      </w:r>
    </w:p>
    <w:p w14:paraId="5E4011A1">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（2）《建设项目竣工环境保护验收暂行办法》，国环规环评〔2017〕4号，2017年11月22日施行；</w:t>
      </w:r>
    </w:p>
    <w:p w14:paraId="6C0F371D">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（3）《关于进一步加强环境影响评价管理防范环境风险的通知》，环发〔2012〕77号，2012年7月3日施行；</w:t>
      </w:r>
    </w:p>
    <w:p w14:paraId="3881FC25">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（4）《市场准入负面清单（2025年版）》，2025年4月16日实施；</w:t>
      </w:r>
    </w:p>
    <w:p w14:paraId="5190A990">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（5）《关于统筹和加强应对气候变化与生态环境保护相关工作的指导意见》，环综合〔2021〕4号，2021年1月11日印发；</w:t>
      </w:r>
    </w:p>
    <w:p w14:paraId="1C43B279">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（6）《关于印发〈重点行业挥发性有机物综合治理方案〉的通知》，环大气〔2019〕53号；</w:t>
      </w:r>
    </w:p>
    <w:p w14:paraId="55391180">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（7）《突发环境事件应急管理办法》，原环境保护部部令第34号，2015年6月5日施行；</w:t>
      </w:r>
    </w:p>
    <w:p w14:paraId="333DBC53">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（8）《关于强化建设项目环境影响评价事中事后监管的实施意见》，环环评〔2018〕11号，自2018年1月25日施行；</w:t>
      </w:r>
    </w:p>
    <w:p w14:paraId="40E0DE16">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（9）《环境影响评价公众参与办法》，生态环境部令第4号，2019年1月1日施行；</w:t>
      </w:r>
    </w:p>
    <w:p w14:paraId="317993D2">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（10）《关于以改善环境质量为核心加强环境影响评价管理的通知》，环环评〔2016〕150号，环境保护部办公厅2016年10月26日印发；</w:t>
      </w:r>
    </w:p>
    <w:p w14:paraId="464CD0CA">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（11）《产业结构调整指导目录（2024年本）》，中华人民共和国国家发展和改革委员会令 第7号，2023年12月27日；</w:t>
      </w:r>
    </w:p>
    <w:p w14:paraId="71F8A938">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（12）《企业环境信息依法披露管理办法》，生态环境部令第24号，2022年2月8日施行；</w:t>
      </w:r>
    </w:p>
    <w:p w14:paraId="4494FDB8">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（13）《国家危险废物名录（2025年版）》，生态环境部令第36号，2025年1月1日施行；</w:t>
      </w:r>
    </w:p>
    <w:p w14:paraId="20497D5C">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（14）《固定污染源排污许可分类管理名录（2019年版）》，生态环境部 部令第11号，2019年12月20日印发；</w:t>
      </w:r>
    </w:p>
    <w:p w14:paraId="7C326091">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（15）《关于做好环境影响评价制度与排污许可</w:t>
      </w:r>
      <w:r>
        <w:rPr>
          <w:rFonts w:hint="eastAsia"/>
          <w:color w:val="auto"/>
          <w:spacing w:val="0"/>
          <w:w w:val="100"/>
          <w:position w:val="0"/>
          <w:highlight w:val="none"/>
          <w:lang w:val="en-US" w:eastAsia="zh-CN"/>
        </w:rPr>
        <w:t>制度</w:t>
      </w:r>
      <w:r>
        <w:rPr>
          <w:rFonts w:hint="default"/>
          <w:color w:val="auto"/>
          <w:spacing w:val="0"/>
          <w:w w:val="100"/>
          <w:position w:val="0"/>
          <w:highlight w:val="none"/>
          <w:lang w:val="en-US" w:eastAsia="zh-CN"/>
        </w:rPr>
        <w:t>衔接相关工作的通知》，环办环评〔2017〕84号，2017年11月14日发布；</w:t>
      </w:r>
    </w:p>
    <w:p w14:paraId="090AF492">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（16）关于印发《企业事业单位突发环境事件应急预案备案管理办法（试行）》的通知，环发〔2015〕4号，2015年1月9日印发；</w:t>
      </w:r>
    </w:p>
    <w:p w14:paraId="19B27AB4">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（17）关于印发《地下水污染防治实施方案的通知》，环土壤〔2019〕25号，2019年3月28日印发；</w:t>
      </w:r>
    </w:p>
    <w:p w14:paraId="1DA01CF1">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（18）《关于发布〈排放源统计调查产排污核算方法和系数手册〉的公告》，生态环境部公告2021年第24号，2021年6月11日公告；</w:t>
      </w:r>
    </w:p>
    <w:p w14:paraId="518599D5">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（19）《危险废物转移管理办法》，部令第23号，2022年1月18日印发。</w:t>
      </w:r>
    </w:p>
    <w:p w14:paraId="62D9E7B1">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（20）《挥发性有机物（非甲烷总烃）污染防治技术政策》，公告2013年第31号，2013年5月24日实施；</w:t>
      </w:r>
    </w:p>
    <w:p w14:paraId="3F16C438">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（21）《关于加快解决当前挥发性有机物治理突出问题的通知》，环大气〔2021〕65号；</w:t>
      </w:r>
    </w:p>
    <w:p w14:paraId="2E897AC4">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（22）《关于印发〈“十四五”环境影响评价与排污许可工作实施方案〉的通知》，环环评〔2022〕26号；</w:t>
      </w:r>
    </w:p>
    <w:p w14:paraId="31C542FE">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（23）《排污许可管理办法》，生态环境部 部令第32号，2024年7月1日起施行；</w:t>
      </w:r>
    </w:p>
    <w:p w14:paraId="5AFD1B35">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26" w:name="_Toc7931"/>
      <w:r>
        <w:rPr>
          <w:rFonts w:hint="default"/>
          <w:color w:val="auto"/>
          <w:spacing w:val="0"/>
          <w:w w:val="100"/>
          <w:position w:val="0"/>
          <w:highlight w:val="none"/>
          <w:lang w:val="en-US" w:eastAsia="zh-CN"/>
        </w:rPr>
        <w:t>2.1.4地方性法规及政府规章</w:t>
      </w:r>
      <w:bookmarkEnd w:id="26"/>
    </w:p>
    <w:p w14:paraId="5A2C0E0C">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（1）《新疆维吾尔自治区环境保护条例》，新疆维吾尔自治区第十三届人民代表大会常务委员会第六次会议，2018年9月21日起施行；</w:t>
      </w:r>
    </w:p>
    <w:p w14:paraId="398E6EAF">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（2）《新疆维吾尔自治区大气污染防治条例》，新疆维吾尔自治区第十三届人民代表大会常务委员会公告第15号，2019年1月1日起施行；</w:t>
      </w:r>
    </w:p>
    <w:p w14:paraId="01EFF854">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（3）《新疆维吾尔自治区危险废物污染环境防治办法》，新疆维吾尔自治区人民政府令第163号，2010年5月1日起施行；</w:t>
      </w:r>
    </w:p>
    <w:p w14:paraId="6C29C3FB">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（4）《新疆维吾尔自治区2025年空气质量持续改善行动实施方案》，新政办发〔2024〕58号，2024年12月10日；</w:t>
      </w:r>
    </w:p>
    <w:p w14:paraId="45B1B740">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（5）《关于深入打好污染防治攻坚战的实施方案》，自治区党委、自治区人民政府，2022年7月26日；</w:t>
      </w:r>
    </w:p>
    <w:p w14:paraId="5647D148">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（6）</w:t>
      </w:r>
      <w:r>
        <w:rPr>
          <w:rFonts w:hint="default"/>
          <w:color w:val="auto"/>
          <w:spacing w:val="0"/>
          <w:w w:val="100"/>
          <w:position w:val="0"/>
          <w:highlight w:val="none"/>
          <w:lang w:val="en-US" w:eastAsia="zh-CN"/>
        </w:rPr>
        <w:t>《新疆维吾尔自治区生态环境分区管控动态更新成果》（新环环评发〔2024〕157号）</w:t>
      </w:r>
    </w:p>
    <w:p w14:paraId="6B7CBB53">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w:t>
      </w:r>
      <w:r>
        <w:rPr>
          <w:rFonts w:hint="eastAsia"/>
          <w:color w:val="auto"/>
          <w:spacing w:val="0"/>
          <w:w w:val="100"/>
          <w:position w:val="0"/>
          <w:highlight w:val="none"/>
          <w:lang w:val="en-US" w:eastAsia="zh-CN"/>
        </w:rPr>
        <w:t>7</w:t>
      </w:r>
      <w:r>
        <w:rPr>
          <w:rFonts w:hint="default"/>
          <w:color w:val="auto"/>
          <w:spacing w:val="0"/>
          <w:w w:val="100"/>
          <w:position w:val="0"/>
          <w:highlight w:val="none"/>
          <w:lang w:val="en-US" w:eastAsia="zh-CN"/>
        </w:rPr>
        <w:t>）《关于发布昌吉回族自治州生态环境分区管控动态更新成果的公告》，202</w:t>
      </w:r>
      <w:r>
        <w:rPr>
          <w:rFonts w:hint="eastAsia"/>
          <w:color w:val="auto"/>
          <w:spacing w:val="0"/>
          <w:w w:val="100"/>
          <w:position w:val="0"/>
          <w:highlight w:val="none"/>
          <w:lang w:val="en-US" w:eastAsia="zh-CN"/>
        </w:rPr>
        <w:t>5</w:t>
      </w:r>
      <w:r>
        <w:rPr>
          <w:rFonts w:hint="default"/>
          <w:color w:val="auto"/>
          <w:spacing w:val="0"/>
          <w:w w:val="100"/>
          <w:position w:val="0"/>
          <w:highlight w:val="none"/>
          <w:lang w:val="en-US" w:eastAsia="zh-CN"/>
        </w:rPr>
        <w:t>年</w:t>
      </w:r>
      <w:r>
        <w:rPr>
          <w:rFonts w:hint="eastAsia"/>
          <w:color w:val="auto"/>
          <w:spacing w:val="0"/>
          <w:w w:val="100"/>
          <w:position w:val="0"/>
          <w:highlight w:val="none"/>
          <w:lang w:val="en-US" w:eastAsia="zh-CN"/>
        </w:rPr>
        <w:t>1</w:t>
      </w:r>
      <w:r>
        <w:rPr>
          <w:rFonts w:hint="default"/>
          <w:color w:val="auto"/>
          <w:spacing w:val="0"/>
          <w:w w:val="100"/>
          <w:position w:val="0"/>
          <w:highlight w:val="none"/>
          <w:lang w:val="en-US" w:eastAsia="zh-CN"/>
        </w:rPr>
        <w:t>月</w:t>
      </w:r>
      <w:r>
        <w:rPr>
          <w:rFonts w:hint="eastAsia"/>
          <w:color w:val="auto"/>
          <w:spacing w:val="0"/>
          <w:w w:val="100"/>
          <w:position w:val="0"/>
          <w:highlight w:val="none"/>
          <w:lang w:val="en-US" w:eastAsia="zh-CN"/>
        </w:rPr>
        <w:t>10</w:t>
      </w:r>
      <w:r>
        <w:rPr>
          <w:rFonts w:hint="default"/>
          <w:color w:val="auto"/>
          <w:spacing w:val="0"/>
          <w:w w:val="100"/>
          <w:position w:val="0"/>
          <w:highlight w:val="none"/>
          <w:lang w:val="en-US" w:eastAsia="zh-CN"/>
        </w:rPr>
        <w:t>日。</w:t>
      </w:r>
    </w:p>
    <w:p w14:paraId="5CB79F4B">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27" w:name="_Toc17895"/>
      <w:r>
        <w:rPr>
          <w:rFonts w:hint="default"/>
          <w:color w:val="auto"/>
          <w:spacing w:val="0"/>
          <w:w w:val="100"/>
          <w:position w:val="0"/>
          <w:highlight w:val="none"/>
          <w:lang w:val="en-US" w:eastAsia="zh-CN"/>
        </w:rPr>
        <w:t>2.1.5技术导则、规范</w:t>
      </w:r>
      <w:bookmarkEnd w:id="27"/>
    </w:p>
    <w:p w14:paraId="5543C29A">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（1）《建设项目环境影响评价技术导则 总纲》（HJ2.1-2016）；</w:t>
      </w:r>
    </w:p>
    <w:p w14:paraId="477DC0B7">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（2）《环境影响评价技术导则 大气环境》（HJ2.2-2018）；</w:t>
      </w:r>
    </w:p>
    <w:p w14:paraId="4DEEE434">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（3）《环境影响评价技术导则 地表水环境》（HJ2.3-2018）；</w:t>
      </w:r>
    </w:p>
    <w:p w14:paraId="167D404B">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（4）《环境影响评价技术导则 地下水环境》（HJ610-2016）；</w:t>
      </w:r>
    </w:p>
    <w:p w14:paraId="5FED5A84">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（5）《环境影响评价技术导则 声环境》（HJ2.4-2021）；</w:t>
      </w:r>
    </w:p>
    <w:p w14:paraId="5D0BE5CC">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（6）《环境影响评价技术导则 土壤环境（试行）》（HJ964-2018）</w:t>
      </w:r>
    </w:p>
    <w:p w14:paraId="0E6A93A5">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（7）《环境影响评价技术导则 生态影响》（HJ19-2022）；</w:t>
      </w:r>
    </w:p>
    <w:p w14:paraId="3F60A51D">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（8）《建设项目环境风险评价技术导则》（HJ169-2018）；</w:t>
      </w:r>
    </w:p>
    <w:p w14:paraId="23F93234">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（9）《大气污染治理工程技术导则》（HJ2000-2010）；</w:t>
      </w:r>
    </w:p>
    <w:p w14:paraId="44E233E5">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（10）《水污染治理工程技术导则》（HJ2015-2012）；</w:t>
      </w:r>
    </w:p>
    <w:p w14:paraId="52DD25B7">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（11）《环境噪声与振动控制工程技术导则》（HJ2034-2013）；</w:t>
      </w:r>
    </w:p>
    <w:p w14:paraId="3A1703C4">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（12）《固体废物处理处置工程技术导则》（HJ2035-2013）；</w:t>
      </w:r>
    </w:p>
    <w:p w14:paraId="6B2C153E">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（13）《危险废物管理计划和管理台账制定技术导则》（HJ1259-2022）；</w:t>
      </w:r>
    </w:p>
    <w:p w14:paraId="43BB1E9F">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（14）《排污单位自行监测技术指南 总则》（HJ819-2017）；</w:t>
      </w:r>
    </w:p>
    <w:p w14:paraId="59C36630">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（15）《排污许可证申请与核发技术规范 总则》（HJ942-2018）；</w:t>
      </w:r>
    </w:p>
    <w:p w14:paraId="71F43CFB">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（16）《污染源源强核算技术指南 准则》（HJ884-2018）；</w:t>
      </w:r>
    </w:p>
    <w:p w14:paraId="206D9034">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w:t>
      </w:r>
      <w:r>
        <w:rPr>
          <w:rFonts w:hint="eastAsia"/>
          <w:color w:val="auto"/>
          <w:spacing w:val="0"/>
          <w:w w:val="100"/>
          <w:position w:val="0"/>
          <w:highlight w:val="none"/>
          <w:lang w:val="en-US" w:eastAsia="zh-CN"/>
        </w:rPr>
        <w:t>7</w:t>
      </w:r>
      <w:r>
        <w:rPr>
          <w:rFonts w:hint="default"/>
          <w:color w:val="auto"/>
          <w:spacing w:val="0"/>
          <w:w w:val="100"/>
          <w:position w:val="0"/>
          <w:highlight w:val="none"/>
          <w:lang w:val="en-US" w:eastAsia="zh-CN"/>
        </w:rPr>
        <w:t>）《危险化学品重大危险源辨识》（GB18218-2018）；</w:t>
      </w:r>
    </w:p>
    <w:p w14:paraId="50E8629D">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w:t>
      </w:r>
      <w:r>
        <w:rPr>
          <w:rFonts w:hint="eastAsia"/>
          <w:color w:val="auto"/>
          <w:spacing w:val="0"/>
          <w:w w:val="100"/>
          <w:position w:val="0"/>
          <w:highlight w:val="none"/>
          <w:lang w:val="en-US" w:eastAsia="zh-CN"/>
        </w:rPr>
        <w:t>8</w:t>
      </w:r>
      <w:r>
        <w:rPr>
          <w:rFonts w:hint="default"/>
          <w:color w:val="auto"/>
          <w:spacing w:val="0"/>
          <w:w w:val="100"/>
          <w:position w:val="0"/>
          <w:highlight w:val="none"/>
          <w:lang w:val="en-US" w:eastAsia="zh-CN"/>
        </w:rPr>
        <w:t>）《危险化学品仓库储存通则》（GB15603-2022）；</w:t>
      </w:r>
    </w:p>
    <w:p w14:paraId="633EBEDB">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w:t>
      </w:r>
      <w:r>
        <w:rPr>
          <w:rFonts w:hint="eastAsia"/>
          <w:color w:val="auto"/>
          <w:spacing w:val="0"/>
          <w:w w:val="100"/>
          <w:position w:val="0"/>
          <w:highlight w:val="none"/>
          <w:lang w:val="en-US" w:eastAsia="zh-CN"/>
        </w:rPr>
        <w:t>19</w:t>
      </w:r>
      <w:r>
        <w:rPr>
          <w:rFonts w:hint="default"/>
          <w:color w:val="auto"/>
          <w:spacing w:val="0"/>
          <w:w w:val="100"/>
          <w:position w:val="0"/>
          <w:highlight w:val="none"/>
          <w:lang w:val="en-US" w:eastAsia="zh-CN"/>
        </w:rPr>
        <w:t>）《固体废物鉴别标准 通则》（GB34330-2017）；</w:t>
      </w:r>
    </w:p>
    <w:p w14:paraId="53EFCB02">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w:t>
      </w:r>
      <w:r>
        <w:rPr>
          <w:rFonts w:hint="eastAsia"/>
          <w:color w:val="auto"/>
          <w:spacing w:val="0"/>
          <w:w w:val="100"/>
          <w:position w:val="0"/>
          <w:highlight w:val="none"/>
          <w:lang w:val="en-US" w:eastAsia="zh-CN"/>
        </w:rPr>
        <w:t>0</w:t>
      </w:r>
      <w:r>
        <w:rPr>
          <w:rFonts w:hint="default"/>
          <w:color w:val="auto"/>
          <w:spacing w:val="0"/>
          <w:w w:val="100"/>
          <w:position w:val="0"/>
          <w:highlight w:val="none"/>
          <w:lang w:val="en-US" w:eastAsia="zh-CN"/>
        </w:rPr>
        <w:t>）《危险废物鉴别标准 通则》（GB5085.7-2019）；</w:t>
      </w:r>
    </w:p>
    <w:p w14:paraId="032B666E">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w:t>
      </w:r>
      <w:r>
        <w:rPr>
          <w:rFonts w:hint="eastAsia"/>
          <w:color w:val="auto"/>
          <w:spacing w:val="0"/>
          <w:w w:val="100"/>
          <w:position w:val="0"/>
          <w:highlight w:val="none"/>
          <w:lang w:val="en-US" w:eastAsia="zh-CN"/>
        </w:rPr>
        <w:t>1</w:t>
      </w:r>
      <w:r>
        <w:rPr>
          <w:rFonts w:hint="default"/>
          <w:color w:val="auto"/>
          <w:spacing w:val="0"/>
          <w:w w:val="100"/>
          <w:position w:val="0"/>
          <w:highlight w:val="none"/>
          <w:lang w:val="en-US" w:eastAsia="zh-CN"/>
        </w:rPr>
        <w:t>）《工业企业土壤和地下水自行监测技术指南（试行）》（HJ1209-2021）；</w:t>
      </w:r>
    </w:p>
    <w:p w14:paraId="19552EC7">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w:t>
      </w:r>
      <w:r>
        <w:rPr>
          <w:rFonts w:hint="eastAsia"/>
          <w:color w:val="auto"/>
          <w:spacing w:val="0"/>
          <w:w w:val="100"/>
          <w:position w:val="0"/>
          <w:highlight w:val="none"/>
          <w:lang w:val="en-US" w:eastAsia="zh-CN"/>
        </w:rPr>
        <w:t>2</w:t>
      </w:r>
      <w:r>
        <w:rPr>
          <w:rFonts w:hint="default"/>
          <w:color w:val="auto"/>
          <w:spacing w:val="0"/>
          <w:w w:val="100"/>
          <w:position w:val="0"/>
          <w:highlight w:val="none"/>
          <w:lang w:val="en-US" w:eastAsia="zh-CN"/>
        </w:rPr>
        <w:t>）《地下水环境监测技术规范》（HJ164-2020）；</w:t>
      </w:r>
    </w:p>
    <w:p w14:paraId="7EB800A3">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w:t>
      </w:r>
      <w:r>
        <w:rPr>
          <w:rFonts w:hint="eastAsia"/>
          <w:color w:val="auto"/>
          <w:spacing w:val="0"/>
          <w:w w:val="100"/>
          <w:position w:val="0"/>
          <w:highlight w:val="none"/>
          <w:lang w:val="en-US" w:eastAsia="zh-CN"/>
        </w:rPr>
        <w:t>3</w:t>
      </w:r>
      <w:r>
        <w:rPr>
          <w:rFonts w:hint="default"/>
          <w:color w:val="auto"/>
          <w:spacing w:val="0"/>
          <w:w w:val="100"/>
          <w:position w:val="0"/>
          <w:highlight w:val="none"/>
          <w:lang w:val="en-US" w:eastAsia="zh-CN"/>
        </w:rPr>
        <w:t>）《土壤环境监测技术规范》（HJ/T166-2004）；</w:t>
      </w:r>
    </w:p>
    <w:p w14:paraId="35633AD6">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w:t>
      </w:r>
      <w:r>
        <w:rPr>
          <w:rFonts w:hint="eastAsia"/>
          <w:color w:val="auto"/>
          <w:spacing w:val="0"/>
          <w:w w:val="100"/>
          <w:position w:val="0"/>
          <w:highlight w:val="none"/>
          <w:lang w:val="en-US" w:eastAsia="zh-CN"/>
        </w:rPr>
        <w:t>4</w:t>
      </w:r>
      <w:r>
        <w:rPr>
          <w:rFonts w:hint="default"/>
          <w:color w:val="auto"/>
          <w:spacing w:val="0"/>
          <w:w w:val="100"/>
          <w:position w:val="0"/>
          <w:highlight w:val="none"/>
          <w:lang w:val="en-US" w:eastAsia="zh-CN"/>
        </w:rPr>
        <w:t>）《危险废物收集 贮存 运输技术规范》（HJ2025-2012）；</w:t>
      </w:r>
    </w:p>
    <w:p w14:paraId="4E9F006B">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w:t>
      </w:r>
      <w:r>
        <w:rPr>
          <w:rFonts w:hint="eastAsia"/>
          <w:color w:val="auto"/>
          <w:spacing w:val="0"/>
          <w:w w:val="100"/>
          <w:position w:val="0"/>
          <w:highlight w:val="none"/>
          <w:lang w:val="en-US" w:eastAsia="zh-CN"/>
        </w:rPr>
        <w:t>5</w:t>
      </w:r>
      <w:r>
        <w:rPr>
          <w:rFonts w:hint="default"/>
          <w:color w:val="auto"/>
          <w:spacing w:val="0"/>
          <w:w w:val="100"/>
          <w:position w:val="0"/>
          <w:highlight w:val="none"/>
          <w:lang w:val="en-US" w:eastAsia="zh-CN"/>
        </w:rPr>
        <w:t>）《一般工业固体废物管理台账制定指南（试行）》；</w:t>
      </w:r>
    </w:p>
    <w:p w14:paraId="49BA107A">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w:t>
      </w:r>
      <w:r>
        <w:rPr>
          <w:rFonts w:hint="eastAsia"/>
          <w:color w:val="auto"/>
          <w:spacing w:val="0"/>
          <w:w w:val="100"/>
          <w:position w:val="0"/>
          <w:highlight w:val="none"/>
          <w:lang w:val="en-US" w:eastAsia="zh-CN"/>
        </w:rPr>
        <w:t>6</w:t>
      </w:r>
      <w:r>
        <w:rPr>
          <w:rFonts w:hint="default"/>
          <w:color w:val="auto"/>
          <w:spacing w:val="0"/>
          <w:w w:val="100"/>
          <w:position w:val="0"/>
          <w:highlight w:val="none"/>
          <w:lang w:val="en-US" w:eastAsia="zh-CN"/>
        </w:rPr>
        <w:t>）《固体废物污染环境防治信息发布指南》；</w:t>
      </w:r>
    </w:p>
    <w:p w14:paraId="58DC7F76">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w:t>
      </w:r>
      <w:r>
        <w:rPr>
          <w:rFonts w:hint="eastAsia"/>
          <w:color w:val="auto"/>
          <w:spacing w:val="0"/>
          <w:w w:val="100"/>
          <w:position w:val="0"/>
          <w:highlight w:val="none"/>
          <w:lang w:val="en-US" w:eastAsia="zh-CN"/>
        </w:rPr>
        <w:t>7</w:t>
      </w:r>
      <w:r>
        <w:rPr>
          <w:rFonts w:hint="default"/>
          <w:color w:val="auto"/>
          <w:spacing w:val="0"/>
          <w:w w:val="100"/>
          <w:position w:val="0"/>
          <w:highlight w:val="none"/>
          <w:lang w:val="en-US" w:eastAsia="zh-CN"/>
        </w:rPr>
        <w:t>）《催化燃烧法工业有机废气治理工程技术规范》（HJ2027-2013）；</w:t>
      </w:r>
    </w:p>
    <w:p w14:paraId="5709A059">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w:t>
      </w:r>
      <w:r>
        <w:rPr>
          <w:rFonts w:hint="eastAsia"/>
          <w:color w:val="auto"/>
          <w:spacing w:val="0"/>
          <w:w w:val="100"/>
          <w:position w:val="0"/>
          <w:highlight w:val="none"/>
          <w:lang w:val="en-US" w:eastAsia="zh-CN"/>
        </w:rPr>
        <w:t>8</w:t>
      </w:r>
      <w:r>
        <w:rPr>
          <w:rFonts w:hint="default"/>
          <w:color w:val="auto"/>
          <w:spacing w:val="0"/>
          <w:w w:val="100"/>
          <w:position w:val="0"/>
          <w:highlight w:val="none"/>
          <w:lang w:val="en-US" w:eastAsia="zh-CN"/>
        </w:rPr>
        <w:t>）《吸附法工业有机废气治理工程技术规范》（HJ2026—2013）。</w:t>
      </w:r>
    </w:p>
    <w:p w14:paraId="3E6A5182">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28" w:name="_Toc25545"/>
      <w:r>
        <w:rPr>
          <w:rFonts w:hint="default"/>
          <w:color w:val="auto"/>
          <w:spacing w:val="0"/>
          <w:w w:val="100"/>
          <w:position w:val="0"/>
          <w:highlight w:val="none"/>
          <w:lang w:val="en-US" w:eastAsia="zh-CN"/>
        </w:rPr>
        <w:t>2.1.6</w:t>
      </w:r>
      <w:bookmarkEnd w:id="28"/>
      <w:bookmarkStart w:id="29" w:name="_Toc16482"/>
      <w:r>
        <w:rPr>
          <w:rFonts w:hint="default"/>
          <w:color w:val="auto"/>
          <w:spacing w:val="0"/>
          <w:w w:val="100"/>
          <w:position w:val="0"/>
          <w:highlight w:val="none"/>
          <w:lang w:val="en-US" w:eastAsia="zh-CN"/>
        </w:rPr>
        <w:t>环评相关依据文件</w:t>
      </w:r>
      <w:bookmarkEnd w:id="29"/>
    </w:p>
    <w:p w14:paraId="4206A8BB">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w:t>
      </w:r>
      <w:r>
        <w:rPr>
          <w:rFonts w:hint="eastAsia"/>
          <w:color w:val="auto"/>
          <w:spacing w:val="0"/>
          <w:w w:val="100"/>
          <w:position w:val="0"/>
          <w:highlight w:val="none"/>
          <w:lang w:val="en-US" w:eastAsia="zh-CN"/>
        </w:rPr>
        <w:t>1</w:t>
      </w:r>
      <w:r>
        <w:rPr>
          <w:rFonts w:hint="default"/>
          <w:color w:val="auto"/>
          <w:spacing w:val="0"/>
          <w:w w:val="100"/>
          <w:position w:val="0"/>
          <w:highlight w:val="none"/>
          <w:lang w:val="en-US" w:eastAsia="zh-CN"/>
        </w:rPr>
        <w:t>）项目环评委托书；</w:t>
      </w:r>
    </w:p>
    <w:p w14:paraId="6A111118">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w:t>
      </w:r>
      <w:r>
        <w:rPr>
          <w:rFonts w:hint="eastAsia"/>
          <w:color w:val="auto"/>
          <w:spacing w:val="0"/>
          <w:w w:val="100"/>
          <w:position w:val="0"/>
          <w:highlight w:val="none"/>
          <w:lang w:val="en-US" w:eastAsia="zh-CN"/>
        </w:rPr>
        <w:t>2</w:t>
      </w:r>
      <w:r>
        <w:rPr>
          <w:rFonts w:hint="default"/>
          <w:color w:val="auto"/>
          <w:spacing w:val="0"/>
          <w:w w:val="100"/>
          <w:position w:val="0"/>
          <w:highlight w:val="none"/>
          <w:lang w:val="en-US" w:eastAsia="zh-CN"/>
        </w:rPr>
        <w:t>）检测报告；</w:t>
      </w:r>
    </w:p>
    <w:p w14:paraId="3F446A78">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（3）其他相关资料。</w:t>
      </w:r>
    </w:p>
    <w:p w14:paraId="4B93754B">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30" w:name="_Toc12287"/>
      <w:bookmarkStart w:id="31" w:name="_Toc32075"/>
      <w:bookmarkStart w:id="32" w:name="_Toc12896"/>
      <w:bookmarkStart w:id="33" w:name="_Toc11032"/>
      <w:r>
        <w:rPr>
          <w:rFonts w:hint="default"/>
          <w:color w:val="auto"/>
          <w:spacing w:val="0"/>
          <w:w w:val="100"/>
          <w:position w:val="0"/>
          <w:highlight w:val="none"/>
          <w:lang w:val="en-US" w:eastAsia="zh-CN"/>
        </w:rPr>
        <w:t>2.2环境影响因素识别和评价因子筛选</w:t>
      </w:r>
      <w:bookmarkEnd w:id="30"/>
      <w:bookmarkEnd w:id="31"/>
      <w:bookmarkEnd w:id="32"/>
      <w:bookmarkEnd w:id="33"/>
    </w:p>
    <w:p w14:paraId="4EA483E4">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34" w:name="_Toc14362"/>
      <w:bookmarkStart w:id="35" w:name="_Toc15823"/>
      <w:bookmarkStart w:id="36" w:name="_Toc13318"/>
      <w:bookmarkStart w:id="37" w:name="_Toc11810"/>
      <w:bookmarkStart w:id="38" w:name="_Toc10791"/>
      <w:bookmarkStart w:id="39" w:name="_Toc31489"/>
      <w:r>
        <w:rPr>
          <w:rFonts w:hint="default"/>
          <w:color w:val="auto"/>
          <w:spacing w:val="0"/>
          <w:w w:val="100"/>
          <w:position w:val="0"/>
          <w:highlight w:val="none"/>
          <w:lang w:val="en-US" w:eastAsia="zh-CN"/>
        </w:rPr>
        <w:t>2.2.1环境影响因素识别</w:t>
      </w:r>
      <w:bookmarkEnd w:id="34"/>
      <w:bookmarkEnd w:id="35"/>
      <w:bookmarkEnd w:id="36"/>
      <w:bookmarkEnd w:id="37"/>
      <w:bookmarkEnd w:id="38"/>
      <w:bookmarkEnd w:id="39"/>
    </w:p>
    <w:p w14:paraId="0A4F8B09">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eastAsia="zh-CN"/>
        </w:rPr>
      </w:pPr>
      <w:r>
        <w:rPr>
          <w:rFonts w:hint="default"/>
          <w:color w:val="auto"/>
          <w:spacing w:val="0"/>
          <w:w w:val="100"/>
          <w:position w:val="0"/>
          <w:highlight w:val="none"/>
          <w:lang w:eastAsia="zh-CN"/>
        </w:rPr>
        <w:t>本项目建设阶段</w:t>
      </w:r>
      <w:r>
        <w:rPr>
          <w:rFonts w:hint="default"/>
          <w:color w:val="auto"/>
          <w:spacing w:val="0"/>
          <w:w w:val="100"/>
          <w:position w:val="0"/>
          <w:highlight w:val="none"/>
        </w:rPr>
        <w:t>包括</w:t>
      </w:r>
      <w:r>
        <w:rPr>
          <w:rFonts w:hint="default"/>
          <w:color w:val="auto"/>
          <w:spacing w:val="0"/>
          <w:w w:val="100"/>
          <w:position w:val="0"/>
          <w:highlight w:val="none"/>
          <w:lang w:eastAsia="zh-CN"/>
        </w:rPr>
        <w:t>主体工程、辅助工程建设</w:t>
      </w:r>
      <w:r>
        <w:rPr>
          <w:rFonts w:hint="default"/>
          <w:color w:val="auto"/>
          <w:spacing w:val="0"/>
          <w:w w:val="100"/>
          <w:position w:val="0"/>
          <w:highlight w:val="none"/>
        </w:rPr>
        <w:t>，</w:t>
      </w:r>
      <w:r>
        <w:rPr>
          <w:rFonts w:hint="default"/>
          <w:color w:val="auto"/>
          <w:spacing w:val="0"/>
          <w:w w:val="100"/>
          <w:position w:val="0"/>
          <w:highlight w:val="none"/>
          <w:lang w:eastAsia="zh-CN"/>
        </w:rPr>
        <w:t>生产</w:t>
      </w:r>
      <w:r>
        <w:rPr>
          <w:rFonts w:hint="default"/>
          <w:color w:val="auto"/>
          <w:spacing w:val="0"/>
          <w:w w:val="100"/>
          <w:position w:val="0"/>
          <w:highlight w:val="none"/>
        </w:rPr>
        <w:t>设备的安装等，施工期环境影响随着施工期的结束而逐渐消除</w:t>
      </w:r>
      <w:r>
        <w:rPr>
          <w:rFonts w:hint="default"/>
          <w:color w:val="auto"/>
          <w:spacing w:val="0"/>
          <w:w w:val="100"/>
          <w:position w:val="0"/>
          <w:highlight w:val="none"/>
          <w:lang w:eastAsia="zh-CN"/>
        </w:rPr>
        <w:t>。</w:t>
      </w:r>
    </w:p>
    <w:p w14:paraId="6E05DD2E">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r>
        <w:rPr>
          <w:rFonts w:hint="default"/>
          <w:color w:val="auto"/>
          <w:spacing w:val="0"/>
          <w:w w:val="100"/>
          <w:position w:val="0"/>
          <w:highlight w:val="none"/>
        </w:rPr>
        <w:t>在工程分析的基础上，结合本项目各生产设施及辅助设施</w:t>
      </w:r>
      <w:r>
        <w:rPr>
          <w:rFonts w:hint="default"/>
          <w:color w:val="auto"/>
          <w:spacing w:val="0"/>
          <w:w w:val="100"/>
          <w:position w:val="0"/>
          <w:highlight w:val="none"/>
          <w:lang w:eastAsia="zh-CN"/>
        </w:rPr>
        <w:t>产排污环节</w:t>
      </w:r>
      <w:r>
        <w:rPr>
          <w:rFonts w:hint="default"/>
          <w:color w:val="auto"/>
          <w:spacing w:val="0"/>
          <w:w w:val="100"/>
          <w:position w:val="0"/>
          <w:highlight w:val="none"/>
        </w:rPr>
        <w:t>及周围环境特点，确定本项目环境影响因素及影响程度，详见表2.2</w:t>
      </w:r>
      <w:r>
        <w:rPr>
          <w:rFonts w:hint="eastAsia"/>
          <w:color w:val="auto"/>
          <w:spacing w:val="0"/>
          <w:w w:val="100"/>
          <w:position w:val="0"/>
          <w:highlight w:val="none"/>
          <w:lang w:val="en-US" w:eastAsia="zh-CN"/>
        </w:rPr>
        <w:t>.1</w:t>
      </w:r>
      <w:r>
        <w:rPr>
          <w:rFonts w:hint="default"/>
          <w:color w:val="auto"/>
          <w:spacing w:val="0"/>
          <w:w w:val="100"/>
          <w:position w:val="0"/>
          <w:highlight w:val="none"/>
        </w:rPr>
        <w:t>-1。</w:t>
      </w:r>
    </w:p>
    <w:p w14:paraId="5EA16537">
      <w:pPr>
        <w:pStyle w:val="3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r>
        <w:rPr>
          <w:rFonts w:hint="default"/>
          <w:color w:val="auto"/>
          <w:spacing w:val="0"/>
          <w:w w:val="100"/>
          <w:position w:val="0"/>
          <w:highlight w:val="none"/>
        </w:rPr>
        <w:t>表2.2</w:t>
      </w:r>
      <w:r>
        <w:rPr>
          <w:rFonts w:hint="eastAsia"/>
          <w:color w:val="auto"/>
          <w:spacing w:val="0"/>
          <w:w w:val="100"/>
          <w:position w:val="0"/>
          <w:highlight w:val="none"/>
          <w:lang w:val="en-US" w:eastAsia="zh-CN"/>
        </w:rPr>
        <w:t>.1</w:t>
      </w:r>
      <w:r>
        <w:rPr>
          <w:rFonts w:hint="default"/>
          <w:color w:val="auto"/>
          <w:spacing w:val="0"/>
          <w:w w:val="100"/>
          <w:position w:val="0"/>
          <w:highlight w:val="none"/>
        </w:rPr>
        <w:t>-1</w:t>
      </w:r>
      <w:r>
        <w:rPr>
          <w:rFonts w:hint="default"/>
          <w:color w:val="auto"/>
          <w:spacing w:val="0"/>
          <w:w w:val="100"/>
          <w:position w:val="0"/>
          <w:highlight w:val="none"/>
          <w:lang w:val="en-US" w:eastAsia="zh-CN"/>
        </w:rPr>
        <w:t xml:space="preserve">  </w:t>
      </w:r>
      <w:r>
        <w:rPr>
          <w:rFonts w:hint="default"/>
          <w:color w:val="auto"/>
          <w:spacing w:val="0"/>
          <w:w w:val="100"/>
          <w:position w:val="0"/>
          <w:highlight w:val="none"/>
        </w:rPr>
        <w:t>环境影响因</w:t>
      </w:r>
      <w:r>
        <w:rPr>
          <w:rFonts w:hint="default"/>
          <w:color w:val="auto"/>
          <w:spacing w:val="0"/>
          <w:w w:val="100"/>
          <w:position w:val="0"/>
          <w:highlight w:val="none"/>
          <w:lang w:eastAsia="zh-CN"/>
        </w:rPr>
        <w:t>素</w:t>
      </w:r>
      <w:r>
        <w:rPr>
          <w:rFonts w:hint="default"/>
          <w:color w:val="auto"/>
          <w:spacing w:val="0"/>
          <w:w w:val="100"/>
          <w:position w:val="0"/>
          <w:highlight w:val="none"/>
        </w:rPr>
        <w:t>识别表</w:t>
      </w:r>
    </w:p>
    <w:tbl>
      <w:tblPr>
        <w:tblStyle w:val="25"/>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455"/>
        <w:gridCol w:w="1552"/>
        <w:gridCol w:w="1178"/>
        <w:gridCol w:w="1149"/>
        <w:gridCol w:w="1178"/>
        <w:gridCol w:w="1228"/>
        <w:gridCol w:w="1065"/>
        <w:gridCol w:w="1147"/>
      </w:tblGrid>
      <w:tr w14:paraId="3ADDC8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121" w:type="pct"/>
            <w:gridSpan w:val="2"/>
            <w:tcBorders>
              <w:bottom w:val="single" w:color="000000" w:sz="12" w:space="0"/>
              <w:tl2br w:val="nil"/>
              <w:tr2bl w:val="nil"/>
            </w:tcBorders>
            <w:noWrap w:val="0"/>
            <w:vAlign w:val="center"/>
          </w:tcPr>
          <w:p w14:paraId="05FD291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污染因素</w:t>
            </w:r>
          </w:p>
          <w:p w14:paraId="22FEDB6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环境要素</w:t>
            </w:r>
          </w:p>
        </w:tc>
        <w:tc>
          <w:tcPr>
            <w:tcW w:w="658" w:type="pct"/>
            <w:tcBorders>
              <w:bottom w:val="single" w:color="000000" w:sz="12" w:space="0"/>
              <w:tl2br w:val="nil"/>
              <w:tr2bl w:val="nil"/>
            </w:tcBorders>
            <w:noWrap w:val="0"/>
            <w:vAlign w:val="center"/>
          </w:tcPr>
          <w:p w14:paraId="1BC4E96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环境空气</w:t>
            </w:r>
          </w:p>
        </w:tc>
        <w:tc>
          <w:tcPr>
            <w:tcW w:w="642" w:type="pct"/>
            <w:tcBorders>
              <w:bottom w:val="single" w:color="000000" w:sz="12" w:space="0"/>
              <w:tl2br w:val="nil"/>
              <w:tr2bl w:val="nil"/>
            </w:tcBorders>
            <w:noWrap w:val="0"/>
            <w:vAlign w:val="center"/>
          </w:tcPr>
          <w:p w14:paraId="6AC96D2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水环境</w:t>
            </w:r>
          </w:p>
        </w:tc>
        <w:tc>
          <w:tcPr>
            <w:tcW w:w="658" w:type="pct"/>
            <w:tcBorders>
              <w:bottom w:val="single" w:color="000000" w:sz="12" w:space="0"/>
              <w:tl2br w:val="nil"/>
              <w:tr2bl w:val="nil"/>
            </w:tcBorders>
            <w:noWrap w:val="0"/>
            <w:vAlign w:val="center"/>
          </w:tcPr>
          <w:p w14:paraId="698E13E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声环境</w:t>
            </w:r>
          </w:p>
        </w:tc>
        <w:tc>
          <w:tcPr>
            <w:tcW w:w="686" w:type="pct"/>
            <w:tcBorders>
              <w:bottom w:val="single" w:color="000000" w:sz="12" w:space="0"/>
              <w:tl2br w:val="nil"/>
              <w:tr2bl w:val="nil"/>
            </w:tcBorders>
            <w:noWrap w:val="0"/>
            <w:vAlign w:val="center"/>
          </w:tcPr>
          <w:p w14:paraId="647C986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固体废物</w:t>
            </w:r>
          </w:p>
        </w:tc>
        <w:tc>
          <w:tcPr>
            <w:tcW w:w="595" w:type="pct"/>
            <w:tcBorders>
              <w:bottom w:val="single" w:color="000000" w:sz="12" w:space="0"/>
              <w:tl2br w:val="nil"/>
              <w:tr2bl w:val="nil"/>
            </w:tcBorders>
            <w:noWrap w:val="0"/>
            <w:vAlign w:val="center"/>
          </w:tcPr>
          <w:p w14:paraId="7F109C0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生态</w:t>
            </w:r>
          </w:p>
        </w:tc>
        <w:tc>
          <w:tcPr>
            <w:tcW w:w="635" w:type="pct"/>
            <w:tcBorders>
              <w:bottom w:val="single" w:color="000000" w:sz="12" w:space="0"/>
              <w:tl2br w:val="nil"/>
              <w:tr2bl w:val="nil"/>
            </w:tcBorders>
            <w:noWrap w:val="0"/>
            <w:vAlign w:val="center"/>
          </w:tcPr>
          <w:p w14:paraId="0060BD9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土壤环境</w:t>
            </w:r>
          </w:p>
        </w:tc>
      </w:tr>
      <w:tr w14:paraId="30AC09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54" w:type="pct"/>
            <w:vMerge w:val="restart"/>
            <w:tcBorders>
              <w:top w:val="single" w:color="000000" w:sz="12" w:space="0"/>
              <w:tl2br w:val="nil"/>
              <w:tr2bl w:val="nil"/>
            </w:tcBorders>
            <w:noWrap w:val="0"/>
            <w:vAlign w:val="center"/>
          </w:tcPr>
          <w:p w14:paraId="3BD1419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施工期</w:t>
            </w:r>
          </w:p>
        </w:tc>
        <w:tc>
          <w:tcPr>
            <w:tcW w:w="866" w:type="pct"/>
            <w:tcBorders>
              <w:top w:val="single" w:color="000000" w:sz="12" w:space="0"/>
              <w:tl2br w:val="nil"/>
              <w:tr2bl w:val="nil"/>
            </w:tcBorders>
            <w:noWrap w:val="0"/>
            <w:vAlign w:val="center"/>
          </w:tcPr>
          <w:p w14:paraId="300580F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场地平整</w:t>
            </w:r>
          </w:p>
        </w:tc>
        <w:tc>
          <w:tcPr>
            <w:tcW w:w="658" w:type="pct"/>
            <w:tcBorders>
              <w:top w:val="single" w:color="000000" w:sz="12" w:space="0"/>
              <w:tl2br w:val="nil"/>
              <w:tr2bl w:val="nil"/>
            </w:tcBorders>
            <w:noWrap w:val="0"/>
            <w:vAlign w:val="center"/>
          </w:tcPr>
          <w:p w14:paraId="65FE922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w:t>
            </w:r>
            <w:r>
              <w:rPr>
                <w:rFonts w:hint="default"/>
                <w:color w:val="auto"/>
                <w:spacing w:val="0"/>
                <w:w w:val="100"/>
                <w:position w:val="0"/>
                <w:highlight w:val="none"/>
                <w:lang w:val="en-US" w:eastAsia="zh-CN"/>
              </w:rPr>
              <w:t>1</w:t>
            </w:r>
            <w:r>
              <w:rPr>
                <w:rFonts w:hint="default"/>
                <w:color w:val="auto"/>
                <w:spacing w:val="0"/>
                <w:w w:val="100"/>
                <w:position w:val="0"/>
                <w:highlight w:val="none"/>
              </w:rPr>
              <w:t>S</w:t>
            </w:r>
          </w:p>
        </w:tc>
        <w:tc>
          <w:tcPr>
            <w:tcW w:w="642" w:type="pct"/>
            <w:tcBorders>
              <w:top w:val="single" w:color="000000" w:sz="12" w:space="0"/>
              <w:tl2br w:val="nil"/>
              <w:tr2bl w:val="nil"/>
            </w:tcBorders>
            <w:noWrap w:val="0"/>
            <w:vAlign w:val="center"/>
          </w:tcPr>
          <w:p w14:paraId="0501498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lang w:val="en-US" w:eastAsia="zh-CN"/>
              </w:rPr>
              <w:t>-</w:t>
            </w:r>
          </w:p>
        </w:tc>
        <w:tc>
          <w:tcPr>
            <w:tcW w:w="658" w:type="pct"/>
            <w:tcBorders>
              <w:top w:val="single" w:color="000000" w:sz="12" w:space="0"/>
              <w:tl2br w:val="nil"/>
              <w:tr2bl w:val="nil"/>
            </w:tcBorders>
            <w:noWrap w:val="0"/>
            <w:vAlign w:val="center"/>
          </w:tcPr>
          <w:p w14:paraId="7C21B89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-1S</w:t>
            </w:r>
          </w:p>
        </w:tc>
        <w:tc>
          <w:tcPr>
            <w:tcW w:w="686" w:type="pct"/>
            <w:tcBorders>
              <w:top w:val="single" w:color="000000" w:sz="12" w:space="0"/>
              <w:tl2br w:val="nil"/>
              <w:tr2bl w:val="nil"/>
            </w:tcBorders>
            <w:noWrap w:val="0"/>
            <w:vAlign w:val="center"/>
          </w:tcPr>
          <w:p w14:paraId="266270C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-1S</w:t>
            </w:r>
          </w:p>
        </w:tc>
        <w:tc>
          <w:tcPr>
            <w:tcW w:w="595" w:type="pct"/>
            <w:tcBorders>
              <w:top w:val="single" w:color="000000" w:sz="12" w:space="0"/>
              <w:tl2br w:val="nil"/>
              <w:tr2bl w:val="nil"/>
            </w:tcBorders>
            <w:noWrap w:val="0"/>
            <w:vAlign w:val="center"/>
          </w:tcPr>
          <w:p w14:paraId="19D5EBC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w:t>
            </w:r>
            <w:r>
              <w:rPr>
                <w:rFonts w:hint="default"/>
                <w:color w:val="auto"/>
                <w:spacing w:val="0"/>
                <w:w w:val="100"/>
                <w:position w:val="0"/>
                <w:highlight w:val="none"/>
                <w:lang w:val="en-US" w:eastAsia="zh-CN"/>
              </w:rPr>
              <w:t>1</w:t>
            </w:r>
            <w:r>
              <w:rPr>
                <w:rFonts w:hint="default"/>
                <w:color w:val="auto"/>
                <w:spacing w:val="0"/>
                <w:w w:val="100"/>
                <w:position w:val="0"/>
                <w:highlight w:val="none"/>
              </w:rPr>
              <w:t>L</w:t>
            </w:r>
          </w:p>
        </w:tc>
        <w:tc>
          <w:tcPr>
            <w:tcW w:w="635" w:type="pct"/>
            <w:tcBorders>
              <w:top w:val="single" w:color="000000" w:sz="12" w:space="0"/>
              <w:tl2br w:val="nil"/>
              <w:tr2bl w:val="nil"/>
            </w:tcBorders>
            <w:noWrap w:val="0"/>
            <w:vAlign w:val="center"/>
          </w:tcPr>
          <w:p w14:paraId="426B5B2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w:t>
            </w:r>
            <w:r>
              <w:rPr>
                <w:rFonts w:hint="default"/>
                <w:color w:val="auto"/>
                <w:spacing w:val="0"/>
                <w:w w:val="100"/>
                <w:position w:val="0"/>
                <w:highlight w:val="none"/>
                <w:lang w:val="en-US" w:eastAsia="zh-CN"/>
              </w:rPr>
              <w:t>1</w:t>
            </w:r>
            <w:r>
              <w:rPr>
                <w:rFonts w:hint="default"/>
                <w:color w:val="auto"/>
                <w:spacing w:val="0"/>
                <w:w w:val="100"/>
                <w:position w:val="0"/>
                <w:highlight w:val="none"/>
              </w:rPr>
              <w:t>L</w:t>
            </w:r>
          </w:p>
        </w:tc>
      </w:tr>
      <w:tr w14:paraId="3ED18E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54" w:type="pct"/>
            <w:vMerge w:val="continue"/>
            <w:tcBorders>
              <w:tl2br w:val="nil"/>
              <w:tr2bl w:val="nil"/>
            </w:tcBorders>
            <w:noWrap w:val="0"/>
            <w:vAlign w:val="center"/>
          </w:tcPr>
          <w:p w14:paraId="5036F19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866" w:type="pct"/>
            <w:tcBorders>
              <w:tl2br w:val="nil"/>
              <w:tr2bl w:val="nil"/>
            </w:tcBorders>
            <w:noWrap w:val="0"/>
            <w:vAlign w:val="center"/>
          </w:tcPr>
          <w:p w14:paraId="34C96B9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施工建设</w:t>
            </w:r>
          </w:p>
        </w:tc>
        <w:tc>
          <w:tcPr>
            <w:tcW w:w="658" w:type="pct"/>
            <w:tcBorders>
              <w:tl2br w:val="nil"/>
              <w:tr2bl w:val="nil"/>
            </w:tcBorders>
            <w:noWrap w:val="0"/>
            <w:vAlign w:val="center"/>
          </w:tcPr>
          <w:p w14:paraId="7DFF5C3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w:t>
            </w:r>
            <w:r>
              <w:rPr>
                <w:rFonts w:hint="default"/>
                <w:color w:val="auto"/>
                <w:spacing w:val="0"/>
                <w:w w:val="100"/>
                <w:position w:val="0"/>
                <w:highlight w:val="none"/>
                <w:lang w:val="en-US" w:eastAsia="zh-CN"/>
              </w:rPr>
              <w:t>1</w:t>
            </w:r>
            <w:r>
              <w:rPr>
                <w:rFonts w:hint="default"/>
                <w:color w:val="auto"/>
                <w:spacing w:val="0"/>
                <w:w w:val="100"/>
                <w:position w:val="0"/>
                <w:highlight w:val="none"/>
              </w:rPr>
              <w:t>S</w:t>
            </w:r>
          </w:p>
        </w:tc>
        <w:tc>
          <w:tcPr>
            <w:tcW w:w="642" w:type="pct"/>
            <w:tcBorders>
              <w:tl2br w:val="nil"/>
              <w:tr2bl w:val="nil"/>
            </w:tcBorders>
            <w:noWrap w:val="0"/>
            <w:vAlign w:val="center"/>
          </w:tcPr>
          <w:p w14:paraId="0E49F86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lang w:val="en-US" w:eastAsia="zh-CN"/>
              </w:rPr>
              <w:t>-</w:t>
            </w:r>
          </w:p>
        </w:tc>
        <w:tc>
          <w:tcPr>
            <w:tcW w:w="658" w:type="pct"/>
            <w:tcBorders>
              <w:tl2br w:val="nil"/>
              <w:tr2bl w:val="nil"/>
            </w:tcBorders>
            <w:noWrap w:val="0"/>
            <w:vAlign w:val="center"/>
          </w:tcPr>
          <w:p w14:paraId="2DF5FCB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-2S</w:t>
            </w:r>
          </w:p>
        </w:tc>
        <w:tc>
          <w:tcPr>
            <w:tcW w:w="686" w:type="pct"/>
            <w:tcBorders>
              <w:tl2br w:val="nil"/>
              <w:tr2bl w:val="nil"/>
            </w:tcBorders>
            <w:noWrap w:val="0"/>
            <w:vAlign w:val="center"/>
          </w:tcPr>
          <w:p w14:paraId="68E7A33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w:t>
            </w:r>
            <w:r>
              <w:rPr>
                <w:rFonts w:hint="default"/>
                <w:color w:val="auto"/>
                <w:spacing w:val="0"/>
                <w:w w:val="100"/>
                <w:position w:val="0"/>
                <w:highlight w:val="none"/>
                <w:lang w:val="en-US" w:eastAsia="zh-CN"/>
              </w:rPr>
              <w:t>1</w:t>
            </w:r>
            <w:r>
              <w:rPr>
                <w:rFonts w:hint="default"/>
                <w:color w:val="auto"/>
                <w:spacing w:val="0"/>
                <w:w w:val="100"/>
                <w:position w:val="0"/>
                <w:highlight w:val="none"/>
              </w:rPr>
              <w:t>S</w:t>
            </w:r>
          </w:p>
        </w:tc>
        <w:tc>
          <w:tcPr>
            <w:tcW w:w="595" w:type="pct"/>
            <w:tcBorders>
              <w:tl2br w:val="nil"/>
              <w:tr2bl w:val="nil"/>
            </w:tcBorders>
            <w:noWrap w:val="0"/>
            <w:vAlign w:val="center"/>
          </w:tcPr>
          <w:p w14:paraId="4229792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-1S</w:t>
            </w:r>
          </w:p>
        </w:tc>
        <w:tc>
          <w:tcPr>
            <w:tcW w:w="635" w:type="pct"/>
            <w:tcBorders>
              <w:tl2br w:val="nil"/>
              <w:tr2bl w:val="nil"/>
            </w:tcBorders>
            <w:noWrap w:val="0"/>
            <w:vAlign w:val="center"/>
          </w:tcPr>
          <w:p w14:paraId="34FDF78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lang w:val="en-US" w:eastAsia="zh-CN"/>
              </w:rPr>
              <w:t>-</w:t>
            </w:r>
          </w:p>
        </w:tc>
      </w:tr>
      <w:tr w14:paraId="3F6F11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0" w:hRule="atLeast"/>
          <w:jc w:val="center"/>
        </w:trPr>
        <w:tc>
          <w:tcPr>
            <w:tcW w:w="254" w:type="pct"/>
            <w:vMerge w:val="continue"/>
            <w:tcBorders>
              <w:tl2br w:val="nil"/>
              <w:tr2bl w:val="nil"/>
            </w:tcBorders>
            <w:noWrap w:val="0"/>
            <w:vAlign w:val="center"/>
          </w:tcPr>
          <w:p w14:paraId="624BD61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866" w:type="pct"/>
            <w:tcBorders>
              <w:tl2br w:val="nil"/>
              <w:tr2bl w:val="nil"/>
            </w:tcBorders>
            <w:noWrap w:val="0"/>
            <w:vAlign w:val="center"/>
          </w:tcPr>
          <w:p w14:paraId="41BA7CA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物料运输</w:t>
            </w:r>
          </w:p>
        </w:tc>
        <w:tc>
          <w:tcPr>
            <w:tcW w:w="658" w:type="pct"/>
            <w:tcBorders>
              <w:tl2br w:val="nil"/>
              <w:tr2bl w:val="nil"/>
            </w:tcBorders>
            <w:noWrap w:val="0"/>
            <w:vAlign w:val="center"/>
          </w:tcPr>
          <w:p w14:paraId="1C5729A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-1S</w:t>
            </w:r>
          </w:p>
        </w:tc>
        <w:tc>
          <w:tcPr>
            <w:tcW w:w="642" w:type="pct"/>
            <w:tcBorders>
              <w:tl2br w:val="nil"/>
              <w:tr2bl w:val="nil"/>
            </w:tcBorders>
            <w:noWrap w:val="0"/>
            <w:vAlign w:val="center"/>
          </w:tcPr>
          <w:p w14:paraId="7255FB0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lang w:val="en-US" w:eastAsia="zh-CN"/>
              </w:rPr>
              <w:t>-</w:t>
            </w:r>
          </w:p>
        </w:tc>
        <w:tc>
          <w:tcPr>
            <w:tcW w:w="658" w:type="pct"/>
            <w:tcBorders>
              <w:tl2br w:val="nil"/>
              <w:tr2bl w:val="nil"/>
            </w:tcBorders>
            <w:noWrap w:val="0"/>
            <w:vAlign w:val="center"/>
          </w:tcPr>
          <w:p w14:paraId="18CDA1C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-1S</w:t>
            </w:r>
          </w:p>
        </w:tc>
        <w:tc>
          <w:tcPr>
            <w:tcW w:w="686" w:type="pct"/>
            <w:tcBorders>
              <w:tl2br w:val="nil"/>
              <w:tr2bl w:val="nil"/>
            </w:tcBorders>
            <w:noWrap w:val="0"/>
            <w:vAlign w:val="center"/>
          </w:tcPr>
          <w:p w14:paraId="1DB762A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lang w:val="en-US" w:eastAsia="zh-CN"/>
              </w:rPr>
              <w:t>-</w:t>
            </w:r>
          </w:p>
        </w:tc>
        <w:tc>
          <w:tcPr>
            <w:tcW w:w="595" w:type="pct"/>
            <w:tcBorders>
              <w:tl2br w:val="nil"/>
              <w:tr2bl w:val="nil"/>
            </w:tcBorders>
            <w:noWrap w:val="0"/>
            <w:vAlign w:val="center"/>
          </w:tcPr>
          <w:p w14:paraId="05BC712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rPr>
              <w:t>-1S</w:t>
            </w:r>
          </w:p>
        </w:tc>
        <w:tc>
          <w:tcPr>
            <w:tcW w:w="635" w:type="pct"/>
            <w:tcBorders>
              <w:tl2br w:val="nil"/>
              <w:tr2bl w:val="nil"/>
            </w:tcBorders>
            <w:noWrap w:val="0"/>
            <w:vAlign w:val="center"/>
          </w:tcPr>
          <w:p w14:paraId="3B0323C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rPr>
              <w:t>-1S</w:t>
            </w:r>
          </w:p>
        </w:tc>
      </w:tr>
      <w:tr w14:paraId="1583B8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54" w:type="pct"/>
            <w:vMerge w:val="restart"/>
            <w:tcBorders>
              <w:tl2br w:val="nil"/>
              <w:tr2bl w:val="nil"/>
            </w:tcBorders>
            <w:noWrap w:val="0"/>
            <w:vAlign w:val="center"/>
          </w:tcPr>
          <w:p w14:paraId="589D805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运营期</w:t>
            </w:r>
          </w:p>
        </w:tc>
        <w:tc>
          <w:tcPr>
            <w:tcW w:w="866" w:type="pct"/>
            <w:tcBorders>
              <w:tl2br w:val="nil"/>
              <w:tr2bl w:val="nil"/>
            </w:tcBorders>
            <w:noWrap w:val="0"/>
            <w:vAlign w:val="center"/>
          </w:tcPr>
          <w:p w14:paraId="5E9EA29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物料运输</w:t>
            </w:r>
          </w:p>
        </w:tc>
        <w:tc>
          <w:tcPr>
            <w:tcW w:w="658" w:type="pct"/>
            <w:tcBorders>
              <w:tl2br w:val="nil"/>
              <w:tr2bl w:val="nil"/>
            </w:tcBorders>
            <w:noWrap w:val="0"/>
            <w:vAlign w:val="center"/>
          </w:tcPr>
          <w:p w14:paraId="1090A2E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-1L</w:t>
            </w:r>
          </w:p>
        </w:tc>
        <w:tc>
          <w:tcPr>
            <w:tcW w:w="642" w:type="pct"/>
            <w:tcBorders>
              <w:tl2br w:val="nil"/>
              <w:tr2bl w:val="nil"/>
            </w:tcBorders>
            <w:noWrap w:val="0"/>
            <w:vAlign w:val="center"/>
          </w:tcPr>
          <w:p w14:paraId="68E27A0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lang w:val="en-US" w:eastAsia="zh-CN"/>
              </w:rPr>
              <w:t>-</w:t>
            </w:r>
          </w:p>
        </w:tc>
        <w:tc>
          <w:tcPr>
            <w:tcW w:w="658" w:type="pct"/>
            <w:tcBorders>
              <w:tl2br w:val="nil"/>
              <w:tr2bl w:val="nil"/>
            </w:tcBorders>
            <w:noWrap w:val="0"/>
            <w:vAlign w:val="center"/>
          </w:tcPr>
          <w:p w14:paraId="6C18D5E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-1L</w:t>
            </w:r>
          </w:p>
        </w:tc>
        <w:tc>
          <w:tcPr>
            <w:tcW w:w="686" w:type="pct"/>
            <w:tcBorders>
              <w:tl2br w:val="nil"/>
              <w:tr2bl w:val="nil"/>
            </w:tcBorders>
            <w:noWrap w:val="0"/>
            <w:vAlign w:val="center"/>
          </w:tcPr>
          <w:p w14:paraId="1A207E0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-1L</w:t>
            </w:r>
          </w:p>
        </w:tc>
        <w:tc>
          <w:tcPr>
            <w:tcW w:w="595" w:type="pct"/>
            <w:tcBorders>
              <w:tl2br w:val="nil"/>
              <w:tr2bl w:val="nil"/>
            </w:tcBorders>
            <w:noWrap w:val="0"/>
            <w:vAlign w:val="center"/>
          </w:tcPr>
          <w:p w14:paraId="314544F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-1L</w:t>
            </w:r>
          </w:p>
        </w:tc>
        <w:tc>
          <w:tcPr>
            <w:tcW w:w="635" w:type="pct"/>
            <w:tcBorders>
              <w:tl2br w:val="nil"/>
              <w:tr2bl w:val="nil"/>
            </w:tcBorders>
            <w:noWrap w:val="0"/>
            <w:vAlign w:val="center"/>
          </w:tcPr>
          <w:p w14:paraId="3319DF8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-1L</w:t>
            </w:r>
          </w:p>
        </w:tc>
      </w:tr>
      <w:tr w14:paraId="61A678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0" w:hRule="atLeast"/>
          <w:jc w:val="center"/>
        </w:trPr>
        <w:tc>
          <w:tcPr>
            <w:tcW w:w="254" w:type="pct"/>
            <w:vMerge w:val="continue"/>
            <w:tcBorders>
              <w:tl2br w:val="nil"/>
              <w:tr2bl w:val="nil"/>
            </w:tcBorders>
            <w:noWrap w:val="0"/>
            <w:vAlign w:val="center"/>
          </w:tcPr>
          <w:p w14:paraId="0F2A5E8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866" w:type="pct"/>
            <w:tcBorders>
              <w:tl2br w:val="nil"/>
              <w:tr2bl w:val="nil"/>
            </w:tcBorders>
            <w:noWrap w:val="0"/>
            <w:vAlign w:val="center"/>
          </w:tcPr>
          <w:p w14:paraId="0F6C485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职工生活</w:t>
            </w:r>
          </w:p>
        </w:tc>
        <w:tc>
          <w:tcPr>
            <w:tcW w:w="658" w:type="pct"/>
            <w:tcBorders>
              <w:tl2br w:val="nil"/>
              <w:tr2bl w:val="nil"/>
            </w:tcBorders>
            <w:noWrap w:val="0"/>
            <w:vAlign w:val="center"/>
          </w:tcPr>
          <w:p w14:paraId="19B476E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-1L</w:t>
            </w:r>
          </w:p>
        </w:tc>
        <w:tc>
          <w:tcPr>
            <w:tcW w:w="642" w:type="pct"/>
            <w:tcBorders>
              <w:tl2br w:val="nil"/>
              <w:tr2bl w:val="nil"/>
            </w:tcBorders>
            <w:noWrap w:val="0"/>
            <w:vAlign w:val="center"/>
          </w:tcPr>
          <w:p w14:paraId="47B2257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-1L</w:t>
            </w:r>
          </w:p>
        </w:tc>
        <w:tc>
          <w:tcPr>
            <w:tcW w:w="658" w:type="pct"/>
            <w:tcBorders>
              <w:tl2br w:val="nil"/>
              <w:tr2bl w:val="nil"/>
            </w:tcBorders>
            <w:noWrap w:val="0"/>
            <w:vAlign w:val="center"/>
          </w:tcPr>
          <w:p w14:paraId="68723D0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-1L</w:t>
            </w:r>
          </w:p>
        </w:tc>
        <w:tc>
          <w:tcPr>
            <w:tcW w:w="686" w:type="pct"/>
            <w:tcBorders>
              <w:tl2br w:val="nil"/>
              <w:tr2bl w:val="nil"/>
            </w:tcBorders>
            <w:noWrap w:val="0"/>
            <w:vAlign w:val="center"/>
          </w:tcPr>
          <w:p w14:paraId="660EC1D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-1L</w:t>
            </w:r>
          </w:p>
        </w:tc>
        <w:tc>
          <w:tcPr>
            <w:tcW w:w="595" w:type="pct"/>
            <w:tcBorders>
              <w:tl2br w:val="nil"/>
              <w:tr2bl w:val="nil"/>
            </w:tcBorders>
            <w:noWrap w:val="0"/>
            <w:vAlign w:val="center"/>
          </w:tcPr>
          <w:p w14:paraId="2076487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rPr>
              <w:t>-1L</w:t>
            </w:r>
          </w:p>
        </w:tc>
        <w:tc>
          <w:tcPr>
            <w:tcW w:w="635" w:type="pct"/>
            <w:tcBorders>
              <w:tl2br w:val="nil"/>
              <w:tr2bl w:val="nil"/>
            </w:tcBorders>
            <w:noWrap w:val="0"/>
            <w:vAlign w:val="center"/>
          </w:tcPr>
          <w:p w14:paraId="148681B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lang w:val="en-US" w:eastAsia="zh-CN"/>
              </w:rPr>
              <w:t>-</w:t>
            </w:r>
          </w:p>
        </w:tc>
      </w:tr>
      <w:tr w14:paraId="4187B6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54" w:type="pct"/>
            <w:vMerge w:val="continue"/>
            <w:tcBorders>
              <w:tl2br w:val="nil"/>
              <w:tr2bl w:val="nil"/>
            </w:tcBorders>
            <w:noWrap w:val="0"/>
            <w:vAlign w:val="center"/>
          </w:tcPr>
          <w:p w14:paraId="4384E8D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866" w:type="pct"/>
            <w:tcBorders>
              <w:tl2br w:val="nil"/>
              <w:tr2bl w:val="nil"/>
            </w:tcBorders>
            <w:noWrap w:val="0"/>
            <w:vAlign w:val="center"/>
          </w:tcPr>
          <w:p w14:paraId="4C3A01D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废气排放</w:t>
            </w:r>
          </w:p>
        </w:tc>
        <w:tc>
          <w:tcPr>
            <w:tcW w:w="658" w:type="pct"/>
            <w:tcBorders>
              <w:tl2br w:val="nil"/>
              <w:tr2bl w:val="nil"/>
            </w:tcBorders>
            <w:noWrap w:val="0"/>
            <w:vAlign w:val="center"/>
          </w:tcPr>
          <w:p w14:paraId="6E7D568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-2L</w:t>
            </w:r>
          </w:p>
        </w:tc>
        <w:tc>
          <w:tcPr>
            <w:tcW w:w="642" w:type="pct"/>
            <w:tcBorders>
              <w:tl2br w:val="nil"/>
              <w:tr2bl w:val="nil"/>
            </w:tcBorders>
            <w:noWrap w:val="0"/>
            <w:vAlign w:val="center"/>
          </w:tcPr>
          <w:p w14:paraId="5541D34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lang w:val="en-US" w:eastAsia="zh-CN"/>
              </w:rPr>
              <w:t>-</w:t>
            </w:r>
          </w:p>
        </w:tc>
        <w:tc>
          <w:tcPr>
            <w:tcW w:w="658" w:type="pct"/>
            <w:tcBorders>
              <w:tl2br w:val="nil"/>
              <w:tr2bl w:val="nil"/>
            </w:tcBorders>
            <w:noWrap w:val="0"/>
            <w:vAlign w:val="center"/>
          </w:tcPr>
          <w:p w14:paraId="32DE46D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lang w:val="en-US" w:eastAsia="zh-CN"/>
              </w:rPr>
              <w:t>-</w:t>
            </w:r>
          </w:p>
        </w:tc>
        <w:tc>
          <w:tcPr>
            <w:tcW w:w="686" w:type="pct"/>
            <w:tcBorders>
              <w:tl2br w:val="nil"/>
              <w:tr2bl w:val="nil"/>
            </w:tcBorders>
            <w:noWrap w:val="0"/>
            <w:vAlign w:val="center"/>
          </w:tcPr>
          <w:p w14:paraId="163BB45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lang w:val="en-US" w:eastAsia="zh-CN"/>
              </w:rPr>
              <w:t>-</w:t>
            </w:r>
          </w:p>
        </w:tc>
        <w:tc>
          <w:tcPr>
            <w:tcW w:w="595" w:type="pct"/>
            <w:tcBorders>
              <w:tl2br w:val="nil"/>
              <w:tr2bl w:val="nil"/>
            </w:tcBorders>
            <w:noWrap w:val="0"/>
            <w:vAlign w:val="center"/>
          </w:tcPr>
          <w:p w14:paraId="1679446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rPr>
              <w:t>-</w:t>
            </w:r>
            <w:r>
              <w:rPr>
                <w:rFonts w:hint="default"/>
                <w:color w:val="auto"/>
                <w:spacing w:val="0"/>
                <w:w w:val="100"/>
                <w:position w:val="0"/>
                <w:highlight w:val="none"/>
                <w:lang w:val="en-US" w:eastAsia="zh-CN"/>
              </w:rPr>
              <w:t>1S</w:t>
            </w:r>
          </w:p>
        </w:tc>
        <w:tc>
          <w:tcPr>
            <w:tcW w:w="635" w:type="pct"/>
            <w:tcBorders>
              <w:tl2br w:val="nil"/>
              <w:tr2bl w:val="nil"/>
            </w:tcBorders>
            <w:noWrap w:val="0"/>
            <w:vAlign w:val="center"/>
          </w:tcPr>
          <w:p w14:paraId="26D08B4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-1L</w:t>
            </w:r>
          </w:p>
        </w:tc>
      </w:tr>
      <w:tr w14:paraId="78614C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54" w:type="pct"/>
            <w:vMerge w:val="continue"/>
            <w:tcBorders>
              <w:tl2br w:val="nil"/>
              <w:tr2bl w:val="nil"/>
            </w:tcBorders>
            <w:noWrap w:val="0"/>
            <w:vAlign w:val="center"/>
          </w:tcPr>
          <w:p w14:paraId="2A0477A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866" w:type="pct"/>
            <w:tcBorders>
              <w:tl2br w:val="nil"/>
              <w:tr2bl w:val="nil"/>
            </w:tcBorders>
            <w:noWrap w:val="0"/>
            <w:vAlign w:val="center"/>
          </w:tcPr>
          <w:p w14:paraId="2F38278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废水排放</w:t>
            </w:r>
          </w:p>
        </w:tc>
        <w:tc>
          <w:tcPr>
            <w:tcW w:w="658" w:type="pct"/>
            <w:tcBorders>
              <w:tl2br w:val="nil"/>
              <w:tr2bl w:val="nil"/>
            </w:tcBorders>
            <w:noWrap w:val="0"/>
            <w:vAlign w:val="center"/>
          </w:tcPr>
          <w:p w14:paraId="3A5E3E8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lang w:val="en-US" w:eastAsia="zh-CN"/>
              </w:rPr>
              <w:t>-</w:t>
            </w:r>
          </w:p>
        </w:tc>
        <w:tc>
          <w:tcPr>
            <w:tcW w:w="642" w:type="pct"/>
            <w:tcBorders>
              <w:tl2br w:val="nil"/>
              <w:tr2bl w:val="nil"/>
            </w:tcBorders>
            <w:noWrap w:val="0"/>
            <w:vAlign w:val="center"/>
          </w:tcPr>
          <w:p w14:paraId="1A881A4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rPr>
              <w:t>-</w:t>
            </w:r>
            <w:r>
              <w:rPr>
                <w:rFonts w:hint="default"/>
                <w:color w:val="auto"/>
                <w:spacing w:val="0"/>
                <w:w w:val="100"/>
                <w:position w:val="0"/>
                <w:highlight w:val="none"/>
                <w:lang w:val="en-US" w:eastAsia="zh-CN"/>
              </w:rPr>
              <w:t>1</w:t>
            </w:r>
            <w:r>
              <w:rPr>
                <w:rFonts w:hint="default"/>
                <w:color w:val="auto"/>
                <w:spacing w:val="0"/>
                <w:w w:val="100"/>
                <w:position w:val="0"/>
                <w:highlight w:val="none"/>
              </w:rPr>
              <w:t>L</w:t>
            </w:r>
          </w:p>
        </w:tc>
        <w:tc>
          <w:tcPr>
            <w:tcW w:w="658" w:type="pct"/>
            <w:tcBorders>
              <w:tl2br w:val="nil"/>
              <w:tr2bl w:val="nil"/>
            </w:tcBorders>
            <w:noWrap w:val="0"/>
            <w:vAlign w:val="center"/>
          </w:tcPr>
          <w:p w14:paraId="36E6870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w:t>
            </w:r>
          </w:p>
        </w:tc>
        <w:tc>
          <w:tcPr>
            <w:tcW w:w="686" w:type="pct"/>
            <w:tcBorders>
              <w:tl2br w:val="nil"/>
              <w:tr2bl w:val="nil"/>
            </w:tcBorders>
            <w:noWrap w:val="0"/>
            <w:vAlign w:val="center"/>
          </w:tcPr>
          <w:p w14:paraId="29D4799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lang w:val="en-US" w:eastAsia="zh-CN"/>
              </w:rPr>
              <w:t>-</w:t>
            </w:r>
          </w:p>
        </w:tc>
        <w:tc>
          <w:tcPr>
            <w:tcW w:w="595" w:type="pct"/>
            <w:tcBorders>
              <w:tl2br w:val="nil"/>
              <w:tr2bl w:val="nil"/>
            </w:tcBorders>
            <w:noWrap w:val="0"/>
            <w:vAlign w:val="center"/>
          </w:tcPr>
          <w:p w14:paraId="5C7CFF4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lang w:val="en-US" w:eastAsia="zh-CN"/>
              </w:rPr>
              <w:t>-</w:t>
            </w:r>
          </w:p>
        </w:tc>
        <w:tc>
          <w:tcPr>
            <w:tcW w:w="635" w:type="pct"/>
            <w:tcBorders>
              <w:tl2br w:val="nil"/>
              <w:tr2bl w:val="nil"/>
            </w:tcBorders>
            <w:noWrap w:val="0"/>
            <w:vAlign w:val="center"/>
          </w:tcPr>
          <w:p w14:paraId="5C75B98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lang w:val="en-US" w:eastAsia="zh-CN"/>
              </w:rPr>
              <w:t>-</w:t>
            </w:r>
          </w:p>
        </w:tc>
      </w:tr>
      <w:tr w14:paraId="589666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54" w:type="pct"/>
            <w:vMerge w:val="continue"/>
            <w:tcBorders>
              <w:tl2br w:val="nil"/>
              <w:tr2bl w:val="nil"/>
            </w:tcBorders>
            <w:noWrap w:val="0"/>
            <w:vAlign w:val="center"/>
          </w:tcPr>
          <w:p w14:paraId="71C49DB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866" w:type="pct"/>
            <w:tcBorders>
              <w:tl2br w:val="nil"/>
              <w:tr2bl w:val="nil"/>
            </w:tcBorders>
            <w:noWrap w:val="0"/>
            <w:vAlign w:val="center"/>
          </w:tcPr>
          <w:p w14:paraId="470D339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固废产生</w:t>
            </w:r>
          </w:p>
        </w:tc>
        <w:tc>
          <w:tcPr>
            <w:tcW w:w="658" w:type="pct"/>
            <w:tcBorders>
              <w:tl2br w:val="nil"/>
              <w:tr2bl w:val="nil"/>
            </w:tcBorders>
            <w:noWrap w:val="0"/>
            <w:vAlign w:val="center"/>
          </w:tcPr>
          <w:p w14:paraId="173B65B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w:t>
            </w:r>
            <w:r>
              <w:rPr>
                <w:rFonts w:hint="default"/>
                <w:color w:val="auto"/>
                <w:spacing w:val="0"/>
                <w:w w:val="100"/>
                <w:position w:val="0"/>
                <w:highlight w:val="none"/>
                <w:lang w:val="en-US" w:eastAsia="zh-CN"/>
              </w:rPr>
              <w:t>1</w:t>
            </w:r>
            <w:r>
              <w:rPr>
                <w:rFonts w:hint="default"/>
                <w:color w:val="auto"/>
                <w:spacing w:val="0"/>
                <w:w w:val="100"/>
                <w:position w:val="0"/>
                <w:highlight w:val="none"/>
              </w:rPr>
              <w:t>L</w:t>
            </w:r>
          </w:p>
        </w:tc>
        <w:tc>
          <w:tcPr>
            <w:tcW w:w="642" w:type="pct"/>
            <w:tcBorders>
              <w:tl2br w:val="nil"/>
              <w:tr2bl w:val="nil"/>
            </w:tcBorders>
            <w:noWrap w:val="0"/>
            <w:vAlign w:val="center"/>
          </w:tcPr>
          <w:p w14:paraId="59DC67B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-1L</w:t>
            </w:r>
          </w:p>
        </w:tc>
        <w:tc>
          <w:tcPr>
            <w:tcW w:w="658" w:type="pct"/>
            <w:tcBorders>
              <w:tl2br w:val="nil"/>
              <w:tr2bl w:val="nil"/>
            </w:tcBorders>
            <w:noWrap w:val="0"/>
            <w:vAlign w:val="center"/>
          </w:tcPr>
          <w:p w14:paraId="63AF202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lang w:val="en-US" w:eastAsia="zh-CN"/>
              </w:rPr>
              <w:t>-</w:t>
            </w:r>
          </w:p>
        </w:tc>
        <w:tc>
          <w:tcPr>
            <w:tcW w:w="686" w:type="pct"/>
            <w:tcBorders>
              <w:tl2br w:val="nil"/>
              <w:tr2bl w:val="nil"/>
            </w:tcBorders>
            <w:noWrap w:val="0"/>
            <w:vAlign w:val="center"/>
          </w:tcPr>
          <w:p w14:paraId="5F0BB1C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-2L</w:t>
            </w:r>
          </w:p>
        </w:tc>
        <w:tc>
          <w:tcPr>
            <w:tcW w:w="595" w:type="pct"/>
            <w:tcBorders>
              <w:tl2br w:val="nil"/>
              <w:tr2bl w:val="nil"/>
            </w:tcBorders>
            <w:noWrap w:val="0"/>
            <w:vAlign w:val="center"/>
          </w:tcPr>
          <w:p w14:paraId="362BCD0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-1L</w:t>
            </w:r>
          </w:p>
        </w:tc>
        <w:tc>
          <w:tcPr>
            <w:tcW w:w="635" w:type="pct"/>
            <w:tcBorders>
              <w:tl2br w:val="nil"/>
              <w:tr2bl w:val="nil"/>
            </w:tcBorders>
            <w:noWrap w:val="0"/>
            <w:vAlign w:val="center"/>
          </w:tcPr>
          <w:p w14:paraId="07DEB93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-1L</w:t>
            </w:r>
          </w:p>
        </w:tc>
      </w:tr>
      <w:tr w14:paraId="2D6272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54" w:type="pct"/>
            <w:vMerge w:val="continue"/>
            <w:tcBorders>
              <w:tl2br w:val="nil"/>
              <w:tr2bl w:val="nil"/>
            </w:tcBorders>
            <w:noWrap w:val="0"/>
            <w:vAlign w:val="center"/>
          </w:tcPr>
          <w:p w14:paraId="17887B5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866" w:type="pct"/>
            <w:tcBorders>
              <w:tl2br w:val="nil"/>
              <w:tr2bl w:val="nil"/>
            </w:tcBorders>
            <w:noWrap w:val="0"/>
            <w:vAlign w:val="center"/>
          </w:tcPr>
          <w:p w14:paraId="5DBC91A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lang w:eastAsia="zh-CN"/>
              </w:rPr>
              <w:t>环境</w:t>
            </w:r>
            <w:r>
              <w:rPr>
                <w:rFonts w:hint="default"/>
                <w:color w:val="auto"/>
                <w:spacing w:val="0"/>
                <w:w w:val="100"/>
                <w:position w:val="0"/>
                <w:highlight w:val="none"/>
              </w:rPr>
              <w:t>风险</w:t>
            </w:r>
          </w:p>
        </w:tc>
        <w:tc>
          <w:tcPr>
            <w:tcW w:w="658" w:type="pct"/>
            <w:tcBorders>
              <w:tl2br w:val="nil"/>
              <w:tr2bl w:val="nil"/>
            </w:tcBorders>
            <w:noWrap w:val="0"/>
            <w:vAlign w:val="center"/>
          </w:tcPr>
          <w:p w14:paraId="7DAA2EE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-2S</w:t>
            </w:r>
          </w:p>
        </w:tc>
        <w:tc>
          <w:tcPr>
            <w:tcW w:w="642" w:type="pct"/>
            <w:tcBorders>
              <w:tl2br w:val="nil"/>
              <w:tr2bl w:val="nil"/>
            </w:tcBorders>
            <w:noWrap w:val="0"/>
            <w:vAlign w:val="center"/>
          </w:tcPr>
          <w:p w14:paraId="202D510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-2S</w:t>
            </w:r>
          </w:p>
        </w:tc>
        <w:tc>
          <w:tcPr>
            <w:tcW w:w="658" w:type="pct"/>
            <w:tcBorders>
              <w:tl2br w:val="nil"/>
              <w:tr2bl w:val="nil"/>
            </w:tcBorders>
            <w:noWrap w:val="0"/>
            <w:vAlign w:val="center"/>
          </w:tcPr>
          <w:p w14:paraId="0AD8A75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lang w:val="en-US" w:eastAsia="zh-CN"/>
              </w:rPr>
              <w:t>-</w:t>
            </w:r>
          </w:p>
        </w:tc>
        <w:tc>
          <w:tcPr>
            <w:tcW w:w="686" w:type="pct"/>
            <w:tcBorders>
              <w:tl2br w:val="nil"/>
              <w:tr2bl w:val="nil"/>
            </w:tcBorders>
            <w:noWrap w:val="0"/>
            <w:vAlign w:val="center"/>
          </w:tcPr>
          <w:p w14:paraId="7900A8B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-2S</w:t>
            </w:r>
          </w:p>
        </w:tc>
        <w:tc>
          <w:tcPr>
            <w:tcW w:w="595" w:type="pct"/>
            <w:tcBorders>
              <w:tl2br w:val="nil"/>
              <w:tr2bl w:val="nil"/>
            </w:tcBorders>
            <w:noWrap w:val="0"/>
            <w:vAlign w:val="center"/>
          </w:tcPr>
          <w:p w14:paraId="1716E98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-2S</w:t>
            </w:r>
          </w:p>
        </w:tc>
        <w:tc>
          <w:tcPr>
            <w:tcW w:w="635" w:type="pct"/>
            <w:tcBorders>
              <w:tl2br w:val="nil"/>
              <w:tr2bl w:val="nil"/>
            </w:tcBorders>
            <w:noWrap w:val="0"/>
            <w:vAlign w:val="center"/>
          </w:tcPr>
          <w:p w14:paraId="45CB976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-2S</w:t>
            </w:r>
          </w:p>
        </w:tc>
      </w:tr>
      <w:tr w14:paraId="5EB2A6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5000" w:type="pct"/>
            <w:gridSpan w:val="8"/>
            <w:tcBorders>
              <w:tl2br w:val="nil"/>
              <w:tr2bl w:val="nil"/>
            </w:tcBorders>
            <w:noWrap w:val="0"/>
            <w:vAlign w:val="center"/>
          </w:tcPr>
          <w:p w14:paraId="1BFBA0D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rPr>
                <w:rFonts w:hint="default"/>
                <w:b/>
                <w:bCs/>
                <w:color w:val="auto"/>
                <w:spacing w:val="0"/>
                <w:w w:val="100"/>
                <w:position w:val="0"/>
                <w:highlight w:val="none"/>
              </w:rPr>
            </w:pPr>
            <w:r>
              <w:rPr>
                <w:rFonts w:hint="default"/>
                <w:b/>
                <w:bCs/>
                <w:color w:val="auto"/>
                <w:spacing w:val="0"/>
                <w:w w:val="100"/>
                <w:position w:val="0"/>
                <w:sz w:val="18"/>
                <w:szCs w:val="18"/>
                <w:highlight w:val="none"/>
              </w:rPr>
              <w:t>注：表中“+</w:t>
            </w:r>
            <w:r>
              <w:rPr>
                <w:rFonts w:hint="default"/>
                <w:b/>
                <w:bCs/>
                <w:color w:val="auto"/>
                <w:spacing w:val="0"/>
                <w:w w:val="100"/>
                <w:position w:val="0"/>
                <w:sz w:val="18"/>
                <w:szCs w:val="18"/>
                <w:highlight w:val="none"/>
                <w:lang w:eastAsia="zh-CN"/>
              </w:rPr>
              <w:t>”</w:t>
            </w:r>
            <w:r>
              <w:rPr>
                <w:rFonts w:hint="default"/>
                <w:b/>
                <w:bCs/>
                <w:color w:val="auto"/>
                <w:spacing w:val="0"/>
                <w:w w:val="100"/>
                <w:position w:val="0"/>
                <w:sz w:val="18"/>
                <w:szCs w:val="18"/>
                <w:highlight w:val="none"/>
              </w:rPr>
              <w:t>表示有利影响、“-</w:t>
            </w:r>
            <w:r>
              <w:rPr>
                <w:rFonts w:hint="default"/>
                <w:b/>
                <w:bCs/>
                <w:color w:val="auto"/>
                <w:spacing w:val="0"/>
                <w:w w:val="100"/>
                <w:position w:val="0"/>
                <w:sz w:val="18"/>
                <w:szCs w:val="18"/>
                <w:highlight w:val="none"/>
                <w:lang w:eastAsia="zh-CN"/>
              </w:rPr>
              <w:t>”</w:t>
            </w:r>
            <w:r>
              <w:rPr>
                <w:rFonts w:hint="default"/>
                <w:b/>
                <w:bCs/>
                <w:color w:val="auto"/>
                <w:spacing w:val="0"/>
                <w:w w:val="100"/>
                <w:position w:val="0"/>
                <w:sz w:val="18"/>
                <w:szCs w:val="18"/>
                <w:highlight w:val="none"/>
              </w:rPr>
              <w:t>表示不利影响；“1</w:t>
            </w:r>
            <w:r>
              <w:rPr>
                <w:rFonts w:hint="default"/>
                <w:b/>
                <w:bCs/>
                <w:color w:val="auto"/>
                <w:spacing w:val="0"/>
                <w:w w:val="100"/>
                <w:position w:val="0"/>
                <w:sz w:val="18"/>
                <w:szCs w:val="18"/>
                <w:highlight w:val="none"/>
                <w:lang w:eastAsia="zh-CN"/>
              </w:rPr>
              <w:t>”</w:t>
            </w:r>
            <w:r>
              <w:rPr>
                <w:rFonts w:hint="default"/>
                <w:b/>
                <w:bCs/>
                <w:color w:val="auto"/>
                <w:spacing w:val="0"/>
                <w:w w:val="100"/>
                <w:position w:val="0"/>
                <w:sz w:val="18"/>
                <w:szCs w:val="18"/>
                <w:highlight w:val="none"/>
              </w:rPr>
              <w:t>表示轻微影响、“2</w:t>
            </w:r>
            <w:r>
              <w:rPr>
                <w:rFonts w:hint="default"/>
                <w:b/>
                <w:bCs/>
                <w:color w:val="auto"/>
                <w:spacing w:val="0"/>
                <w:w w:val="100"/>
                <w:position w:val="0"/>
                <w:sz w:val="18"/>
                <w:szCs w:val="18"/>
                <w:highlight w:val="none"/>
                <w:lang w:eastAsia="zh-CN"/>
              </w:rPr>
              <w:t>”</w:t>
            </w:r>
            <w:r>
              <w:rPr>
                <w:rFonts w:hint="default"/>
                <w:b/>
                <w:bCs/>
                <w:color w:val="auto"/>
                <w:spacing w:val="0"/>
                <w:w w:val="100"/>
                <w:position w:val="0"/>
                <w:sz w:val="18"/>
                <w:szCs w:val="18"/>
                <w:highlight w:val="none"/>
              </w:rPr>
              <w:t>表示中等影响、“3</w:t>
            </w:r>
            <w:r>
              <w:rPr>
                <w:rFonts w:hint="default"/>
                <w:b/>
                <w:bCs/>
                <w:color w:val="auto"/>
                <w:spacing w:val="0"/>
                <w:w w:val="100"/>
                <w:position w:val="0"/>
                <w:sz w:val="18"/>
                <w:szCs w:val="18"/>
                <w:highlight w:val="none"/>
                <w:lang w:eastAsia="zh-CN"/>
              </w:rPr>
              <w:t>”</w:t>
            </w:r>
            <w:r>
              <w:rPr>
                <w:rFonts w:hint="default"/>
                <w:b/>
                <w:bCs/>
                <w:color w:val="auto"/>
                <w:spacing w:val="0"/>
                <w:w w:val="100"/>
                <w:position w:val="0"/>
                <w:sz w:val="18"/>
                <w:szCs w:val="18"/>
                <w:highlight w:val="none"/>
              </w:rPr>
              <w:t>表示重大影响；“L</w:t>
            </w:r>
            <w:r>
              <w:rPr>
                <w:rFonts w:hint="default"/>
                <w:b/>
                <w:bCs/>
                <w:color w:val="auto"/>
                <w:spacing w:val="0"/>
                <w:w w:val="100"/>
                <w:position w:val="0"/>
                <w:sz w:val="18"/>
                <w:szCs w:val="18"/>
                <w:highlight w:val="none"/>
                <w:lang w:eastAsia="zh-CN"/>
              </w:rPr>
              <w:t>”</w:t>
            </w:r>
            <w:r>
              <w:rPr>
                <w:rFonts w:hint="default"/>
                <w:b/>
                <w:bCs/>
                <w:color w:val="auto"/>
                <w:spacing w:val="0"/>
                <w:w w:val="100"/>
                <w:position w:val="0"/>
                <w:sz w:val="18"/>
                <w:szCs w:val="18"/>
                <w:highlight w:val="none"/>
              </w:rPr>
              <w:t>表示长期影响、“S</w:t>
            </w:r>
            <w:r>
              <w:rPr>
                <w:rFonts w:hint="default"/>
                <w:b/>
                <w:bCs/>
                <w:color w:val="auto"/>
                <w:spacing w:val="0"/>
                <w:w w:val="100"/>
                <w:position w:val="0"/>
                <w:sz w:val="18"/>
                <w:szCs w:val="18"/>
                <w:highlight w:val="none"/>
                <w:lang w:eastAsia="zh-CN"/>
              </w:rPr>
              <w:t>”</w:t>
            </w:r>
            <w:r>
              <w:rPr>
                <w:rFonts w:hint="default"/>
                <w:b/>
                <w:bCs/>
                <w:color w:val="auto"/>
                <w:spacing w:val="0"/>
                <w:w w:val="100"/>
                <w:position w:val="0"/>
                <w:sz w:val="18"/>
                <w:szCs w:val="18"/>
                <w:highlight w:val="none"/>
              </w:rPr>
              <w:t>表示短期影响、“—</w:t>
            </w:r>
            <w:r>
              <w:rPr>
                <w:rFonts w:hint="default"/>
                <w:b/>
                <w:bCs/>
                <w:color w:val="auto"/>
                <w:spacing w:val="0"/>
                <w:w w:val="100"/>
                <w:position w:val="0"/>
                <w:sz w:val="18"/>
                <w:szCs w:val="18"/>
                <w:highlight w:val="none"/>
                <w:lang w:eastAsia="zh-CN"/>
              </w:rPr>
              <w:t>”</w:t>
            </w:r>
            <w:r>
              <w:rPr>
                <w:rFonts w:hint="default"/>
                <w:b/>
                <w:bCs/>
                <w:color w:val="auto"/>
                <w:spacing w:val="0"/>
                <w:w w:val="100"/>
                <w:position w:val="0"/>
                <w:sz w:val="18"/>
                <w:szCs w:val="18"/>
                <w:highlight w:val="none"/>
              </w:rPr>
              <w:t>表示无相互作用。</w:t>
            </w:r>
          </w:p>
        </w:tc>
      </w:tr>
    </w:tbl>
    <w:p w14:paraId="37525D70">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r>
        <w:rPr>
          <w:rFonts w:hint="default"/>
          <w:color w:val="auto"/>
          <w:spacing w:val="0"/>
          <w:w w:val="100"/>
          <w:position w:val="0"/>
          <w:highlight w:val="none"/>
          <w:lang w:eastAsia="zh-CN"/>
        </w:rPr>
        <w:t>由</w:t>
      </w:r>
      <w:r>
        <w:rPr>
          <w:rFonts w:hint="default"/>
          <w:color w:val="auto"/>
          <w:spacing w:val="0"/>
          <w:w w:val="100"/>
          <w:position w:val="0"/>
          <w:highlight w:val="none"/>
        </w:rPr>
        <w:t>表2.2</w:t>
      </w:r>
      <w:r>
        <w:rPr>
          <w:rFonts w:hint="eastAsia"/>
          <w:color w:val="auto"/>
          <w:spacing w:val="0"/>
          <w:w w:val="100"/>
          <w:position w:val="0"/>
          <w:highlight w:val="none"/>
          <w:lang w:val="en-US" w:eastAsia="zh-CN"/>
        </w:rPr>
        <w:t>.1</w:t>
      </w:r>
      <w:r>
        <w:rPr>
          <w:rFonts w:hint="default"/>
          <w:color w:val="auto"/>
          <w:spacing w:val="0"/>
          <w:w w:val="100"/>
          <w:position w:val="0"/>
          <w:highlight w:val="none"/>
        </w:rPr>
        <w:t>-1可知，项目对环境的不利影响主要是废气的影响，其次为固废和废水。运行期的影响为长期的直接影响，因此进行评价的主要时段是运行期，评价重点应为大气环境。</w:t>
      </w:r>
    </w:p>
    <w:p w14:paraId="0BE57CAC">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40" w:name="_Toc729"/>
      <w:bookmarkStart w:id="41" w:name="_Toc1710"/>
      <w:bookmarkStart w:id="42" w:name="_Toc10376"/>
      <w:bookmarkStart w:id="43" w:name="_Toc14461"/>
      <w:bookmarkStart w:id="44" w:name="_Toc1491"/>
      <w:bookmarkStart w:id="45" w:name="_Toc27877"/>
      <w:r>
        <w:rPr>
          <w:rFonts w:hint="default"/>
          <w:color w:val="auto"/>
          <w:spacing w:val="0"/>
          <w:w w:val="100"/>
          <w:position w:val="0"/>
          <w:highlight w:val="none"/>
          <w:lang w:val="en-US" w:eastAsia="zh-CN"/>
        </w:rPr>
        <w:t>2.2.2评价因子筛选</w:t>
      </w:r>
      <w:bookmarkEnd w:id="40"/>
      <w:bookmarkEnd w:id="41"/>
      <w:bookmarkEnd w:id="42"/>
      <w:bookmarkEnd w:id="43"/>
      <w:bookmarkEnd w:id="44"/>
      <w:bookmarkEnd w:id="45"/>
    </w:p>
    <w:p w14:paraId="717B5E7A">
      <w:pPr>
        <w:pStyle w:val="32"/>
        <w:keepNext w:val="0"/>
        <w:keepLines w:val="0"/>
        <w:pageBreakBefore w:val="0"/>
        <w:widowControl w:val="0"/>
        <w:kinsoku/>
        <w:wordWrap/>
        <w:overflowPunct/>
        <w:topLinePunct w:val="0"/>
        <w:autoSpaceDE/>
        <w:autoSpaceDN/>
        <w:bidi w:val="0"/>
        <w:adjustRightInd/>
        <w:snapToGrid/>
        <w:rPr>
          <w:rFonts w:hint="default"/>
          <w:color w:val="auto"/>
          <w:spacing w:val="0"/>
          <w:highlight w:val="none"/>
        </w:rPr>
      </w:pPr>
      <w:r>
        <w:rPr>
          <w:rFonts w:hint="default"/>
          <w:color w:val="auto"/>
          <w:spacing w:val="0"/>
          <w:highlight w:val="none"/>
        </w:rPr>
        <w:t>环境影响评价因子识别见表2.2</w:t>
      </w:r>
      <w:r>
        <w:rPr>
          <w:rFonts w:hint="eastAsia"/>
          <w:color w:val="auto"/>
          <w:spacing w:val="0"/>
          <w:highlight w:val="none"/>
          <w:lang w:val="en-US" w:eastAsia="zh-CN"/>
        </w:rPr>
        <w:t>.2-1</w:t>
      </w:r>
      <w:r>
        <w:rPr>
          <w:rFonts w:hint="default"/>
          <w:color w:val="auto"/>
          <w:spacing w:val="0"/>
          <w:highlight w:val="none"/>
        </w:rPr>
        <w:t>。</w:t>
      </w:r>
    </w:p>
    <w:p w14:paraId="4B6F50C2">
      <w:pPr>
        <w:pStyle w:val="33"/>
        <w:keepNext w:val="0"/>
        <w:keepLines w:val="0"/>
        <w:pageBreakBefore w:val="0"/>
        <w:widowControl w:val="0"/>
        <w:kinsoku/>
        <w:wordWrap/>
        <w:overflowPunct/>
        <w:topLinePunct w:val="0"/>
        <w:autoSpaceDE/>
        <w:autoSpaceDN/>
        <w:bidi w:val="0"/>
        <w:adjustRightInd/>
        <w:snapToGrid/>
        <w:rPr>
          <w:rFonts w:hint="default"/>
          <w:color w:val="auto"/>
          <w:spacing w:val="0"/>
          <w:highlight w:val="none"/>
        </w:rPr>
      </w:pPr>
      <w:r>
        <w:rPr>
          <w:rFonts w:hint="default"/>
          <w:color w:val="auto"/>
          <w:spacing w:val="0"/>
          <w:highlight w:val="none"/>
        </w:rPr>
        <w:t>表2.2</w:t>
      </w:r>
      <w:r>
        <w:rPr>
          <w:rFonts w:hint="eastAsia"/>
          <w:color w:val="auto"/>
          <w:spacing w:val="0"/>
          <w:highlight w:val="none"/>
          <w:lang w:val="en-US" w:eastAsia="zh-CN"/>
        </w:rPr>
        <w:t>.2-1</w:t>
      </w:r>
      <w:r>
        <w:rPr>
          <w:rFonts w:hint="default"/>
          <w:color w:val="auto"/>
          <w:spacing w:val="0"/>
          <w:highlight w:val="none"/>
        </w:rPr>
        <w:t xml:space="preserve"> </w:t>
      </w:r>
      <w:r>
        <w:rPr>
          <w:rFonts w:hint="default"/>
          <w:color w:val="auto"/>
          <w:spacing w:val="0"/>
          <w:highlight w:val="none"/>
          <w:lang w:val="en-US" w:eastAsia="zh-CN"/>
        </w:rPr>
        <w:t xml:space="preserve"> </w:t>
      </w:r>
      <w:r>
        <w:rPr>
          <w:rFonts w:hint="default"/>
          <w:color w:val="auto"/>
          <w:spacing w:val="0"/>
          <w:highlight w:val="none"/>
        </w:rPr>
        <w:t>评价因子筛选表</w:t>
      </w:r>
    </w:p>
    <w:tbl>
      <w:tblPr>
        <w:tblStyle w:val="25"/>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45" w:type="dxa"/>
          <w:left w:w="96" w:type="dxa"/>
          <w:bottom w:w="45" w:type="dxa"/>
          <w:right w:w="96" w:type="dxa"/>
        </w:tblCellMar>
      </w:tblPr>
      <w:tblGrid>
        <w:gridCol w:w="1218"/>
        <w:gridCol w:w="1171"/>
        <w:gridCol w:w="6644"/>
      </w:tblGrid>
      <w:tr w14:paraId="4430EA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45" w:type="dxa"/>
            <w:left w:w="96" w:type="dxa"/>
            <w:bottom w:w="45" w:type="dxa"/>
            <w:right w:w="96" w:type="dxa"/>
          </w:tblCellMar>
        </w:tblPrEx>
        <w:trPr>
          <w:trHeight w:val="90" w:hRule="atLeast"/>
          <w:tblHeader/>
        </w:trPr>
        <w:tc>
          <w:tcPr>
            <w:tcW w:w="674" w:type="pct"/>
            <w:tcBorders>
              <w:bottom w:val="single" w:color="000000" w:sz="12" w:space="0"/>
              <w:tl2br w:val="nil"/>
              <w:tr2bl w:val="nil"/>
            </w:tcBorders>
            <w:noWrap w:val="0"/>
            <w:vAlign w:val="center"/>
          </w:tcPr>
          <w:p w14:paraId="581D0089">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center"/>
              <w:outlineLvl w:val="9"/>
              <w:rPr>
                <w:rFonts w:hint="default" w:ascii="Times New Roman" w:hAnsi="Times New Roman" w:eastAsia="宋体" w:cs="Times New Roman"/>
                <w:b/>
                <w:bCs/>
                <w:caps w:val="0"/>
                <w:snapToGrid/>
                <w:color w:val="auto"/>
                <w:spacing w:val="0"/>
                <w:w w:val="100"/>
                <w:kern w:val="21"/>
                <w:position w:val="0"/>
                <w:sz w:val="21"/>
                <w:szCs w:val="21"/>
                <w:highlight w:val="none"/>
                <w:lang w:eastAsia="zh-CN"/>
              </w:rPr>
            </w:pPr>
            <w:r>
              <w:rPr>
                <w:rFonts w:hint="default" w:ascii="Times New Roman" w:hAnsi="Times New Roman" w:eastAsia="宋体" w:cs="Times New Roman"/>
                <w:b/>
                <w:bCs/>
                <w:caps w:val="0"/>
                <w:snapToGrid/>
                <w:color w:val="auto"/>
                <w:spacing w:val="0"/>
                <w:w w:val="100"/>
                <w:kern w:val="21"/>
                <w:position w:val="0"/>
                <w:sz w:val="21"/>
                <w:szCs w:val="21"/>
                <w:highlight w:val="none"/>
                <w:lang w:eastAsia="zh-CN"/>
              </w:rPr>
              <w:t>环境要素</w:t>
            </w:r>
          </w:p>
        </w:tc>
        <w:tc>
          <w:tcPr>
            <w:tcW w:w="648" w:type="pct"/>
            <w:tcBorders>
              <w:bottom w:val="single" w:color="000000" w:sz="12" w:space="0"/>
              <w:tl2br w:val="nil"/>
              <w:tr2bl w:val="nil"/>
            </w:tcBorders>
            <w:noWrap w:val="0"/>
            <w:vAlign w:val="center"/>
          </w:tcPr>
          <w:p w14:paraId="0635A7BD">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center"/>
              <w:outlineLvl w:val="9"/>
              <w:rPr>
                <w:rFonts w:hint="default" w:ascii="Times New Roman" w:hAnsi="Times New Roman" w:eastAsia="宋体" w:cs="Times New Roman"/>
                <w:b/>
                <w:bCs/>
                <w:caps w:val="0"/>
                <w:snapToGrid/>
                <w:color w:val="auto"/>
                <w:spacing w:val="0"/>
                <w:w w:val="100"/>
                <w:kern w:val="21"/>
                <w:position w:val="0"/>
                <w:sz w:val="21"/>
                <w:szCs w:val="21"/>
                <w:highlight w:val="none"/>
                <w:lang w:eastAsia="zh-CN"/>
              </w:rPr>
            </w:pPr>
            <w:r>
              <w:rPr>
                <w:rFonts w:hint="default" w:ascii="Times New Roman" w:hAnsi="Times New Roman" w:eastAsia="宋体" w:cs="Times New Roman"/>
                <w:b/>
                <w:bCs/>
                <w:caps w:val="0"/>
                <w:snapToGrid/>
                <w:color w:val="auto"/>
                <w:spacing w:val="0"/>
                <w:w w:val="100"/>
                <w:kern w:val="21"/>
                <w:position w:val="0"/>
                <w:sz w:val="21"/>
                <w:szCs w:val="21"/>
                <w:highlight w:val="none"/>
                <w:lang w:eastAsia="zh-CN"/>
              </w:rPr>
              <w:t>评价类别</w:t>
            </w:r>
          </w:p>
        </w:tc>
        <w:tc>
          <w:tcPr>
            <w:tcW w:w="3676" w:type="pct"/>
            <w:tcBorders>
              <w:bottom w:val="single" w:color="000000" w:sz="12" w:space="0"/>
              <w:tl2br w:val="nil"/>
              <w:tr2bl w:val="nil"/>
            </w:tcBorders>
            <w:noWrap w:val="0"/>
            <w:vAlign w:val="center"/>
          </w:tcPr>
          <w:p w14:paraId="4B63F66C">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center"/>
              <w:outlineLvl w:val="9"/>
              <w:rPr>
                <w:rFonts w:hint="default" w:ascii="Times New Roman" w:hAnsi="Times New Roman" w:eastAsia="宋体" w:cs="Times New Roman"/>
                <w:b/>
                <w:bCs/>
                <w:caps w:val="0"/>
                <w:snapToGrid/>
                <w:color w:val="auto"/>
                <w:spacing w:val="0"/>
                <w:w w:val="100"/>
                <w:kern w:val="21"/>
                <w:position w:val="0"/>
                <w:sz w:val="21"/>
                <w:szCs w:val="21"/>
                <w:highlight w:val="none"/>
                <w:lang w:eastAsia="zh-CN"/>
              </w:rPr>
            </w:pPr>
            <w:r>
              <w:rPr>
                <w:rFonts w:hint="default" w:ascii="Times New Roman" w:hAnsi="Times New Roman" w:eastAsia="宋体" w:cs="Times New Roman"/>
                <w:b/>
                <w:bCs/>
                <w:caps w:val="0"/>
                <w:snapToGrid/>
                <w:color w:val="auto"/>
                <w:spacing w:val="0"/>
                <w:w w:val="100"/>
                <w:kern w:val="21"/>
                <w:position w:val="0"/>
                <w:sz w:val="21"/>
                <w:szCs w:val="21"/>
                <w:highlight w:val="none"/>
                <w:lang w:eastAsia="zh-CN"/>
              </w:rPr>
              <w:t>评价因子</w:t>
            </w:r>
          </w:p>
        </w:tc>
      </w:tr>
      <w:tr w14:paraId="3F699F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45" w:type="dxa"/>
            <w:left w:w="96" w:type="dxa"/>
            <w:bottom w:w="45" w:type="dxa"/>
            <w:right w:w="96" w:type="dxa"/>
          </w:tblCellMar>
        </w:tblPrEx>
        <w:trPr>
          <w:trHeight w:val="0" w:hRule="atLeast"/>
        </w:trPr>
        <w:tc>
          <w:tcPr>
            <w:tcW w:w="674" w:type="pct"/>
            <w:vMerge w:val="restart"/>
            <w:tcBorders>
              <w:top w:val="single" w:color="000000" w:sz="12" w:space="0"/>
              <w:tl2br w:val="nil"/>
              <w:tr2bl w:val="nil"/>
            </w:tcBorders>
            <w:noWrap w:val="0"/>
            <w:vAlign w:val="center"/>
          </w:tcPr>
          <w:p w14:paraId="550663EB">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center"/>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环境空气</w:t>
            </w:r>
          </w:p>
        </w:tc>
        <w:tc>
          <w:tcPr>
            <w:tcW w:w="648" w:type="pct"/>
            <w:tcBorders>
              <w:top w:val="single" w:color="000000" w:sz="12" w:space="0"/>
              <w:tl2br w:val="nil"/>
              <w:tr2bl w:val="nil"/>
            </w:tcBorders>
            <w:noWrap w:val="0"/>
            <w:vAlign w:val="center"/>
          </w:tcPr>
          <w:p w14:paraId="047A0790">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center"/>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现状评价</w:t>
            </w:r>
          </w:p>
        </w:tc>
        <w:tc>
          <w:tcPr>
            <w:tcW w:w="3676" w:type="pct"/>
            <w:tcBorders>
              <w:top w:val="single" w:color="000000" w:sz="12" w:space="0"/>
              <w:tl2br w:val="nil"/>
              <w:tr2bl w:val="nil"/>
            </w:tcBorders>
            <w:noWrap w:val="0"/>
            <w:vAlign w:val="center"/>
          </w:tcPr>
          <w:p w14:paraId="762BFC8D">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left"/>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rPr>
              <w:t>SO</w:t>
            </w:r>
            <w:r>
              <w:rPr>
                <w:rFonts w:hint="default" w:ascii="Times New Roman" w:hAnsi="Times New Roman" w:eastAsia="宋体" w:cs="Times New Roman"/>
                <w:caps w:val="0"/>
                <w:snapToGrid/>
                <w:color w:val="auto"/>
                <w:spacing w:val="0"/>
                <w:w w:val="100"/>
                <w:kern w:val="21"/>
                <w:position w:val="0"/>
                <w:sz w:val="21"/>
                <w:szCs w:val="21"/>
                <w:highlight w:val="none"/>
                <w:vertAlign w:val="subscript"/>
              </w:rPr>
              <w:t>2</w:t>
            </w:r>
            <w:r>
              <w:rPr>
                <w:rFonts w:hint="default" w:ascii="Times New Roman" w:hAnsi="Times New Roman" w:eastAsia="宋体" w:cs="Times New Roman"/>
                <w:caps w:val="0"/>
                <w:snapToGrid/>
                <w:color w:val="auto"/>
                <w:spacing w:val="0"/>
                <w:w w:val="100"/>
                <w:kern w:val="21"/>
                <w:position w:val="0"/>
                <w:sz w:val="21"/>
                <w:szCs w:val="21"/>
                <w:highlight w:val="none"/>
              </w:rPr>
              <w:t>、NO</w:t>
            </w:r>
            <w:r>
              <w:rPr>
                <w:rFonts w:hint="default" w:ascii="Times New Roman" w:hAnsi="Times New Roman" w:eastAsia="宋体" w:cs="Times New Roman"/>
                <w:caps w:val="0"/>
                <w:snapToGrid/>
                <w:color w:val="auto"/>
                <w:spacing w:val="0"/>
                <w:w w:val="100"/>
                <w:kern w:val="21"/>
                <w:position w:val="0"/>
                <w:sz w:val="21"/>
                <w:szCs w:val="21"/>
                <w:highlight w:val="none"/>
                <w:vertAlign w:val="subscript"/>
              </w:rPr>
              <w:t>2</w:t>
            </w:r>
            <w:r>
              <w:rPr>
                <w:rFonts w:hint="default" w:ascii="Times New Roman" w:hAnsi="Times New Roman" w:eastAsia="宋体" w:cs="Times New Roman"/>
                <w:caps w:val="0"/>
                <w:snapToGrid/>
                <w:color w:val="auto"/>
                <w:spacing w:val="0"/>
                <w:w w:val="100"/>
                <w:kern w:val="21"/>
                <w:position w:val="0"/>
                <w:sz w:val="21"/>
                <w:szCs w:val="21"/>
                <w:highlight w:val="none"/>
              </w:rPr>
              <w:t>、CO、O</w:t>
            </w:r>
            <w:r>
              <w:rPr>
                <w:rFonts w:hint="default" w:ascii="Times New Roman" w:hAnsi="Times New Roman" w:eastAsia="宋体" w:cs="Times New Roman"/>
                <w:caps w:val="0"/>
                <w:snapToGrid/>
                <w:color w:val="auto"/>
                <w:spacing w:val="0"/>
                <w:w w:val="100"/>
                <w:kern w:val="21"/>
                <w:position w:val="0"/>
                <w:sz w:val="21"/>
                <w:szCs w:val="21"/>
                <w:highlight w:val="none"/>
                <w:vertAlign w:val="subscript"/>
              </w:rPr>
              <w:t>3</w:t>
            </w:r>
            <w:r>
              <w:rPr>
                <w:rFonts w:hint="default" w:ascii="Times New Roman" w:hAnsi="Times New Roman" w:eastAsia="宋体" w:cs="Times New Roman"/>
                <w:caps w:val="0"/>
                <w:snapToGrid/>
                <w:color w:val="auto"/>
                <w:spacing w:val="0"/>
                <w:w w:val="100"/>
                <w:kern w:val="21"/>
                <w:position w:val="0"/>
                <w:sz w:val="21"/>
                <w:szCs w:val="21"/>
                <w:highlight w:val="none"/>
              </w:rPr>
              <w:t>、</w:t>
            </w: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TSP、</w:t>
            </w:r>
            <w:r>
              <w:rPr>
                <w:rFonts w:hint="default" w:ascii="Times New Roman" w:hAnsi="Times New Roman" w:eastAsia="宋体" w:cs="Times New Roman"/>
                <w:caps w:val="0"/>
                <w:snapToGrid/>
                <w:color w:val="auto"/>
                <w:spacing w:val="0"/>
                <w:w w:val="100"/>
                <w:kern w:val="21"/>
                <w:position w:val="0"/>
                <w:sz w:val="21"/>
                <w:szCs w:val="21"/>
                <w:highlight w:val="none"/>
              </w:rPr>
              <w:t>非甲烷总烃</w:t>
            </w:r>
            <w:r>
              <w:rPr>
                <w:rFonts w:hint="eastAsia" w:cs="Times New Roman"/>
                <w:caps w:val="0"/>
                <w:snapToGrid/>
                <w:color w:val="auto"/>
                <w:spacing w:val="0"/>
                <w:w w:val="100"/>
                <w:kern w:val="21"/>
                <w:position w:val="0"/>
                <w:sz w:val="21"/>
                <w:szCs w:val="21"/>
                <w:highlight w:val="none"/>
                <w:lang w:eastAsia="zh-CN"/>
              </w:rPr>
              <w:t>、</w:t>
            </w:r>
            <w:r>
              <w:rPr>
                <w:rFonts w:hint="eastAsia" w:cs="Times New Roman"/>
                <w:caps w:val="0"/>
                <w:snapToGrid/>
                <w:color w:val="auto"/>
                <w:spacing w:val="0"/>
                <w:w w:val="100"/>
                <w:kern w:val="21"/>
                <w:position w:val="0"/>
                <w:sz w:val="21"/>
                <w:szCs w:val="21"/>
                <w:highlight w:val="none"/>
                <w:lang w:val="en-US" w:eastAsia="zh-CN"/>
              </w:rPr>
              <w:t>PM</w:t>
            </w:r>
            <w:r>
              <w:rPr>
                <w:rFonts w:hint="eastAsia" w:cs="Times New Roman"/>
                <w:caps w:val="0"/>
                <w:snapToGrid/>
                <w:color w:val="auto"/>
                <w:spacing w:val="0"/>
                <w:w w:val="100"/>
                <w:kern w:val="21"/>
                <w:position w:val="0"/>
                <w:sz w:val="21"/>
                <w:szCs w:val="21"/>
                <w:highlight w:val="none"/>
                <w:vertAlign w:val="subscript"/>
                <w:lang w:val="en-US" w:eastAsia="zh-CN"/>
              </w:rPr>
              <w:t>10</w:t>
            </w:r>
            <w:r>
              <w:rPr>
                <w:rFonts w:hint="eastAsia" w:cs="Times New Roman"/>
                <w:caps w:val="0"/>
                <w:snapToGrid/>
                <w:color w:val="auto"/>
                <w:spacing w:val="0"/>
                <w:w w:val="100"/>
                <w:kern w:val="21"/>
                <w:position w:val="0"/>
                <w:sz w:val="21"/>
                <w:szCs w:val="21"/>
                <w:highlight w:val="none"/>
                <w:lang w:val="en-US" w:eastAsia="zh-CN"/>
              </w:rPr>
              <w:t>、PM</w:t>
            </w:r>
            <w:r>
              <w:rPr>
                <w:rFonts w:hint="eastAsia" w:cs="Times New Roman"/>
                <w:caps w:val="0"/>
                <w:snapToGrid/>
                <w:color w:val="auto"/>
                <w:spacing w:val="0"/>
                <w:w w:val="100"/>
                <w:kern w:val="21"/>
                <w:position w:val="0"/>
                <w:sz w:val="21"/>
                <w:szCs w:val="21"/>
                <w:highlight w:val="none"/>
                <w:vertAlign w:val="subscript"/>
                <w:lang w:val="en-US" w:eastAsia="zh-CN"/>
              </w:rPr>
              <w:t>2.5</w:t>
            </w:r>
          </w:p>
        </w:tc>
      </w:tr>
      <w:tr w14:paraId="5360DB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45" w:type="dxa"/>
            <w:left w:w="96" w:type="dxa"/>
            <w:bottom w:w="45" w:type="dxa"/>
            <w:right w:w="96" w:type="dxa"/>
          </w:tblCellMar>
        </w:tblPrEx>
        <w:trPr>
          <w:trHeight w:val="0" w:hRule="atLeast"/>
        </w:trPr>
        <w:tc>
          <w:tcPr>
            <w:tcW w:w="674" w:type="pct"/>
            <w:vMerge w:val="continue"/>
            <w:tcBorders>
              <w:tl2br w:val="nil"/>
              <w:tr2bl w:val="nil"/>
            </w:tcBorders>
            <w:noWrap w:val="0"/>
            <w:vAlign w:val="center"/>
          </w:tcPr>
          <w:p w14:paraId="20EFF1E0">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center"/>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c>
          <w:tcPr>
            <w:tcW w:w="648" w:type="pct"/>
            <w:tcBorders>
              <w:tl2br w:val="nil"/>
              <w:tr2bl w:val="nil"/>
            </w:tcBorders>
            <w:noWrap w:val="0"/>
            <w:vAlign w:val="center"/>
          </w:tcPr>
          <w:p w14:paraId="558F7AB1">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center"/>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影响评价</w:t>
            </w:r>
          </w:p>
        </w:tc>
        <w:tc>
          <w:tcPr>
            <w:tcW w:w="3676" w:type="pct"/>
            <w:tcBorders>
              <w:tl2br w:val="nil"/>
              <w:tr2bl w:val="nil"/>
            </w:tcBorders>
            <w:noWrap w:val="0"/>
            <w:vAlign w:val="center"/>
          </w:tcPr>
          <w:p w14:paraId="2B219528">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left"/>
              <w:outlineLvl w:val="9"/>
              <w:rPr>
                <w:rFonts w:hint="default" w:ascii="Times New Roman" w:hAnsi="Times New Roman" w:eastAsia="宋体" w:cs="Times New Roman"/>
                <w:caps w:val="0"/>
                <w:snapToGrid/>
                <w:color w:val="auto"/>
                <w:spacing w:val="0"/>
                <w:w w:val="100"/>
                <w:kern w:val="21"/>
                <w:position w:val="0"/>
                <w:sz w:val="21"/>
                <w:szCs w:val="21"/>
                <w:highlight w:val="none"/>
                <w:lang w:val="en-US"/>
              </w:rPr>
            </w:pPr>
            <w:r>
              <w:rPr>
                <w:rFonts w:hint="default" w:ascii="Times New Roman" w:hAnsi="Times New Roman" w:eastAsia="宋体" w:cs="Times New Roman"/>
                <w:caps w:val="0"/>
                <w:snapToGrid/>
                <w:color w:val="auto"/>
                <w:spacing w:val="0"/>
                <w:w w:val="100"/>
                <w:kern w:val="21"/>
                <w:position w:val="0"/>
                <w:sz w:val="21"/>
                <w:szCs w:val="21"/>
                <w:highlight w:val="none"/>
                <w:vertAlign w:val="baseline"/>
                <w:lang w:val="en-US" w:eastAsia="zh-CN"/>
              </w:rPr>
              <w:t>非甲烷总烃、</w:t>
            </w: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TSP</w:t>
            </w:r>
            <w:r>
              <w:rPr>
                <w:rFonts w:hint="eastAsia" w:cs="Times New Roman"/>
                <w:caps w:val="0"/>
                <w:snapToGrid/>
                <w:color w:val="auto"/>
                <w:spacing w:val="0"/>
                <w:w w:val="100"/>
                <w:kern w:val="21"/>
                <w:position w:val="0"/>
                <w:sz w:val="21"/>
                <w:szCs w:val="21"/>
                <w:highlight w:val="none"/>
                <w:lang w:val="en-US" w:eastAsia="zh-CN"/>
              </w:rPr>
              <w:t>、PM</w:t>
            </w:r>
            <w:r>
              <w:rPr>
                <w:rFonts w:hint="eastAsia" w:cs="Times New Roman"/>
                <w:caps w:val="0"/>
                <w:snapToGrid/>
                <w:color w:val="auto"/>
                <w:spacing w:val="0"/>
                <w:w w:val="100"/>
                <w:kern w:val="21"/>
                <w:position w:val="0"/>
                <w:sz w:val="21"/>
                <w:szCs w:val="21"/>
                <w:highlight w:val="none"/>
                <w:vertAlign w:val="subscript"/>
                <w:lang w:val="en-US" w:eastAsia="zh-CN"/>
              </w:rPr>
              <w:t>10</w:t>
            </w:r>
          </w:p>
        </w:tc>
      </w:tr>
      <w:tr w14:paraId="5FE5C6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45" w:type="dxa"/>
            <w:left w:w="96" w:type="dxa"/>
            <w:bottom w:w="45" w:type="dxa"/>
            <w:right w:w="96" w:type="dxa"/>
          </w:tblCellMar>
        </w:tblPrEx>
        <w:trPr>
          <w:trHeight w:val="90" w:hRule="atLeast"/>
        </w:trPr>
        <w:tc>
          <w:tcPr>
            <w:tcW w:w="674" w:type="pct"/>
            <w:vMerge w:val="restart"/>
            <w:tcBorders>
              <w:tl2br w:val="nil"/>
              <w:tr2bl w:val="nil"/>
            </w:tcBorders>
            <w:noWrap w:val="0"/>
            <w:vAlign w:val="center"/>
          </w:tcPr>
          <w:p w14:paraId="19AA5638">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center"/>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地下水环境</w:t>
            </w:r>
          </w:p>
        </w:tc>
        <w:tc>
          <w:tcPr>
            <w:tcW w:w="648" w:type="pct"/>
            <w:tcBorders>
              <w:tl2br w:val="nil"/>
              <w:tr2bl w:val="nil"/>
            </w:tcBorders>
            <w:noWrap w:val="0"/>
            <w:vAlign w:val="center"/>
          </w:tcPr>
          <w:p w14:paraId="7A85ABDA">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center"/>
              <w:textAlignment w:val="baseline"/>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现状评价</w:t>
            </w:r>
          </w:p>
        </w:tc>
        <w:tc>
          <w:tcPr>
            <w:tcW w:w="3676" w:type="pct"/>
            <w:tcBorders>
              <w:tl2br w:val="nil"/>
              <w:tr2bl w:val="nil"/>
            </w:tcBorders>
            <w:noWrap w:val="0"/>
            <w:vAlign w:val="center"/>
          </w:tcPr>
          <w:p w14:paraId="6C1B3EB7">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left"/>
              <w:textAlignment w:val="baseline"/>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pH、K</w:t>
            </w:r>
            <w:r>
              <w:rPr>
                <w:rFonts w:hint="default" w:ascii="Times New Roman" w:hAnsi="Times New Roman" w:eastAsia="宋体" w:cs="Times New Roman"/>
                <w:caps w:val="0"/>
                <w:snapToGrid/>
                <w:color w:val="auto"/>
                <w:spacing w:val="0"/>
                <w:w w:val="100"/>
                <w:kern w:val="21"/>
                <w:position w:val="0"/>
                <w:sz w:val="21"/>
                <w:szCs w:val="21"/>
                <w:highlight w:val="none"/>
                <w:vertAlign w:val="superscript"/>
              </w:rPr>
              <w:t>+</w:t>
            </w:r>
            <w:r>
              <w:rPr>
                <w:rFonts w:hint="default" w:ascii="Times New Roman" w:hAnsi="Times New Roman" w:eastAsia="宋体" w:cs="Times New Roman"/>
                <w:caps w:val="0"/>
                <w:snapToGrid/>
                <w:color w:val="auto"/>
                <w:spacing w:val="0"/>
                <w:w w:val="100"/>
                <w:kern w:val="21"/>
                <w:position w:val="0"/>
                <w:sz w:val="21"/>
                <w:szCs w:val="21"/>
                <w:highlight w:val="none"/>
              </w:rPr>
              <w:t>、Na</w:t>
            </w:r>
            <w:r>
              <w:rPr>
                <w:rFonts w:hint="default" w:ascii="Times New Roman" w:hAnsi="Times New Roman" w:eastAsia="宋体" w:cs="Times New Roman"/>
                <w:caps w:val="0"/>
                <w:snapToGrid/>
                <w:color w:val="auto"/>
                <w:spacing w:val="0"/>
                <w:w w:val="100"/>
                <w:kern w:val="21"/>
                <w:position w:val="0"/>
                <w:sz w:val="21"/>
                <w:szCs w:val="21"/>
                <w:highlight w:val="none"/>
                <w:vertAlign w:val="superscript"/>
              </w:rPr>
              <w:t>+</w:t>
            </w:r>
            <w:r>
              <w:rPr>
                <w:rFonts w:hint="default" w:ascii="Times New Roman" w:hAnsi="Times New Roman" w:eastAsia="宋体" w:cs="Times New Roman"/>
                <w:caps w:val="0"/>
                <w:snapToGrid/>
                <w:color w:val="auto"/>
                <w:spacing w:val="0"/>
                <w:w w:val="100"/>
                <w:kern w:val="21"/>
                <w:position w:val="0"/>
                <w:sz w:val="21"/>
                <w:szCs w:val="21"/>
                <w:highlight w:val="none"/>
              </w:rPr>
              <w:t>、Ca</w:t>
            </w:r>
            <w:r>
              <w:rPr>
                <w:rFonts w:hint="default" w:ascii="Times New Roman" w:hAnsi="Times New Roman" w:eastAsia="宋体" w:cs="Times New Roman"/>
                <w:caps w:val="0"/>
                <w:snapToGrid/>
                <w:color w:val="auto"/>
                <w:spacing w:val="0"/>
                <w:w w:val="100"/>
                <w:kern w:val="21"/>
                <w:position w:val="0"/>
                <w:sz w:val="21"/>
                <w:szCs w:val="21"/>
                <w:highlight w:val="none"/>
                <w:vertAlign w:val="superscript"/>
              </w:rPr>
              <w:t>2+</w:t>
            </w:r>
            <w:r>
              <w:rPr>
                <w:rFonts w:hint="default" w:ascii="Times New Roman" w:hAnsi="Times New Roman" w:eastAsia="宋体" w:cs="Times New Roman"/>
                <w:caps w:val="0"/>
                <w:snapToGrid/>
                <w:color w:val="auto"/>
                <w:spacing w:val="0"/>
                <w:w w:val="100"/>
                <w:kern w:val="21"/>
                <w:position w:val="0"/>
                <w:sz w:val="21"/>
                <w:szCs w:val="21"/>
                <w:highlight w:val="none"/>
              </w:rPr>
              <w:t>、Mg</w:t>
            </w:r>
            <w:r>
              <w:rPr>
                <w:rFonts w:hint="default" w:ascii="Times New Roman" w:hAnsi="Times New Roman" w:eastAsia="宋体" w:cs="Times New Roman"/>
                <w:caps w:val="0"/>
                <w:snapToGrid/>
                <w:color w:val="auto"/>
                <w:spacing w:val="0"/>
                <w:w w:val="100"/>
                <w:kern w:val="21"/>
                <w:position w:val="0"/>
                <w:sz w:val="21"/>
                <w:szCs w:val="21"/>
                <w:highlight w:val="none"/>
                <w:vertAlign w:val="superscript"/>
              </w:rPr>
              <w:t>2+</w:t>
            </w:r>
            <w:r>
              <w:rPr>
                <w:rFonts w:hint="default" w:ascii="Times New Roman" w:hAnsi="Times New Roman" w:eastAsia="宋体" w:cs="Times New Roman"/>
                <w:caps w:val="0"/>
                <w:snapToGrid/>
                <w:color w:val="auto"/>
                <w:spacing w:val="0"/>
                <w:w w:val="100"/>
                <w:kern w:val="21"/>
                <w:position w:val="0"/>
                <w:sz w:val="21"/>
                <w:szCs w:val="21"/>
                <w:highlight w:val="none"/>
              </w:rPr>
              <w:t>、CO</w:t>
            </w:r>
            <w:r>
              <w:rPr>
                <w:rFonts w:hint="default" w:ascii="Times New Roman" w:hAnsi="Times New Roman" w:eastAsia="宋体" w:cs="Times New Roman"/>
                <w:caps w:val="0"/>
                <w:snapToGrid/>
                <w:color w:val="auto"/>
                <w:spacing w:val="0"/>
                <w:w w:val="100"/>
                <w:kern w:val="21"/>
                <w:position w:val="0"/>
                <w:sz w:val="21"/>
                <w:szCs w:val="21"/>
                <w:highlight w:val="none"/>
                <w:vertAlign w:val="subscript"/>
              </w:rPr>
              <w:t>3</w:t>
            </w:r>
            <w:r>
              <w:rPr>
                <w:rFonts w:hint="default" w:ascii="Times New Roman" w:hAnsi="Times New Roman" w:eastAsia="宋体" w:cs="Times New Roman"/>
                <w:caps w:val="0"/>
                <w:snapToGrid/>
                <w:color w:val="auto"/>
                <w:spacing w:val="0"/>
                <w:w w:val="100"/>
                <w:kern w:val="21"/>
                <w:position w:val="0"/>
                <w:sz w:val="21"/>
                <w:szCs w:val="21"/>
                <w:highlight w:val="none"/>
                <w:vertAlign w:val="superscript"/>
              </w:rPr>
              <w:t>2-</w:t>
            </w:r>
            <w:r>
              <w:rPr>
                <w:rFonts w:hint="default" w:ascii="Times New Roman" w:hAnsi="Times New Roman" w:eastAsia="宋体" w:cs="Times New Roman"/>
                <w:caps w:val="0"/>
                <w:snapToGrid/>
                <w:color w:val="auto"/>
                <w:spacing w:val="0"/>
                <w:w w:val="100"/>
                <w:kern w:val="21"/>
                <w:position w:val="0"/>
                <w:sz w:val="21"/>
                <w:szCs w:val="21"/>
                <w:highlight w:val="none"/>
              </w:rPr>
              <w:t>、HCO</w:t>
            </w:r>
            <w:r>
              <w:rPr>
                <w:rFonts w:hint="default" w:ascii="Times New Roman" w:hAnsi="Times New Roman" w:eastAsia="宋体" w:cs="Times New Roman"/>
                <w:caps w:val="0"/>
                <w:snapToGrid/>
                <w:color w:val="auto"/>
                <w:spacing w:val="0"/>
                <w:w w:val="100"/>
                <w:kern w:val="21"/>
                <w:position w:val="0"/>
                <w:sz w:val="21"/>
                <w:szCs w:val="21"/>
                <w:highlight w:val="none"/>
                <w:vertAlign w:val="subscript"/>
              </w:rPr>
              <w:t>3</w:t>
            </w:r>
            <w:r>
              <w:rPr>
                <w:rFonts w:hint="default" w:ascii="Times New Roman" w:hAnsi="Times New Roman" w:eastAsia="宋体" w:cs="Times New Roman"/>
                <w:caps w:val="0"/>
                <w:snapToGrid/>
                <w:color w:val="auto"/>
                <w:spacing w:val="0"/>
                <w:w w:val="100"/>
                <w:kern w:val="21"/>
                <w:position w:val="0"/>
                <w:sz w:val="21"/>
                <w:szCs w:val="21"/>
                <w:highlight w:val="none"/>
                <w:vertAlign w:val="superscript"/>
              </w:rPr>
              <w:t>-</w:t>
            </w:r>
            <w:r>
              <w:rPr>
                <w:rFonts w:hint="default" w:ascii="Times New Roman" w:hAnsi="Times New Roman" w:eastAsia="宋体" w:cs="Times New Roman"/>
                <w:caps w:val="0"/>
                <w:snapToGrid/>
                <w:color w:val="auto"/>
                <w:spacing w:val="0"/>
                <w:w w:val="100"/>
                <w:kern w:val="21"/>
                <w:position w:val="0"/>
                <w:sz w:val="21"/>
                <w:szCs w:val="21"/>
                <w:highlight w:val="none"/>
              </w:rPr>
              <w:t>、Cl</w:t>
            </w:r>
            <w:r>
              <w:rPr>
                <w:rFonts w:hint="default" w:ascii="Times New Roman" w:hAnsi="Times New Roman" w:eastAsia="宋体" w:cs="Times New Roman"/>
                <w:caps w:val="0"/>
                <w:snapToGrid/>
                <w:color w:val="auto"/>
                <w:spacing w:val="0"/>
                <w:w w:val="100"/>
                <w:kern w:val="21"/>
                <w:position w:val="0"/>
                <w:sz w:val="21"/>
                <w:szCs w:val="21"/>
                <w:highlight w:val="none"/>
                <w:vertAlign w:val="superscript"/>
              </w:rPr>
              <w:t>-</w:t>
            </w:r>
            <w:r>
              <w:rPr>
                <w:rFonts w:hint="default" w:ascii="Times New Roman" w:hAnsi="Times New Roman" w:eastAsia="宋体" w:cs="Times New Roman"/>
                <w:caps w:val="0"/>
                <w:snapToGrid/>
                <w:color w:val="auto"/>
                <w:spacing w:val="0"/>
                <w:w w:val="100"/>
                <w:kern w:val="21"/>
                <w:position w:val="0"/>
                <w:sz w:val="21"/>
                <w:szCs w:val="21"/>
                <w:highlight w:val="none"/>
              </w:rPr>
              <w:t>、SO</w:t>
            </w:r>
            <w:r>
              <w:rPr>
                <w:rFonts w:hint="default" w:ascii="Times New Roman" w:hAnsi="Times New Roman" w:eastAsia="宋体" w:cs="Times New Roman"/>
                <w:caps w:val="0"/>
                <w:snapToGrid/>
                <w:color w:val="auto"/>
                <w:spacing w:val="0"/>
                <w:w w:val="100"/>
                <w:kern w:val="21"/>
                <w:position w:val="0"/>
                <w:sz w:val="21"/>
                <w:szCs w:val="21"/>
                <w:highlight w:val="none"/>
                <w:vertAlign w:val="subscript"/>
              </w:rPr>
              <w:t>4</w:t>
            </w:r>
            <w:r>
              <w:rPr>
                <w:rFonts w:hint="default" w:ascii="Times New Roman" w:hAnsi="Times New Roman" w:eastAsia="宋体" w:cs="Times New Roman"/>
                <w:caps w:val="0"/>
                <w:snapToGrid/>
                <w:color w:val="auto"/>
                <w:spacing w:val="0"/>
                <w:w w:val="100"/>
                <w:kern w:val="21"/>
                <w:position w:val="0"/>
                <w:sz w:val="21"/>
                <w:szCs w:val="21"/>
                <w:highlight w:val="none"/>
                <w:vertAlign w:val="superscript"/>
              </w:rPr>
              <w:t>2-</w:t>
            </w:r>
            <w:r>
              <w:rPr>
                <w:rFonts w:hint="default" w:ascii="Times New Roman" w:hAnsi="Times New Roman" w:eastAsia="宋体" w:cs="Times New Roman"/>
                <w:caps w:val="0"/>
                <w:snapToGrid/>
                <w:color w:val="auto"/>
                <w:spacing w:val="0"/>
                <w:w w:val="100"/>
                <w:kern w:val="21"/>
                <w:position w:val="0"/>
                <w:sz w:val="21"/>
                <w:szCs w:val="21"/>
                <w:highlight w:val="none"/>
              </w:rPr>
              <w:t>、</w:t>
            </w: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F</w:t>
            </w:r>
            <w:r>
              <w:rPr>
                <w:rFonts w:hint="default" w:ascii="Times New Roman" w:hAnsi="Times New Roman" w:eastAsia="宋体" w:cs="Times New Roman"/>
                <w:caps w:val="0"/>
                <w:snapToGrid/>
                <w:color w:val="auto"/>
                <w:spacing w:val="0"/>
                <w:w w:val="100"/>
                <w:kern w:val="21"/>
                <w:position w:val="0"/>
                <w:sz w:val="21"/>
                <w:szCs w:val="21"/>
                <w:highlight w:val="none"/>
                <w:vertAlign w:val="superscript"/>
                <w:lang w:val="en-US" w:eastAsia="zh-CN"/>
              </w:rPr>
              <w:t>-</w:t>
            </w: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w:t>
            </w:r>
            <w:r>
              <w:rPr>
                <w:rFonts w:hint="default" w:ascii="Times New Roman" w:hAnsi="Times New Roman" w:eastAsia="宋体" w:cs="Times New Roman"/>
                <w:caps w:val="0"/>
                <w:snapToGrid/>
                <w:color w:val="auto"/>
                <w:spacing w:val="0"/>
                <w:w w:val="100"/>
                <w:kern w:val="21"/>
                <w:position w:val="0"/>
                <w:sz w:val="21"/>
                <w:szCs w:val="21"/>
                <w:highlight w:val="none"/>
              </w:rPr>
              <w:t>氨氮、硝酸盐、亚硝酸盐、挥发性酚类、氰化物、砷、汞、铬</w:t>
            </w:r>
            <w:r>
              <w:rPr>
                <w:rFonts w:hint="default" w:ascii="Times New Roman" w:hAnsi="Times New Roman" w:eastAsia="宋体" w:cs="Times New Roman"/>
                <w:caps w:val="0"/>
                <w:snapToGrid/>
                <w:color w:val="auto"/>
                <w:spacing w:val="0"/>
                <w:w w:val="100"/>
                <w:kern w:val="21"/>
                <w:position w:val="0"/>
                <w:sz w:val="21"/>
                <w:szCs w:val="21"/>
                <w:highlight w:val="none"/>
                <w:lang w:eastAsia="zh-CN"/>
              </w:rPr>
              <w:t>（</w:t>
            </w:r>
            <w:r>
              <w:rPr>
                <w:rFonts w:hint="default" w:ascii="Times New Roman" w:hAnsi="Times New Roman" w:eastAsia="宋体" w:cs="Times New Roman"/>
                <w:caps w:val="0"/>
                <w:snapToGrid/>
                <w:color w:val="auto"/>
                <w:spacing w:val="0"/>
                <w:w w:val="100"/>
                <w:kern w:val="21"/>
                <w:position w:val="0"/>
                <w:sz w:val="21"/>
                <w:szCs w:val="21"/>
                <w:highlight w:val="none"/>
              </w:rPr>
              <w:t>六价</w:t>
            </w:r>
            <w:r>
              <w:rPr>
                <w:rFonts w:hint="default" w:ascii="Times New Roman" w:hAnsi="Times New Roman" w:eastAsia="宋体" w:cs="Times New Roman"/>
                <w:caps w:val="0"/>
                <w:snapToGrid/>
                <w:color w:val="auto"/>
                <w:spacing w:val="0"/>
                <w:w w:val="100"/>
                <w:kern w:val="21"/>
                <w:position w:val="0"/>
                <w:sz w:val="21"/>
                <w:szCs w:val="21"/>
                <w:highlight w:val="none"/>
                <w:lang w:eastAsia="zh-CN"/>
              </w:rPr>
              <w:t>）</w:t>
            </w:r>
            <w:r>
              <w:rPr>
                <w:rFonts w:hint="default" w:ascii="Times New Roman" w:hAnsi="Times New Roman" w:eastAsia="宋体" w:cs="Times New Roman"/>
                <w:caps w:val="0"/>
                <w:snapToGrid/>
                <w:color w:val="auto"/>
                <w:spacing w:val="0"/>
                <w:w w:val="100"/>
                <w:kern w:val="21"/>
                <w:position w:val="0"/>
                <w:sz w:val="21"/>
                <w:szCs w:val="21"/>
                <w:highlight w:val="none"/>
              </w:rPr>
              <w:t>、总硬度、铅、镉、铁、锰、溶解性总固体、</w:t>
            </w: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耗氧量</w:t>
            </w:r>
            <w:r>
              <w:rPr>
                <w:rFonts w:hint="eastAsia" w:cs="Times New Roman"/>
                <w:caps w:val="0"/>
                <w:snapToGrid/>
                <w:color w:val="auto"/>
                <w:spacing w:val="0"/>
                <w:w w:val="100"/>
                <w:kern w:val="21"/>
                <w:position w:val="0"/>
                <w:sz w:val="21"/>
                <w:szCs w:val="21"/>
                <w:highlight w:val="none"/>
                <w:lang w:val="en-US" w:eastAsia="zh-CN"/>
              </w:rPr>
              <w:t>（</w:t>
            </w: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高锰酸盐指数</w:t>
            </w:r>
            <w:r>
              <w:rPr>
                <w:rFonts w:hint="eastAsia" w:cs="Times New Roman"/>
                <w:caps w:val="0"/>
                <w:snapToGrid/>
                <w:color w:val="auto"/>
                <w:spacing w:val="0"/>
                <w:w w:val="100"/>
                <w:kern w:val="21"/>
                <w:position w:val="0"/>
                <w:sz w:val="21"/>
                <w:szCs w:val="21"/>
                <w:highlight w:val="none"/>
                <w:lang w:val="en-US" w:eastAsia="zh-CN"/>
              </w:rPr>
              <w:t>）</w:t>
            </w: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w:t>
            </w:r>
            <w:r>
              <w:rPr>
                <w:rFonts w:hint="default" w:ascii="Times New Roman" w:hAnsi="Times New Roman" w:eastAsia="宋体" w:cs="Times New Roman"/>
                <w:caps w:val="0"/>
                <w:snapToGrid/>
                <w:color w:val="auto"/>
                <w:spacing w:val="0"/>
                <w:w w:val="100"/>
                <w:kern w:val="21"/>
                <w:position w:val="0"/>
                <w:sz w:val="21"/>
                <w:szCs w:val="21"/>
                <w:highlight w:val="none"/>
              </w:rPr>
              <w:t>总大肠菌群、细菌总数、石油类</w:t>
            </w:r>
            <w:r>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t>。</w:t>
            </w:r>
          </w:p>
        </w:tc>
      </w:tr>
      <w:tr w14:paraId="2985A7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45" w:type="dxa"/>
            <w:left w:w="96" w:type="dxa"/>
            <w:bottom w:w="45" w:type="dxa"/>
            <w:right w:w="96" w:type="dxa"/>
          </w:tblCellMar>
        </w:tblPrEx>
        <w:trPr>
          <w:trHeight w:val="0" w:hRule="atLeast"/>
        </w:trPr>
        <w:tc>
          <w:tcPr>
            <w:tcW w:w="674" w:type="pct"/>
            <w:vMerge w:val="continue"/>
            <w:tcBorders>
              <w:tl2br w:val="nil"/>
              <w:tr2bl w:val="nil"/>
            </w:tcBorders>
            <w:noWrap w:val="0"/>
            <w:vAlign w:val="center"/>
          </w:tcPr>
          <w:p w14:paraId="1E7FFCB0">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center"/>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c>
          <w:tcPr>
            <w:tcW w:w="648" w:type="pct"/>
            <w:tcBorders>
              <w:tl2br w:val="nil"/>
              <w:tr2bl w:val="nil"/>
            </w:tcBorders>
            <w:noWrap w:val="0"/>
            <w:vAlign w:val="center"/>
          </w:tcPr>
          <w:p w14:paraId="2B519351">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center"/>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影响分析</w:t>
            </w:r>
          </w:p>
        </w:tc>
        <w:tc>
          <w:tcPr>
            <w:tcW w:w="3676" w:type="pct"/>
            <w:tcBorders>
              <w:tl2br w:val="nil"/>
              <w:tr2bl w:val="nil"/>
            </w:tcBorders>
            <w:noWrap w:val="0"/>
            <w:vAlign w:val="center"/>
          </w:tcPr>
          <w:p w14:paraId="593126BB">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left"/>
              <w:textAlignment w:val="baseline"/>
              <w:outlineLvl w:val="9"/>
              <w:rPr>
                <w:rFonts w:hint="eastAsia" w:ascii="Times New Roman" w:hAnsi="Times New Roman" w:eastAsia="宋体" w:cs="Times New Roman"/>
                <w:caps w:val="0"/>
                <w:snapToGrid/>
                <w:color w:val="auto"/>
                <w:spacing w:val="0"/>
                <w:w w:val="100"/>
                <w:kern w:val="21"/>
                <w:position w:val="0"/>
                <w:sz w:val="21"/>
                <w:szCs w:val="21"/>
                <w:highlight w:val="none"/>
                <w:lang w:val="en-US" w:eastAsia="zh"/>
              </w:rPr>
            </w:pPr>
            <w:r>
              <w:rPr>
                <w:rFonts w:hint="eastAsia" w:cs="Times New Roman"/>
                <w:caps w:val="0"/>
                <w:snapToGrid/>
                <w:color w:val="auto"/>
                <w:spacing w:val="0"/>
                <w:w w:val="100"/>
                <w:kern w:val="21"/>
                <w:position w:val="0"/>
                <w:sz w:val="21"/>
                <w:szCs w:val="21"/>
                <w:highlight w:val="none"/>
                <w:lang w:val="en-US" w:eastAsia="zh-CN"/>
              </w:rPr>
              <w:t>耗氧量</w:t>
            </w:r>
            <w:r>
              <w:rPr>
                <w:rFonts w:hint="eastAsia" w:ascii="Times New Roman" w:hAnsi="Times New Roman" w:eastAsia="宋体" w:cs="Times New Roman"/>
                <w:caps w:val="0"/>
                <w:snapToGrid/>
                <w:color w:val="auto"/>
                <w:spacing w:val="0"/>
                <w:w w:val="100"/>
                <w:kern w:val="21"/>
                <w:position w:val="0"/>
                <w:sz w:val="21"/>
                <w:szCs w:val="21"/>
                <w:highlight w:val="none"/>
                <w:lang w:val="en-US" w:eastAsia="zh"/>
              </w:rPr>
              <w:t>、氨氮</w:t>
            </w:r>
          </w:p>
        </w:tc>
      </w:tr>
      <w:tr w14:paraId="49C8D0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45" w:type="dxa"/>
            <w:left w:w="96" w:type="dxa"/>
            <w:bottom w:w="45" w:type="dxa"/>
            <w:right w:w="96" w:type="dxa"/>
          </w:tblCellMar>
        </w:tblPrEx>
        <w:trPr>
          <w:trHeight w:val="0" w:hRule="atLeast"/>
        </w:trPr>
        <w:tc>
          <w:tcPr>
            <w:tcW w:w="674" w:type="pct"/>
            <w:vMerge w:val="restart"/>
            <w:tcBorders>
              <w:tl2br w:val="nil"/>
              <w:tr2bl w:val="nil"/>
            </w:tcBorders>
            <w:noWrap w:val="0"/>
            <w:vAlign w:val="center"/>
          </w:tcPr>
          <w:p w14:paraId="02570338">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center"/>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声环境</w:t>
            </w:r>
          </w:p>
        </w:tc>
        <w:tc>
          <w:tcPr>
            <w:tcW w:w="648" w:type="pct"/>
            <w:tcBorders>
              <w:tl2br w:val="nil"/>
              <w:tr2bl w:val="nil"/>
            </w:tcBorders>
            <w:noWrap w:val="0"/>
            <w:vAlign w:val="center"/>
          </w:tcPr>
          <w:p w14:paraId="504C490F">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center"/>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现状评价</w:t>
            </w:r>
          </w:p>
        </w:tc>
        <w:tc>
          <w:tcPr>
            <w:tcW w:w="3676" w:type="pct"/>
            <w:tcBorders>
              <w:tl2br w:val="nil"/>
              <w:tr2bl w:val="nil"/>
            </w:tcBorders>
            <w:noWrap w:val="0"/>
            <w:vAlign w:val="center"/>
          </w:tcPr>
          <w:p w14:paraId="3DAD4112">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left"/>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等效连续A声级</w:t>
            </w:r>
          </w:p>
        </w:tc>
      </w:tr>
      <w:tr w14:paraId="326B81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45" w:type="dxa"/>
            <w:left w:w="96" w:type="dxa"/>
            <w:bottom w:w="45" w:type="dxa"/>
            <w:right w:w="96" w:type="dxa"/>
          </w:tblCellMar>
        </w:tblPrEx>
        <w:trPr>
          <w:trHeight w:val="0" w:hRule="atLeast"/>
        </w:trPr>
        <w:tc>
          <w:tcPr>
            <w:tcW w:w="674" w:type="pct"/>
            <w:vMerge w:val="continue"/>
            <w:tcBorders>
              <w:tl2br w:val="nil"/>
              <w:tr2bl w:val="nil"/>
            </w:tcBorders>
            <w:noWrap w:val="0"/>
            <w:vAlign w:val="center"/>
          </w:tcPr>
          <w:p w14:paraId="0E8F40F6">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center"/>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c>
          <w:tcPr>
            <w:tcW w:w="648" w:type="pct"/>
            <w:tcBorders>
              <w:tl2br w:val="nil"/>
              <w:tr2bl w:val="nil"/>
            </w:tcBorders>
            <w:noWrap w:val="0"/>
            <w:vAlign w:val="center"/>
          </w:tcPr>
          <w:p w14:paraId="49D97863">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center"/>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影响评价</w:t>
            </w:r>
          </w:p>
        </w:tc>
        <w:tc>
          <w:tcPr>
            <w:tcW w:w="3676" w:type="pct"/>
            <w:tcBorders>
              <w:tl2br w:val="nil"/>
              <w:tr2bl w:val="nil"/>
            </w:tcBorders>
            <w:noWrap w:val="0"/>
            <w:vAlign w:val="center"/>
          </w:tcPr>
          <w:p w14:paraId="0175074D">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left"/>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等效连续A声级</w:t>
            </w:r>
          </w:p>
        </w:tc>
      </w:tr>
      <w:tr w14:paraId="447F86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45" w:type="dxa"/>
            <w:left w:w="96" w:type="dxa"/>
            <w:bottom w:w="45" w:type="dxa"/>
            <w:right w:w="96" w:type="dxa"/>
          </w:tblCellMar>
        </w:tblPrEx>
        <w:trPr>
          <w:trHeight w:val="0" w:hRule="atLeast"/>
        </w:trPr>
        <w:tc>
          <w:tcPr>
            <w:tcW w:w="674" w:type="pct"/>
            <w:tcBorders>
              <w:tl2br w:val="nil"/>
              <w:tr2bl w:val="nil"/>
            </w:tcBorders>
            <w:noWrap w:val="0"/>
            <w:vAlign w:val="center"/>
          </w:tcPr>
          <w:p w14:paraId="71A28808">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center"/>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固体废物</w:t>
            </w:r>
          </w:p>
        </w:tc>
        <w:tc>
          <w:tcPr>
            <w:tcW w:w="648" w:type="pct"/>
            <w:tcBorders>
              <w:tl2br w:val="nil"/>
              <w:tr2bl w:val="nil"/>
            </w:tcBorders>
            <w:noWrap w:val="0"/>
            <w:vAlign w:val="center"/>
          </w:tcPr>
          <w:p w14:paraId="39787032">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center"/>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影响分析</w:t>
            </w:r>
          </w:p>
        </w:tc>
        <w:tc>
          <w:tcPr>
            <w:tcW w:w="3676" w:type="pct"/>
            <w:tcBorders>
              <w:tl2br w:val="nil"/>
              <w:tr2bl w:val="nil"/>
            </w:tcBorders>
            <w:noWrap w:val="0"/>
            <w:vAlign w:val="center"/>
          </w:tcPr>
          <w:p w14:paraId="76AC0F8C">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一般固废：</w:t>
            </w:r>
            <w:r>
              <w:rPr>
                <w:rFonts w:hint="eastAsia" w:cs="Times New Roman"/>
                <w:caps w:val="0"/>
                <w:snapToGrid/>
                <w:color w:val="auto"/>
                <w:spacing w:val="0"/>
                <w:w w:val="100"/>
                <w:kern w:val="21"/>
                <w:position w:val="0"/>
                <w:sz w:val="21"/>
                <w:szCs w:val="21"/>
                <w:highlight w:val="none"/>
                <w:lang w:val="en-US" w:eastAsia="zh-CN"/>
              </w:rPr>
              <w:t>生活垃圾、</w:t>
            </w:r>
            <w:r>
              <w:rPr>
                <w:rFonts w:hint="default" w:ascii="Times New Roman" w:hAnsi="Times New Roman" w:cs="Times New Roman"/>
                <w:color w:val="auto"/>
                <w:spacing w:val="0"/>
                <w:w w:val="100"/>
                <w:kern w:val="0"/>
                <w:position w:val="0"/>
                <w:sz w:val="21"/>
                <w:szCs w:val="21"/>
                <w:lang w:val="en-US" w:eastAsia="zh-CN" w:bidi="ar"/>
              </w:rPr>
              <w:t>废包装材料</w:t>
            </w:r>
            <w:r>
              <w:rPr>
                <w:rFonts w:hint="eastAsia" w:ascii="Times New Roman" w:hAnsi="Times New Roman" w:cs="Times New Roman"/>
                <w:color w:val="auto"/>
                <w:spacing w:val="0"/>
                <w:w w:val="100"/>
                <w:kern w:val="0"/>
                <w:position w:val="0"/>
                <w:sz w:val="21"/>
                <w:szCs w:val="21"/>
                <w:lang w:val="en-US" w:eastAsia="zh-CN" w:bidi="ar"/>
              </w:rPr>
              <w:t>、</w:t>
            </w:r>
            <w:r>
              <w:rPr>
                <w:rFonts w:hint="default" w:ascii="Times New Roman" w:hAnsi="Times New Roman" w:cs="Times New Roman"/>
                <w:color w:val="auto"/>
                <w:spacing w:val="0"/>
                <w:w w:val="100"/>
                <w:position w:val="0"/>
                <w:sz w:val="21"/>
                <w:szCs w:val="21"/>
                <w:highlight w:val="none"/>
                <w:lang w:val="en-US" w:eastAsia="zh-CN"/>
              </w:rPr>
              <w:t>废过滤渣和废过滤网</w:t>
            </w:r>
            <w:r>
              <w:rPr>
                <w:rFonts w:hint="eastAsia" w:ascii="Times New Roman" w:hAnsi="Times New Roman" w:cs="Times New Roman"/>
                <w:color w:val="auto"/>
                <w:spacing w:val="0"/>
                <w:w w:val="100"/>
                <w:position w:val="0"/>
                <w:sz w:val="21"/>
                <w:szCs w:val="21"/>
                <w:highlight w:val="none"/>
                <w:lang w:val="en-US" w:eastAsia="zh-CN"/>
              </w:rPr>
              <w:t>、</w:t>
            </w:r>
            <w:r>
              <w:rPr>
                <w:rFonts w:hint="default" w:ascii="Times New Roman" w:hAnsi="Times New Roman" w:cs="Times New Roman"/>
                <w:color w:val="auto"/>
                <w:spacing w:val="0"/>
                <w:w w:val="100"/>
                <w:kern w:val="0"/>
                <w:position w:val="0"/>
                <w:sz w:val="21"/>
                <w:szCs w:val="21"/>
                <w:lang w:val="en-US" w:eastAsia="zh-CN" w:bidi="ar"/>
              </w:rPr>
              <w:t>边角料</w:t>
            </w:r>
            <w:r>
              <w:rPr>
                <w:rFonts w:hint="eastAsia" w:ascii="Times New Roman" w:hAnsi="Times New Roman" w:cs="Times New Roman"/>
                <w:color w:val="auto"/>
                <w:spacing w:val="0"/>
                <w:w w:val="100"/>
                <w:kern w:val="0"/>
                <w:position w:val="0"/>
                <w:sz w:val="21"/>
                <w:szCs w:val="21"/>
                <w:lang w:val="en-US" w:eastAsia="zh-CN" w:bidi="ar"/>
              </w:rPr>
              <w:t>、</w:t>
            </w: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除尘器收集粉尘</w:t>
            </w:r>
            <w:r>
              <w:rPr>
                <w:rFonts w:hint="eastAsia" w:ascii="Times New Roman" w:hAnsi="Times New Roman" w:eastAsia="宋体" w:cs="Times New Roman"/>
                <w:caps w:val="0"/>
                <w:snapToGrid/>
                <w:color w:val="auto"/>
                <w:spacing w:val="0"/>
                <w:w w:val="100"/>
                <w:kern w:val="0"/>
                <w:position w:val="0"/>
                <w:sz w:val="21"/>
                <w:szCs w:val="21"/>
                <w:highlight w:val="none"/>
                <w:lang w:val="en-US" w:eastAsia="zh-CN"/>
              </w:rPr>
              <w:t>、</w:t>
            </w:r>
            <w:r>
              <w:rPr>
                <w:rFonts w:hint="default" w:ascii="Times New Roman" w:hAnsi="Times New Roman" w:cs="Times New Roman"/>
                <w:color w:val="auto"/>
                <w:spacing w:val="0"/>
                <w:w w:val="100"/>
                <w:kern w:val="0"/>
                <w:position w:val="0"/>
                <w:sz w:val="21"/>
                <w:szCs w:val="21"/>
                <w:lang w:val="en-US" w:eastAsia="zh-CN" w:bidi="ar"/>
              </w:rPr>
              <w:t>废布袋</w:t>
            </w:r>
            <w:r>
              <w:rPr>
                <w:rFonts w:hint="default" w:ascii="Times New Roman" w:hAnsi="Times New Roman" w:eastAsia="宋体" w:cs="Times New Roman"/>
                <w:caps w:val="0"/>
                <w:snapToGrid/>
                <w:color w:val="auto"/>
                <w:spacing w:val="0"/>
                <w:w w:val="100"/>
                <w:kern w:val="21"/>
                <w:position w:val="0"/>
                <w:sz w:val="21"/>
                <w:szCs w:val="21"/>
                <w:highlight w:val="none"/>
              </w:rPr>
              <w:t>。</w:t>
            </w:r>
          </w:p>
          <w:p w14:paraId="6E014403">
            <w:pPr>
              <w:keepNext w:val="0"/>
              <w:keepLines w:val="0"/>
              <w:pageBreakBefore w:val="0"/>
              <w:widowControl w:val="0"/>
              <w:numPr>
                <w:ilvl w:val="0"/>
                <w:numId w:val="0"/>
              </w:numPr>
              <w:suppressLineNumbers w:val="0"/>
              <w:shd w:val="clear" w:color="auto" w:fill="auto"/>
              <w:tabs>
                <w:tab w:val="left" w:pos="360"/>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危险废物：沾油废手套、抹布</w:t>
            </w:r>
            <w:r>
              <w:rPr>
                <w:rFonts w:hint="eastAsia" w:cs="Times New Roman"/>
                <w:caps w:val="0"/>
                <w:snapToGrid/>
                <w:color w:val="auto"/>
                <w:spacing w:val="0"/>
                <w:w w:val="100"/>
                <w:kern w:val="21"/>
                <w:position w:val="0"/>
                <w:sz w:val="21"/>
                <w:szCs w:val="21"/>
                <w:highlight w:val="none"/>
                <w:lang w:eastAsia="zh-CN"/>
              </w:rPr>
              <w:t>、</w:t>
            </w:r>
            <w:r>
              <w:rPr>
                <w:rFonts w:hint="default" w:ascii="Times New Roman" w:hAnsi="Times New Roman" w:eastAsia="宋体" w:cs="Times New Roman"/>
                <w:caps w:val="0"/>
                <w:snapToGrid/>
                <w:color w:val="auto"/>
                <w:spacing w:val="0"/>
                <w:w w:val="100"/>
                <w:kern w:val="21"/>
                <w:position w:val="0"/>
                <w:sz w:val="21"/>
                <w:szCs w:val="21"/>
                <w:highlight w:val="none"/>
              </w:rPr>
              <w:t>废机油</w:t>
            </w:r>
            <w:r>
              <w:rPr>
                <w:rFonts w:hint="eastAsia" w:cs="Times New Roman"/>
                <w:caps w:val="0"/>
                <w:snapToGrid/>
                <w:color w:val="auto"/>
                <w:spacing w:val="0"/>
                <w:w w:val="100"/>
                <w:kern w:val="21"/>
                <w:position w:val="0"/>
                <w:sz w:val="21"/>
                <w:szCs w:val="21"/>
                <w:highlight w:val="none"/>
                <w:lang w:eastAsia="zh-CN"/>
              </w:rPr>
              <w:t>、</w:t>
            </w:r>
            <w:r>
              <w:rPr>
                <w:rFonts w:hint="default" w:ascii="Times New Roman" w:hAnsi="Times New Roman" w:eastAsia="宋体" w:cs="Times New Roman"/>
                <w:caps w:val="0"/>
                <w:snapToGrid/>
                <w:color w:val="auto"/>
                <w:spacing w:val="0"/>
                <w:w w:val="100"/>
                <w:kern w:val="21"/>
                <w:position w:val="0"/>
                <w:sz w:val="21"/>
                <w:szCs w:val="21"/>
                <w:highlight w:val="none"/>
              </w:rPr>
              <w:t>废机油桶</w:t>
            </w:r>
            <w:r>
              <w:rPr>
                <w:rFonts w:hint="eastAsia" w:cs="Times New Roman"/>
                <w:caps w:val="0"/>
                <w:snapToGrid/>
                <w:color w:val="auto"/>
                <w:spacing w:val="0"/>
                <w:w w:val="100"/>
                <w:kern w:val="21"/>
                <w:position w:val="0"/>
                <w:sz w:val="21"/>
                <w:szCs w:val="21"/>
                <w:highlight w:val="none"/>
                <w:lang w:eastAsia="zh-CN"/>
              </w:rPr>
              <w:t>、</w:t>
            </w:r>
            <w:r>
              <w:rPr>
                <w:rFonts w:hint="default" w:ascii="Times New Roman" w:hAnsi="Times New Roman" w:eastAsia="宋体" w:cs="Times New Roman"/>
                <w:caps w:val="0"/>
                <w:snapToGrid/>
                <w:color w:val="auto"/>
                <w:spacing w:val="0"/>
                <w:w w:val="100"/>
                <w:kern w:val="21"/>
                <w:position w:val="0"/>
                <w:sz w:val="21"/>
                <w:szCs w:val="21"/>
                <w:highlight w:val="none"/>
              </w:rPr>
              <w:t>废催化剂</w:t>
            </w:r>
            <w:r>
              <w:rPr>
                <w:rFonts w:hint="eastAsia" w:cs="Times New Roman"/>
                <w:caps w:val="0"/>
                <w:snapToGrid/>
                <w:color w:val="auto"/>
                <w:spacing w:val="0"/>
                <w:w w:val="100"/>
                <w:kern w:val="21"/>
                <w:position w:val="0"/>
                <w:sz w:val="21"/>
                <w:szCs w:val="21"/>
                <w:highlight w:val="none"/>
                <w:lang w:eastAsia="zh-CN"/>
              </w:rPr>
              <w:t>、</w:t>
            </w:r>
            <w:r>
              <w:rPr>
                <w:rFonts w:hint="eastAsia" w:cs="Times New Roman"/>
                <w:caps w:val="0"/>
                <w:snapToGrid/>
                <w:color w:val="auto"/>
                <w:spacing w:val="0"/>
                <w:w w:val="100"/>
                <w:kern w:val="21"/>
                <w:position w:val="0"/>
                <w:sz w:val="21"/>
                <w:szCs w:val="21"/>
                <w:highlight w:val="none"/>
                <w:lang w:val="en-US" w:eastAsia="zh-CN"/>
              </w:rPr>
              <w:t>废过滤棉、</w:t>
            </w:r>
            <w:r>
              <w:rPr>
                <w:rFonts w:hint="default" w:ascii="Times New Roman" w:hAnsi="Times New Roman" w:eastAsia="宋体" w:cs="Times New Roman"/>
                <w:caps w:val="0"/>
                <w:snapToGrid/>
                <w:color w:val="auto"/>
                <w:spacing w:val="0"/>
                <w:w w:val="100"/>
                <w:kern w:val="21"/>
                <w:position w:val="0"/>
                <w:sz w:val="21"/>
                <w:szCs w:val="21"/>
                <w:highlight w:val="none"/>
              </w:rPr>
              <w:t>废活性炭。</w:t>
            </w:r>
          </w:p>
        </w:tc>
      </w:tr>
      <w:tr w14:paraId="05EEAE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45" w:type="dxa"/>
            <w:left w:w="96" w:type="dxa"/>
            <w:bottom w:w="45" w:type="dxa"/>
            <w:right w:w="96" w:type="dxa"/>
          </w:tblCellMar>
        </w:tblPrEx>
        <w:trPr>
          <w:trHeight w:val="0" w:hRule="atLeast"/>
        </w:trPr>
        <w:tc>
          <w:tcPr>
            <w:tcW w:w="674" w:type="pct"/>
            <w:vMerge w:val="restart"/>
            <w:tcBorders>
              <w:tl2br w:val="nil"/>
              <w:tr2bl w:val="nil"/>
            </w:tcBorders>
            <w:noWrap w:val="0"/>
            <w:vAlign w:val="center"/>
          </w:tcPr>
          <w:p w14:paraId="19D0DC2D">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center"/>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土壤</w:t>
            </w:r>
          </w:p>
        </w:tc>
        <w:tc>
          <w:tcPr>
            <w:tcW w:w="648" w:type="pct"/>
            <w:tcBorders>
              <w:tl2br w:val="nil"/>
              <w:tr2bl w:val="nil"/>
            </w:tcBorders>
            <w:noWrap w:val="0"/>
            <w:vAlign w:val="center"/>
          </w:tcPr>
          <w:p w14:paraId="2C5D36E1">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center"/>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现状评价</w:t>
            </w:r>
          </w:p>
        </w:tc>
        <w:tc>
          <w:tcPr>
            <w:tcW w:w="3676" w:type="pct"/>
            <w:tcBorders>
              <w:tl2br w:val="nil"/>
              <w:tr2bl w:val="nil"/>
            </w:tcBorders>
            <w:noWrap w:val="0"/>
            <w:vAlign w:val="center"/>
          </w:tcPr>
          <w:p w14:paraId="2FEF7AB3">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center"/>
              <w:outlineLvl w:val="9"/>
              <w:rPr>
                <w:rFonts w:hint="default" w:ascii="Times New Roman" w:hAnsi="Times New Roman" w:eastAsia="宋体" w:cs="Times New Roman"/>
                <w:caps w:val="0"/>
                <w:snapToGrid/>
                <w:color w:val="auto"/>
                <w:spacing w:val="0"/>
                <w:w w:val="100"/>
                <w:kern w:val="21"/>
                <w:position w:val="0"/>
                <w:sz w:val="21"/>
                <w:szCs w:val="21"/>
                <w:highlight w:val="none"/>
                <w:lang w:eastAsia="zh-CN"/>
              </w:rPr>
            </w:pPr>
            <w:r>
              <w:rPr>
                <w:rFonts w:hint="default" w:ascii="Times New Roman" w:hAnsi="Times New Roman" w:eastAsia="宋体" w:cs="Times New Roman"/>
                <w:caps w:val="0"/>
                <w:snapToGrid/>
                <w:color w:val="auto"/>
                <w:spacing w:val="0"/>
                <w:w w:val="100"/>
                <w:kern w:val="21"/>
                <w:position w:val="0"/>
                <w:sz w:val="21"/>
                <w:szCs w:val="21"/>
                <w:highlight w:val="none"/>
                <w:lang w:eastAsia="zh-CN"/>
              </w:rPr>
              <w:t>—</w:t>
            </w:r>
          </w:p>
        </w:tc>
      </w:tr>
      <w:tr w14:paraId="20FE29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45" w:type="dxa"/>
            <w:left w:w="96" w:type="dxa"/>
            <w:bottom w:w="45" w:type="dxa"/>
            <w:right w:w="96" w:type="dxa"/>
          </w:tblCellMar>
        </w:tblPrEx>
        <w:trPr>
          <w:trHeight w:val="0" w:hRule="atLeast"/>
        </w:trPr>
        <w:tc>
          <w:tcPr>
            <w:tcW w:w="674" w:type="pct"/>
            <w:vMerge w:val="continue"/>
            <w:tcBorders>
              <w:tl2br w:val="nil"/>
              <w:tr2bl w:val="nil"/>
            </w:tcBorders>
            <w:noWrap w:val="0"/>
            <w:vAlign w:val="center"/>
          </w:tcPr>
          <w:p w14:paraId="0E69C067">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center"/>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c>
          <w:tcPr>
            <w:tcW w:w="648" w:type="pct"/>
            <w:tcBorders>
              <w:tl2br w:val="nil"/>
              <w:tr2bl w:val="nil"/>
            </w:tcBorders>
            <w:noWrap w:val="0"/>
            <w:vAlign w:val="center"/>
          </w:tcPr>
          <w:p w14:paraId="2B086D14">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center"/>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影响评价</w:t>
            </w:r>
          </w:p>
        </w:tc>
        <w:tc>
          <w:tcPr>
            <w:tcW w:w="3676" w:type="pct"/>
            <w:tcBorders>
              <w:tl2br w:val="nil"/>
              <w:tr2bl w:val="nil"/>
            </w:tcBorders>
            <w:noWrap w:val="0"/>
            <w:vAlign w:val="center"/>
          </w:tcPr>
          <w:p w14:paraId="05254D3C">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center"/>
              <w:outlineLvl w:val="9"/>
              <w:rPr>
                <w:rFonts w:hint="default" w:ascii="Times New Roman" w:hAnsi="Times New Roman" w:eastAsia="宋体" w:cs="Times New Roman"/>
                <w:b w:val="0"/>
                <w:bCs w:val="0"/>
                <w:caps w:val="0"/>
                <w:snapToGrid/>
                <w:color w:val="auto"/>
                <w:spacing w:val="0"/>
                <w:w w:val="100"/>
                <w:kern w:val="21"/>
                <w:position w:val="0"/>
                <w:sz w:val="21"/>
                <w:szCs w:val="21"/>
                <w:highlight w:val="none"/>
                <w:lang w:eastAsia="zh-CN"/>
              </w:rPr>
            </w:pPr>
            <w:r>
              <w:rPr>
                <w:rFonts w:hint="default" w:ascii="Times New Roman" w:hAnsi="Times New Roman" w:eastAsia="宋体" w:cs="Times New Roman"/>
                <w:caps w:val="0"/>
                <w:snapToGrid/>
                <w:color w:val="auto"/>
                <w:spacing w:val="0"/>
                <w:w w:val="100"/>
                <w:kern w:val="21"/>
                <w:position w:val="0"/>
                <w:sz w:val="21"/>
                <w:szCs w:val="21"/>
                <w:highlight w:val="none"/>
                <w:lang w:eastAsia="zh-CN"/>
              </w:rPr>
              <w:t>—</w:t>
            </w:r>
          </w:p>
        </w:tc>
      </w:tr>
      <w:tr w14:paraId="2C5235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45" w:type="dxa"/>
            <w:left w:w="96" w:type="dxa"/>
            <w:bottom w:w="45" w:type="dxa"/>
            <w:right w:w="96" w:type="dxa"/>
          </w:tblCellMar>
        </w:tblPrEx>
        <w:trPr>
          <w:trHeight w:val="0" w:hRule="atLeast"/>
        </w:trPr>
        <w:tc>
          <w:tcPr>
            <w:tcW w:w="674" w:type="pct"/>
            <w:vMerge w:val="restart"/>
            <w:tcBorders>
              <w:tl2br w:val="nil"/>
              <w:tr2bl w:val="nil"/>
            </w:tcBorders>
            <w:noWrap w:val="0"/>
            <w:vAlign w:val="center"/>
          </w:tcPr>
          <w:p w14:paraId="56E20020">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center"/>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生态环境</w:t>
            </w:r>
          </w:p>
        </w:tc>
        <w:tc>
          <w:tcPr>
            <w:tcW w:w="648" w:type="pct"/>
            <w:tcBorders>
              <w:tl2br w:val="nil"/>
              <w:tr2bl w:val="nil"/>
            </w:tcBorders>
            <w:noWrap w:val="0"/>
            <w:vAlign w:val="center"/>
          </w:tcPr>
          <w:p w14:paraId="056364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现状评价</w:t>
            </w:r>
          </w:p>
        </w:tc>
        <w:tc>
          <w:tcPr>
            <w:tcW w:w="3676" w:type="pct"/>
            <w:tcBorders>
              <w:tl2br w:val="nil"/>
              <w:tr2bl w:val="nil"/>
            </w:tcBorders>
            <w:noWrap w:val="0"/>
            <w:vAlign w:val="center"/>
          </w:tcPr>
          <w:p w14:paraId="68BD0D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lang w:bidi="ar"/>
              </w:rPr>
              <w:t>动物、植物、土地利用、水土流失、生态系统</w:t>
            </w:r>
          </w:p>
        </w:tc>
      </w:tr>
      <w:tr w14:paraId="77B451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45" w:type="dxa"/>
            <w:left w:w="96" w:type="dxa"/>
            <w:bottom w:w="45" w:type="dxa"/>
            <w:right w:w="96" w:type="dxa"/>
          </w:tblCellMar>
        </w:tblPrEx>
        <w:trPr>
          <w:trHeight w:val="0" w:hRule="atLeast"/>
        </w:trPr>
        <w:tc>
          <w:tcPr>
            <w:tcW w:w="674" w:type="pct"/>
            <w:vMerge w:val="continue"/>
            <w:tcBorders>
              <w:tl2br w:val="nil"/>
              <w:tr2bl w:val="nil"/>
            </w:tcBorders>
            <w:noWrap w:val="0"/>
            <w:vAlign w:val="center"/>
          </w:tcPr>
          <w:p w14:paraId="63DA400F">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center"/>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c>
          <w:tcPr>
            <w:tcW w:w="648" w:type="pct"/>
            <w:tcBorders>
              <w:tl2br w:val="nil"/>
              <w:tr2bl w:val="nil"/>
            </w:tcBorders>
            <w:noWrap w:val="0"/>
            <w:vAlign w:val="center"/>
          </w:tcPr>
          <w:p w14:paraId="76CDB7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预测评价</w:t>
            </w:r>
          </w:p>
        </w:tc>
        <w:tc>
          <w:tcPr>
            <w:tcW w:w="3676" w:type="pct"/>
            <w:tcBorders>
              <w:tl2br w:val="nil"/>
              <w:tr2bl w:val="nil"/>
            </w:tcBorders>
            <w:noWrap w:val="0"/>
            <w:vAlign w:val="center"/>
          </w:tcPr>
          <w:p w14:paraId="7084F4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lang w:eastAsia="zh-CN"/>
              </w:rPr>
              <w:t>—</w:t>
            </w:r>
          </w:p>
        </w:tc>
      </w:tr>
      <w:tr w14:paraId="117436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45" w:type="dxa"/>
            <w:left w:w="96" w:type="dxa"/>
            <w:bottom w:w="45" w:type="dxa"/>
            <w:right w:w="96" w:type="dxa"/>
          </w:tblCellMar>
        </w:tblPrEx>
        <w:trPr>
          <w:trHeight w:val="0" w:hRule="atLeast"/>
        </w:trPr>
        <w:tc>
          <w:tcPr>
            <w:tcW w:w="674" w:type="pct"/>
            <w:tcBorders>
              <w:tl2br w:val="nil"/>
              <w:tr2bl w:val="nil"/>
            </w:tcBorders>
            <w:noWrap w:val="0"/>
            <w:vAlign w:val="center"/>
          </w:tcPr>
          <w:p w14:paraId="0CB3F33D">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center"/>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风险评价</w:t>
            </w:r>
          </w:p>
        </w:tc>
        <w:tc>
          <w:tcPr>
            <w:tcW w:w="648" w:type="pct"/>
            <w:tcBorders>
              <w:tl2br w:val="nil"/>
              <w:tr2bl w:val="nil"/>
            </w:tcBorders>
            <w:noWrap w:val="0"/>
            <w:vAlign w:val="center"/>
          </w:tcPr>
          <w:p w14:paraId="5CF6F548">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center"/>
              <w:outlineLvl w:val="9"/>
              <w:rPr>
                <w:rFonts w:hint="default" w:ascii="Times New Roman" w:hAnsi="Times New Roman" w:eastAsia="宋体" w:cs="Times New Roman"/>
                <w:caps w:val="0"/>
                <w:snapToGrid/>
                <w:color w:val="auto"/>
                <w:spacing w:val="0"/>
                <w:w w:val="100"/>
                <w:kern w:val="21"/>
                <w:position w:val="0"/>
                <w:sz w:val="21"/>
                <w:szCs w:val="21"/>
                <w:highlight w:val="none"/>
                <w:lang w:eastAsia="zh-CN"/>
              </w:rPr>
            </w:pPr>
            <w:r>
              <w:rPr>
                <w:rFonts w:hint="default" w:ascii="Times New Roman" w:hAnsi="Times New Roman" w:eastAsia="宋体" w:cs="Times New Roman"/>
                <w:caps w:val="0"/>
                <w:snapToGrid/>
                <w:color w:val="auto"/>
                <w:spacing w:val="0"/>
                <w:w w:val="100"/>
                <w:kern w:val="21"/>
                <w:position w:val="0"/>
                <w:sz w:val="21"/>
                <w:szCs w:val="21"/>
                <w:highlight w:val="none"/>
                <w:lang w:eastAsia="zh-CN"/>
              </w:rPr>
              <w:t>影响评价</w:t>
            </w:r>
          </w:p>
        </w:tc>
        <w:tc>
          <w:tcPr>
            <w:tcW w:w="3676" w:type="pct"/>
            <w:tcBorders>
              <w:tl2br w:val="nil"/>
              <w:tr2bl w:val="nil"/>
            </w:tcBorders>
            <w:noWrap w:val="0"/>
            <w:vAlign w:val="center"/>
          </w:tcPr>
          <w:p w14:paraId="231471F9">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contextualSpacing/>
              <w:jc w:val="left"/>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易燃易爆、有毒有害物质发生泄漏</w:t>
            </w:r>
            <w:r>
              <w:rPr>
                <w:rFonts w:hint="eastAsia" w:cs="Times New Roman"/>
                <w:caps w:val="0"/>
                <w:snapToGrid/>
                <w:color w:val="auto"/>
                <w:spacing w:val="0"/>
                <w:w w:val="100"/>
                <w:kern w:val="21"/>
                <w:position w:val="0"/>
                <w:sz w:val="21"/>
                <w:szCs w:val="21"/>
                <w:highlight w:val="none"/>
                <w:lang w:val="en-US" w:eastAsia="zh-CN"/>
              </w:rPr>
              <w:t>；</w:t>
            </w: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火灾、爆炸事件</w:t>
            </w:r>
            <w:r>
              <w:rPr>
                <w:rFonts w:hint="eastAsia" w:cs="Times New Roman"/>
                <w:caps w:val="0"/>
                <w:snapToGrid/>
                <w:color w:val="auto"/>
                <w:spacing w:val="0"/>
                <w:w w:val="100"/>
                <w:kern w:val="21"/>
                <w:position w:val="0"/>
                <w:sz w:val="21"/>
                <w:szCs w:val="21"/>
                <w:highlight w:val="none"/>
                <w:lang w:val="en-US" w:eastAsia="zh-CN"/>
              </w:rPr>
              <w:t>引发的次生污染物污染事件</w:t>
            </w:r>
          </w:p>
        </w:tc>
      </w:tr>
    </w:tbl>
    <w:p w14:paraId="67E49398">
      <w:pPr>
        <w:pStyle w:val="3"/>
        <w:keepNext w:val="0"/>
        <w:keepLines w:val="0"/>
        <w:pageBreakBefore w:val="0"/>
        <w:widowControl w:val="0"/>
        <w:kinsoku/>
        <w:wordWrap/>
        <w:overflowPunct/>
        <w:topLinePunct w:val="0"/>
        <w:autoSpaceDE/>
        <w:autoSpaceDN/>
        <w:bidi w:val="0"/>
        <w:adjustRightInd/>
        <w:snapToGrid/>
        <w:rPr>
          <w:rFonts w:hint="default"/>
          <w:color w:val="auto"/>
          <w:spacing w:val="0"/>
          <w:highlight w:val="none"/>
          <w:lang w:val="en-US" w:eastAsia="zh-CN"/>
        </w:rPr>
      </w:pPr>
      <w:bookmarkStart w:id="46" w:name="_Toc26857"/>
      <w:bookmarkStart w:id="47" w:name="_Toc31911"/>
      <w:bookmarkStart w:id="48" w:name="_Toc4152"/>
      <w:bookmarkStart w:id="49" w:name="_Toc21798"/>
      <w:bookmarkStart w:id="50" w:name="_Toc7505"/>
      <w:r>
        <w:rPr>
          <w:rFonts w:hint="default"/>
          <w:color w:val="auto"/>
          <w:spacing w:val="0"/>
          <w:highlight w:val="none"/>
          <w:lang w:val="en-US" w:eastAsia="zh-CN"/>
        </w:rPr>
        <w:t>2.3环境影响评价等级的划分</w:t>
      </w:r>
      <w:bookmarkEnd w:id="46"/>
      <w:bookmarkEnd w:id="47"/>
      <w:bookmarkEnd w:id="48"/>
      <w:bookmarkEnd w:id="49"/>
      <w:bookmarkEnd w:id="50"/>
    </w:p>
    <w:p w14:paraId="72BF8472">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r>
        <w:rPr>
          <w:rFonts w:hint="default"/>
          <w:color w:val="auto"/>
          <w:spacing w:val="0"/>
          <w:w w:val="100"/>
          <w:position w:val="0"/>
          <w:highlight w:val="none"/>
        </w:rPr>
        <w:t>按照《建设项目环境影响评价技术导则 总纲》（HJ2.1-2016）规定，结合本项目的特点及各环境要素环境影响评价技术导则确定本次环境影响评价的等级。</w:t>
      </w:r>
    </w:p>
    <w:p w14:paraId="421CC21B">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51" w:name="_Toc12048"/>
      <w:bookmarkStart w:id="52" w:name="_Toc7310"/>
      <w:bookmarkStart w:id="53" w:name="_Toc9111"/>
      <w:bookmarkStart w:id="54" w:name="_Toc25709"/>
      <w:bookmarkStart w:id="55" w:name="_Toc8318"/>
      <w:bookmarkStart w:id="56" w:name="_Toc22484"/>
      <w:bookmarkStart w:id="57" w:name="_Toc9735"/>
      <w:bookmarkStart w:id="58" w:name="_Toc25535"/>
      <w:bookmarkStart w:id="59" w:name="_Toc18464"/>
      <w:bookmarkStart w:id="60" w:name="_Toc15502"/>
      <w:bookmarkStart w:id="61" w:name="_Toc3612"/>
      <w:r>
        <w:rPr>
          <w:rFonts w:hint="default"/>
          <w:color w:val="auto"/>
          <w:spacing w:val="0"/>
          <w:w w:val="100"/>
          <w:position w:val="0"/>
          <w:highlight w:val="none"/>
          <w:lang w:val="en-US" w:eastAsia="zh-CN"/>
        </w:rPr>
        <w:t>2.3.1</w:t>
      </w:r>
      <w:bookmarkEnd w:id="51"/>
      <w:r>
        <w:rPr>
          <w:rFonts w:hint="default"/>
          <w:color w:val="auto"/>
          <w:spacing w:val="0"/>
          <w:w w:val="100"/>
          <w:position w:val="0"/>
          <w:highlight w:val="none"/>
          <w:lang w:val="en-US" w:eastAsia="zh-CN"/>
        </w:rPr>
        <w:t>大气环境</w:t>
      </w:r>
      <w:bookmarkEnd w:id="52"/>
      <w:bookmarkEnd w:id="53"/>
      <w:bookmarkEnd w:id="54"/>
      <w:bookmarkEnd w:id="55"/>
      <w:bookmarkEnd w:id="56"/>
      <w:bookmarkEnd w:id="57"/>
      <w:bookmarkEnd w:id="58"/>
      <w:bookmarkEnd w:id="59"/>
      <w:bookmarkEnd w:id="60"/>
      <w:bookmarkEnd w:id="61"/>
    </w:p>
    <w:p w14:paraId="15BE88E1">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r>
        <w:rPr>
          <w:rFonts w:hint="default"/>
          <w:color w:val="auto"/>
          <w:spacing w:val="0"/>
          <w:w w:val="100"/>
          <w:position w:val="0"/>
          <w:highlight w:val="none"/>
        </w:rPr>
        <w:t>根据《环境影响评价技术导则 大气环境》（HJ2.2-2018），大气环境评价工作等级判定依据如表</w:t>
      </w:r>
      <w:r>
        <w:rPr>
          <w:rFonts w:hint="default"/>
          <w:color w:val="auto"/>
          <w:spacing w:val="0"/>
          <w:w w:val="100"/>
          <w:position w:val="0"/>
          <w:highlight w:val="none"/>
          <w:lang w:eastAsia="zh-CN"/>
        </w:rPr>
        <w:t>2.3</w:t>
      </w:r>
      <w:r>
        <w:rPr>
          <w:rFonts w:hint="eastAsia"/>
          <w:color w:val="auto"/>
          <w:spacing w:val="0"/>
          <w:w w:val="100"/>
          <w:position w:val="0"/>
          <w:highlight w:val="none"/>
          <w:lang w:val="en-US" w:eastAsia="zh-CN"/>
        </w:rPr>
        <w:t>.1</w:t>
      </w:r>
      <w:r>
        <w:rPr>
          <w:rFonts w:hint="default"/>
          <w:color w:val="auto"/>
          <w:spacing w:val="0"/>
          <w:w w:val="100"/>
          <w:position w:val="0"/>
          <w:highlight w:val="none"/>
        </w:rPr>
        <w:t>-1。</w:t>
      </w:r>
    </w:p>
    <w:p w14:paraId="32640393">
      <w:pPr>
        <w:pStyle w:val="3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r>
        <w:rPr>
          <w:rFonts w:hint="default"/>
          <w:color w:val="auto"/>
          <w:spacing w:val="0"/>
          <w:w w:val="100"/>
          <w:position w:val="0"/>
          <w:highlight w:val="none"/>
        </w:rPr>
        <w:t>表</w:t>
      </w:r>
      <w:r>
        <w:rPr>
          <w:rFonts w:hint="default"/>
          <w:color w:val="auto"/>
          <w:spacing w:val="0"/>
          <w:w w:val="100"/>
          <w:position w:val="0"/>
          <w:highlight w:val="none"/>
          <w:lang w:eastAsia="zh-CN"/>
        </w:rPr>
        <w:t>2.3</w:t>
      </w:r>
      <w:r>
        <w:rPr>
          <w:rFonts w:hint="eastAsia"/>
          <w:color w:val="auto"/>
          <w:spacing w:val="0"/>
          <w:w w:val="100"/>
          <w:position w:val="0"/>
          <w:highlight w:val="none"/>
          <w:lang w:val="en-US" w:eastAsia="zh-CN"/>
        </w:rPr>
        <w:t>.1</w:t>
      </w:r>
      <w:r>
        <w:rPr>
          <w:rFonts w:hint="default"/>
          <w:color w:val="auto"/>
          <w:spacing w:val="0"/>
          <w:w w:val="100"/>
          <w:position w:val="0"/>
          <w:highlight w:val="none"/>
        </w:rPr>
        <w:t>-1</w:t>
      </w:r>
      <w:r>
        <w:rPr>
          <w:rFonts w:hint="default"/>
          <w:color w:val="auto"/>
          <w:spacing w:val="0"/>
          <w:w w:val="100"/>
          <w:position w:val="0"/>
          <w:highlight w:val="none"/>
          <w:lang w:val="en-US" w:eastAsia="zh-CN"/>
        </w:rPr>
        <w:t xml:space="preserve">  </w:t>
      </w:r>
      <w:r>
        <w:rPr>
          <w:rFonts w:hint="default"/>
          <w:color w:val="auto"/>
          <w:spacing w:val="0"/>
          <w:w w:val="100"/>
          <w:position w:val="0"/>
          <w:highlight w:val="none"/>
        </w:rPr>
        <w:t>大气环境影响评价工作等级判据</w:t>
      </w:r>
    </w:p>
    <w:tbl>
      <w:tblPr>
        <w:tblStyle w:val="25"/>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2339"/>
        <w:gridCol w:w="6613"/>
      </w:tblGrid>
      <w:tr w14:paraId="55E5E4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cantSplit/>
          <w:trHeight w:val="0" w:hRule="atLeast"/>
          <w:jc w:val="center"/>
        </w:trPr>
        <w:tc>
          <w:tcPr>
            <w:tcW w:w="1306" w:type="pct"/>
            <w:tcBorders>
              <w:tl2br w:val="nil"/>
              <w:tr2bl w:val="nil"/>
            </w:tcBorders>
            <w:noWrap w:val="0"/>
            <w:vAlign w:val="center"/>
          </w:tcPr>
          <w:p w14:paraId="7C9E6E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评价工作等级</w:t>
            </w:r>
          </w:p>
        </w:tc>
        <w:tc>
          <w:tcPr>
            <w:tcW w:w="3693" w:type="pct"/>
            <w:tcBorders>
              <w:tl2br w:val="nil"/>
              <w:tr2bl w:val="nil"/>
            </w:tcBorders>
            <w:noWrap w:val="0"/>
            <w:vAlign w:val="center"/>
          </w:tcPr>
          <w:p w14:paraId="5B9AFA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评价工作分级判据</w:t>
            </w:r>
          </w:p>
        </w:tc>
      </w:tr>
      <w:tr w14:paraId="6FC82F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cantSplit/>
          <w:trHeight w:val="0" w:hRule="atLeast"/>
          <w:jc w:val="center"/>
        </w:trPr>
        <w:tc>
          <w:tcPr>
            <w:tcW w:w="1306" w:type="pct"/>
            <w:tcBorders>
              <w:tl2br w:val="nil"/>
              <w:tr2bl w:val="nil"/>
            </w:tcBorders>
            <w:noWrap w:val="0"/>
            <w:vAlign w:val="center"/>
          </w:tcPr>
          <w:p w14:paraId="1611FD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一级评价</w:t>
            </w:r>
          </w:p>
        </w:tc>
        <w:tc>
          <w:tcPr>
            <w:tcW w:w="3693" w:type="pct"/>
            <w:tcBorders>
              <w:tl2br w:val="nil"/>
              <w:tr2bl w:val="nil"/>
            </w:tcBorders>
            <w:noWrap w:val="0"/>
            <w:vAlign w:val="center"/>
          </w:tcPr>
          <w:p w14:paraId="7E9167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P</w:t>
            </w:r>
            <w:r>
              <w:rPr>
                <w:rFonts w:hint="default" w:ascii="Times New Roman" w:hAnsi="Times New Roman" w:eastAsia="宋体" w:cs="Times New Roman"/>
                <w:caps w:val="0"/>
                <w:snapToGrid/>
                <w:color w:val="auto"/>
                <w:spacing w:val="0"/>
                <w:w w:val="100"/>
                <w:kern w:val="21"/>
                <w:position w:val="0"/>
                <w:sz w:val="21"/>
                <w:szCs w:val="21"/>
                <w:highlight w:val="none"/>
                <w:vertAlign w:val="subscript"/>
              </w:rPr>
              <w:t>max</w:t>
            </w:r>
            <w:r>
              <w:rPr>
                <w:rFonts w:hint="default" w:ascii="Times New Roman" w:hAnsi="Times New Roman" w:eastAsia="宋体" w:cs="Times New Roman"/>
                <w:caps w:val="0"/>
                <w:snapToGrid/>
                <w:color w:val="auto"/>
                <w:spacing w:val="0"/>
                <w:w w:val="100"/>
                <w:kern w:val="21"/>
                <w:position w:val="0"/>
                <w:sz w:val="21"/>
                <w:szCs w:val="21"/>
                <w:highlight w:val="none"/>
              </w:rPr>
              <w:t>≥10%</w:t>
            </w:r>
          </w:p>
        </w:tc>
      </w:tr>
      <w:tr w14:paraId="16DBAE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cantSplit/>
          <w:trHeight w:val="0" w:hRule="atLeast"/>
          <w:jc w:val="center"/>
        </w:trPr>
        <w:tc>
          <w:tcPr>
            <w:tcW w:w="1306" w:type="pct"/>
            <w:tcBorders>
              <w:tl2br w:val="nil"/>
              <w:tr2bl w:val="nil"/>
            </w:tcBorders>
            <w:noWrap w:val="0"/>
            <w:vAlign w:val="center"/>
          </w:tcPr>
          <w:p w14:paraId="4DEDCB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二级评价</w:t>
            </w:r>
          </w:p>
        </w:tc>
        <w:tc>
          <w:tcPr>
            <w:tcW w:w="3693" w:type="pct"/>
            <w:tcBorders>
              <w:tl2br w:val="nil"/>
              <w:tr2bl w:val="nil"/>
            </w:tcBorders>
            <w:noWrap w:val="0"/>
            <w:vAlign w:val="center"/>
          </w:tcPr>
          <w:p w14:paraId="66F5B6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1%≤P</w:t>
            </w:r>
            <w:r>
              <w:rPr>
                <w:rFonts w:hint="default" w:ascii="Times New Roman" w:hAnsi="Times New Roman" w:eastAsia="宋体" w:cs="Times New Roman"/>
                <w:caps w:val="0"/>
                <w:snapToGrid/>
                <w:color w:val="auto"/>
                <w:spacing w:val="0"/>
                <w:w w:val="100"/>
                <w:kern w:val="21"/>
                <w:position w:val="0"/>
                <w:sz w:val="21"/>
                <w:szCs w:val="21"/>
                <w:highlight w:val="none"/>
                <w:vertAlign w:val="subscript"/>
              </w:rPr>
              <w:t>max</w:t>
            </w:r>
            <w:r>
              <w:rPr>
                <w:rFonts w:hint="default" w:ascii="Times New Roman" w:hAnsi="Times New Roman" w:eastAsia="宋体" w:cs="Times New Roman"/>
                <w:caps w:val="0"/>
                <w:snapToGrid/>
                <w:color w:val="auto"/>
                <w:spacing w:val="0"/>
                <w:w w:val="100"/>
                <w:kern w:val="21"/>
                <w:position w:val="0"/>
                <w:sz w:val="21"/>
                <w:szCs w:val="21"/>
                <w:highlight w:val="none"/>
                <w:vertAlign w:val="subscript"/>
                <w:lang w:eastAsia="zh-CN"/>
              </w:rPr>
              <w:t>&lt;</w:t>
            </w:r>
            <w:r>
              <w:rPr>
                <w:rFonts w:hint="default" w:ascii="Times New Roman" w:hAnsi="Times New Roman" w:eastAsia="宋体" w:cs="Times New Roman"/>
                <w:caps w:val="0"/>
                <w:snapToGrid/>
                <w:color w:val="auto"/>
                <w:spacing w:val="0"/>
                <w:w w:val="100"/>
                <w:kern w:val="21"/>
                <w:position w:val="0"/>
                <w:sz w:val="21"/>
                <w:szCs w:val="21"/>
                <w:highlight w:val="none"/>
              </w:rPr>
              <w:t>10%</w:t>
            </w:r>
          </w:p>
        </w:tc>
      </w:tr>
      <w:tr w14:paraId="0B75F8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cantSplit/>
          <w:trHeight w:val="0" w:hRule="atLeast"/>
          <w:jc w:val="center"/>
        </w:trPr>
        <w:tc>
          <w:tcPr>
            <w:tcW w:w="1306" w:type="pct"/>
            <w:tcBorders>
              <w:tl2br w:val="nil"/>
              <w:tr2bl w:val="nil"/>
            </w:tcBorders>
            <w:noWrap w:val="0"/>
            <w:vAlign w:val="center"/>
          </w:tcPr>
          <w:p w14:paraId="4BDF76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三级评价</w:t>
            </w:r>
          </w:p>
        </w:tc>
        <w:tc>
          <w:tcPr>
            <w:tcW w:w="3693" w:type="pct"/>
            <w:tcBorders>
              <w:tl2br w:val="nil"/>
              <w:tr2bl w:val="nil"/>
            </w:tcBorders>
            <w:noWrap w:val="0"/>
            <w:vAlign w:val="center"/>
          </w:tcPr>
          <w:p w14:paraId="170B48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P</w:t>
            </w:r>
            <w:r>
              <w:rPr>
                <w:rFonts w:hint="default" w:ascii="Times New Roman" w:hAnsi="Times New Roman" w:eastAsia="宋体" w:cs="Times New Roman"/>
                <w:caps w:val="0"/>
                <w:snapToGrid/>
                <w:color w:val="auto"/>
                <w:spacing w:val="0"/>
                <w:w w:val="100"/>
                <w:kern w:val="21"/>
                <w:position w:val="0"/>
                <w:sz w:val="21"/>
                <w:szCs w:val="21"/>
                <w:highlight w:val="none"/>
                <w:vertAlign w:val="subscript"/>
              </w:rPr>
              <w:t>max</w:t>
            </w:r>
            <w:r>
              <w:rPr>
                <w:rFonts w:hint="default" w:ascii="Times New Roman" w:hAnsi="Times New Roman" w:eastAsia="宋体" w:cs="Times New Roman"/>
                <w:caps w:val="0"/>
                <w:snapToGrid/>
                <w:color w:val="auto"/>
                <w:spacing w:val="0"/>
                <w:w w:val="100"/>
                <w:kern w:val="21"/>
                <w:position w:val="0"/>
                <w:sz w:val="21"/>
                <w:szCs w:val="21"/>
                <w:highlight w:val="none"/>
                <w:vertAlign w:val="subscript"/>
                <w:lang w:eastAsia="zh-CN"/>
              </w:rPr>
              <w:t>&lt;</w:t>
            </w:r>
            <w:r>
              <w:rPr>
                <w:rFonts w:hint="default" w:ascii="Times New Roman" w:hAnsi="Times New Roman" w:eastAsia="宋体" w:cs="Times New Roman"/>
                <w:caps w:val="0"/>
                <w:snapToGrid/>
                <w:color w:val="auto"/>
                <w:spacing w:val="0"/>
                <w:w w:val="100"/>
                <w:kern w:val="21"/>
                <w:position w:val="0"/>
                <w:sz w:val="21"/>
                <w:szCs w:val="21"/>
                <w:highlight w:val="none"/>
              </w:rPr>
              <w:t>1%</w:t>
            </w:r>
          </w:p>
        </w:tc>
      </w:tr>
    </w:tbl>
    <w:p w14:paraId="1F8D3E81">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r>
        <w:rPr>
          <w:rFonts w:hint="default"/>
          <w:color w:val="auto"/>
          <w:spacing w:val="0"/>
          <w:w w:val="100"/>
          <w:position w:val="0"/>
          <w:highlight w:val="none"/>
        </w:rPr>
        <w:t>根据《环境影响评价技术导则</w:t>
      </w:r>
      <w:r>
        <w:rPr>
          <w:rFonts w:hint="default"/>
          <w:color w:val="auto"/>
          <w:spacing w:val="0"/>
          <w:w w:val="100"/>
          <w:position w:val="0"/>
          <w:highlight w:val="none"/>
          <w:lang w:val="en-US" w:eastAsia="zh-CN"/>
        </w:rPr>
        <w:t xml:space="preserve"> </w:t>
      </w:r>
      <w:r>
        <w:rPr>
          <w:rFonts w:hint="default"/>
          <w:color w:val="auto"/>
          <w:spacing w:val="0"/>
          <w:w w:val="100"/>
          <w:position w:val="0"/>
          <w:highlight w:val="none"/>
        </w:rPr>
        <w:t>大气环境》（HJ2.2-2018）的规定，各大气污染物的最大地面浓度占标率Pi（下标i表示第i种污染物）由下式计算：</w:t>
      </w:r>
    </w:p>
    <w:p w14:paraId="7A2D12ED">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rPr>
      </w:pPr>
      <w:r>
        <w:rPr>
          <w:rFonts w:hint="default" w:ascii="Times New Roman" w:hAnsi="Times New Roman" w:eastAsia="宋体" w:cs="Times New Roman"/>
          <w:caps w:val="0"/>
          <w:snapToGrid/>
          <w:color w:val="auto"/>
          <w:spacing w:val="0"/>
          <w:w w:val="100"/>
          <w:kern w:val="21"/>
          <w:position w:val="0"/>
          <w:sz w:val="24"/>
          <w:szCs w:val="24"/>
          <w:highlight w:val="none"/>
        </w:rPr>
        <w:object>
          <v:shape id="_x0000_i1025" o:spt="75" type="#_x0000_t75" style="height:35.1pt;width:82.6pt;" o:ole="t" filled="f" o:preferrelative="t" stroked="f" coordsize="21600,21600">
            <v:path/>
            <v:fill on="f" focussize="0,0"/>
            <v:stroke on="f"/>
            <v:imagedata r:id="rId17" o:title=""/>
            <o:lock v:ext="edit" aspectratio="t"/>
            <w10:wrap type="none"/>
            <w10:anchorlock/>
          </v:shape>
          <o:OLEObject Type="Embed" ProgID="Equation.3" ShapeID="_x0000_i1025" DrawAspect="Content" ObjectID="_1468075725" r:id="rId16">
            <o:LockedField>false</o:LockedField>
          </o:OLEObject>
        </w:object>
      </w:r>
    </w:p>
    <w:p w14:paraId="6DAE55E4">
      <w:pPr>
        <w:keepNext w:val="0"/>
        <w:keepLines w:val="0"/>
        <w:pageBreakBefore w:val="0"/>
        <w:widowControl w:val="0"/>
        <w:kinsoku/>
        <w:wordWrap/>
        <w:overflowPunct/>
        <w:topLinePunct w:val="0"/>
        <w:autoSpaceDE/>
        <w:autoSpaceDN/>
        <w:bidi w:val="0"/>
        <w:adjustRightInd/>
        <w:snapToGrid/>
        <w:ind w:left="0" w:leftChars="0" w:right="0" w:rightChars="0" w:firstLine="480"/>
        <w:textAlignment w:val="auto"/>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szCs w:val="24"/>
          <w:highlight w:val="none"/>
        </w:rPr>
        <w:t>式中：</w:t>
      </w:r>
      <w:r>
        <w:rPr>
          <w:rFonts w:hint="default" w:ascii="Times New Roman" w:hAnsi="Times New Roman" w:eastAsia="宋体" w:cs="Times New Roman"/>
          <w:caps w:val="0"/>
          <w:snapToGrid/>
          <w:color w:val="auto"/>
          <w:spacing w:val="0"/>
          <w:w w:val="100"/>
          <w:kern w:val="21"/>
          <w:position w:val="0"/>
          <w:highlight w:val="none"/>
        </w:rPr>
        <w:t>P</w:t>
      </w:r>
      <w:r>
        <w:rPr>
          <w:rFonts w:hint="default" w:ascii="Times New Roman" w:hAnsi="Times New Roman" w:eastAsia="宋体" w:cs="Times New Roman"/>
          <w:caps w:val="0"/>
          <w:snapToGrid/>
          <w:color w:val="auto"/>
          <w:spacing w:val="0"/>
          <w:w w:val="100"/>
          <w:kern w:val="21"/>
          <w:position w:val="0"/>
          <w:highlight w:val="none"/>
          <w:vertAlign w:val="subscript"/>
        </w:rPr>
        <w:t>i</w:t>
      </w:r>
      <w:r>
        <w:rPr>
          <w:rFonts w:hint="default" w:ascii="Times New Roman" w:hAnsi="Times New Roman" w:eastAsia="宋体" w:cs="Times New Roman"/>
          <w:caps w:val="0"/>
          <w:snapToGrid/>
          <w:color w:val="auto"/>
          <w:spacing w:val="0"/>
          <w:w w:val="100"/>
          <w:kern w:val="21"/>
          <w:position w:val="0"/>
          <w:highlight w:val="none"/>
        </w:rPr>
        <w:t>—第i个污染物最大地面空气质量浓度占标率，%；</w:t>
      </w:r>
    </w:p>
    <w:p w14:paraId="55DA85CC">
      <w:pPr>
        <w:keepNext w:val="0"/>
        <w:keepLines w:val="0"/>
        <w:pageBreakBefore w:val="0"/>
        <w:widowControl w:val="0"/>
        <w:kinsoku/>
        <w:wordWrap/>
        <w:overflowPunct/>
        <w:topLinePunct w:val="0"/>
        <w:autoSpaceDE/>
        <w:autoSpaceDN/>
        <w:bidi w:val="0"/>
        <w:adjustRightInd/>
        <w:snapToGrid/>
        <w:ind w:left="0" w:leftChars="0" w:right="0" w:rightChars="0" w:firstLine="1200" w:firstLineChars="500"/>
        <w:textAlignment w:val="auto"/>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C</w:t>
      </w:r>
      <w:r>
        <w:rPr>
          <w:rFonts w:hint="default" w:ascii="Times New Roman" w:hAnsi="Times New Roman" w:eastAsia="宋体" w:cs="Times New Roman"/>
          <w:caps w:val="0"/>
          <w:snapToGrid/>
          <w:color w:val="auto"/>
          <w:spacing w:val="0"/>
          <w:w w:val="100"/>
          <w:kern w:val="21"/>
          <w:position w:val="0"/>
          <w:highlight w:val="none"/>
          <w:vertAlign w:val="subscript"/>
        </w:rPr>
        <w:t>i</w:t>
      </w:r>
      <w:r>
        <w:rPr>
          <w:rFonts w:hint="default" w:ascii="Times New Roman" w:hAnsi="Times New Roman" w:eastAsia="宋体" w:cs="Times New Roman"/>
          <w:caps w:val="0"/>
          <w:snapToGrid/>
          <w:color w:val="auto"/>
          <w:spacing w:val="0"/>
          <w:w w:val="100"/>
          <w:kern w:val="21"/>
          <w:position w:val="0"/>
          <w:highlight w:val="none"/>
        </w:rPr>
        <w:t>—采用估算模型计算出的第i个污染物的最大1h地面空气质量浓度，</w:t>
      </w:r>
      <w:r>
        <w:rPr>
          <w:rFonts w:hint="default" w:ascii="Times New Roman" w:hAnsi="Times New Roman" w:eastAsia="宋体" w:cs="Times New Roman"/>
          <w:caps w:val="0"/>
          <w:snapToGrid/>
          <w:color w:val="auto"/>
          <w:spacing w:val="0"/>
          <w:w w:val="100"/>
          <w:kern w:val="21"/>
          <w:position w:val="0"/>
          <w:highlight w:val="none"/>
          <w:lang w:eastAsia="zh-CN"/>
        </w:rPr>
        <w:t>μg/</w:t>
      </w:r>
      <w:r>
        <w:rPr>
          <w:rFonts w:hint="eastAsia" w:ascii="Times New Roman" w:hAnsi="Times New Roman" w:eastAsia="宋体" w:cs="Times New Roman"/>
          <w:caps w:val="0"/>
          <w:snapToGrid/>
          <w:color w:val="auto"/>
          <w:spacing w:val="0"/>
          <w:w w:val="100"/>
          <w:kern w:val="21"/>
          <w:position w:val="0"/>
          <w:highlight w:val="none"/>
          <w:lang w:eastAsia="zh-CN"/>
        </w:rPr>
        <w:t>m</w:t>
      </w:r>
      <w:r>
        <w:rPr>
          <w:rFonts w:hint="eastAsia" w:ascii="Times New Roman" w:hAnsi="Times New Roman" w:eastAsia="宋体" w:cs="Times New Roman"/>
          <w:caps w:val="0"/>
          <w:snapToGrid/>
          <w:color w:val="auto"/>
          <w:spacing w:val="0"/>
          <w:w w:val="100"/>
          <w:kern w:val="21"/>
          <w:position w:val="0"/>
          <w:highlight w:val="none"/>
          <w:vertAlign w:val="superscript"/>
          <w:lang w:eastAsia="zh-CN"/>
        </w:rPr>
        <w:t>3</w:t>
      </w:r>
      <w:r>
        <w:rPr>
          <w:rFonts w:hint="default" w:ascii="Times New Roman" w:hAnsi="Times New Roman" w:eastAsia="宋体" w:cs="Times New Roman"/>
          <w:caps w:val="0"/>
          <w:snapToGrid/>
          <w:color w:val="auto"/>
          <w:spacing w:val="0"/>
          <w:w w:val="100"/>
          <w:kern w:val="21"/>
          <w:position w:val="0"/>
          <w:highlight w:val="none"/>
        </w:rPr>
        <w:t>；</w:t>
      </w:r>
    </w:p>
    <w:p w14:paraId="4CF8D513">
      <w:pPr>
        <w:keepNext w:val="0"/>
        <w:keepLines w:val="0"/>
        <w:pageBreakBefore w:val="0"/>
        <w:widowControl w:val="0"/>
        <w:kinsoku/>
        <w:wordWrap/>
        <w:overflowPunct/>
        <w:topLinePunct w:val="0"/>
        <w:autoSpaceDE/>
        <w:autoSpaceDN/>
        <w:bidi w:val="0"/>
        <w:adjustRightInd/>
        <w:snapToGrid/>
        <w:ind w:left="0" w:leftChars="0" w:right="0" w:rightChars="0" w:firstLine="1200" w:firstLineChars="500"/>
        <w:textAlignment w:val="auto"/>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C</w:t>
      </w:r>
      <w:r>
        <w:rPr>
          <w:rFonts w:hint="default" w:ascii="Times New Roman" w:hAnsi="Times New Roman" w:eastAsia="宋体" w:cs="Times New Roman"/>
          <w:caps w:val="0"/>
          <w:snapToGrid/>
          <w:color w:val="auto"/>
          <w:spacing w:val="0"/>
          <w:w w:val="100"/>
          <w:kern w:val="21"/>
          <w:position w:val="0"/>
          <w:highlight w:val="none"/>
          <w:vertAlign w:val="subscript"/>
        </w:rPr>
        <w:t>0i</w:t>
      </w:r>
      <w:r>
        <w:rPr>
          <w:rFonts w:hint="default" w:ascii="Times New Roman" w:hAnsi="Times New Roman" w:eastAsia="宋体" w:cs="Times New Roman"/>
          <w:caps w:val="0"/>
          <w:snapToGrid/>
          <w:color w:val="auto"/>
          <w:spacing w:val="0"/>
          <w:w w:val="100"/>
          <w:kern w:val="21"/>
          <w:position w:val="0"/>
          <w:highlight w:val="none"/>
        </w:rPr>
        <w:t>—第i个污染物的环境空气质量浓度标准，</w:t>
      </w:r>
      <w:r>
        <w:rPr>
          <w:rFonts w:hint="default" w:ascii="Times New Roman" w:hAnsi="Times New Roman" w:eastAsia="宋体" w:cs="Times New Roman"/>
          <w:caps w:val="0"/>
          <w:snapToGrid/>
          <w:color w:val="auto"/>
          <w:spacing w:val="0"/>
          <w:w w:val="100"/>
          <w:kern w:val="21"/>
          <w:position w:val="0"/>
          <w:highlight w:val="none"/>
          <w:lang w:eastAsia="zh-CN"/>
        </w:rPr>
        <w:t>μg/m</w:t>
      </w:r>
      <w:r>
        <w:rPr>
          <w:rFonts w:hint="default" w:ascii="Times New Roman" w:hAnsi="Times New Roman" w:eastAsia="宋体" w:cs="Times New Roman"/>
          <w:caps w:val="0"/>
          <w:snapToGrid/>
          <w:color w:val="auto"/>
          <w:spacing w:val="0"/>
          <w:w w:val="100"/>
          <w:kern w:val="21"/>
          <w:position w:val="0"/>
          <w:highlight w:val="none"/>
          <w:vertAlign w:val="superscript"/>
          <w:lang w:eastAsia="zh-CN"/>
        </w:rPr>
        <w:t>3</w:t>
      </w:r>
      <w:r>
        <w:rPr>
          <w:rFonts w:hint="default" w:ascii="Times New Roman" w:hAnsi="Times New Roman" w:eastAsia="宋体" w:cs="Times New Roman"/>
          <w:caps w:val="0"/>
          <w:snapToGrid/>
          <w:color w:val="auto"/>
          <w:spacing w:val="0"/>
          <w:w w:val="100"/>
          <w:kern w:val="21"/>
          <w:position w:val="0"/>
          <w:highlight w:val="none"/>
        </w:rPr>
        <w:t>。</w:t>
      </w:r>
    </w:p>
    <w:p w14:paraId="38CB57CD">
      <w:pPr>
        <w:keepNext w:val="0"/>
        <w:keepLines w:val="0"/>
        <w:pageBreakBefore w:val="0"/>
        <w:widowControl w:val="0"/>
        <w:kinsoku/>
        <w:wordWrap/>
        <w:overflowPunct/>
        <w:topLinePunct w:val="0"/>
        <w:autoSpaceDE/>
        <w:autoSpaceDN/>
        <w:bidi w:val="0"/>
        <w:adjustRightInd/>
        <w:snapToGrid/>
        <w:ind w:left="0" w:leftChars="0" w:right="0" w:rightChars="0" w:firstLine="480"/>
        <w:textAlignment w:val="auto"/>
        <w:outlineLvl w:val="9"/>
        <w:rPr>
          <w:rFonts w:hint="default" w:ascii="Times New Roman" w:hAnsi="Times New Roman" w:eastAsia="宋体" w:cs="Times New Roman"/>
          <w:caps w:val="0"/>
          <w:snapToGrid/>
          <w:color w:val="auto"/>
          <w:spacing w:val="0"/>
          <w:w w:val="100"/>
          <w:kern w:val="21"/>
          <w:position w:val="0"/>
          <w:sz w:val="24"/>
          <w:highlight w:val="none"/>
        </w:rPr>
      </w:pPr>
      <w:r>
        <w:rPr>
          <w:rFonts w:hint="default" w:ascii="Times New Roman" w:hAnsi="Times New Roman" w:eastAsia="宋体" w:cs="Times New Roman"/>
          <w:caps w:val="0"/>
          <w:snapToGrid/>
          <w:color w:val="auto"/>
          <w:spacing w:val="0"/>
          <w:w w:val="100"/>
          <w:kern w:val="21"/>
          <w:position w:val="0"/>
          <w:sz w:val="24"/>
          <w:highlight w:val="none"/>
        </w:rPr>
        <w:t>其中C</w:t>
      </w:r>
      <w:r>
        <w:rPr>
          <w:rFonts w:hint="default" w:ascii="Times New Roman" w:hAnsi="Times New Roman" w:eastAsia="宋体" w:cs="Times New Roman"/>
          <w:caps w:val="0"/>
          <w:snapToGrid/>
          <w:color w:val="auto"/>
          <w:spacing w:val="0"/>
          <w:w w:val="100"/>
          <w:kern w:val="21"/>
          <w:position w:val="0"/>
          <w:sz w:val="24"/>
          <w:highlight w:val="none"/>
          <w:vertAlign w:val="subscript"/>
        </w:rPr>
        <w:t>0i</w:t>
      </w:r>
      <w:r>
        <w:rPr>
          <w:rFonts w:hint="default" w:ascii="Times New Roman" w:hAnsi="Times New Roman" w:eastAsia="宋体" w:cs="Times New Roman"/>
          <w:caps w:val="0"/>
          <w:snapToGrid/>
          <w:color w:val="auto"/>
          <w:spacing w:val="0"/>
          <w:w w:val="100"/>
          <w:kern w:val="21"/>
          <w:position w:val="0"/>
          <w:sz w:val="24"/>
          <w:highlight w:val="none"/>
        </w:rPr>
        <w:t>一般选用GB3095中1h平均质量浓度的二级浓度限值；如项目位于一类环境空气功能区，应选择相应的一级浓度限值；对该标准中未包含的污染物，使用《环境影响评价技术导则</w:t>
      </w:r>
      <w:r>
        <w:rPr>
          <w:rFonts w:hint="default" w:ascii="Times New Roman" w:hAnsi="Times New Roman" w:eastAsia="宋体" w:cs="Times New Roman"/>
          <w:caps w:val="0"/>
          <w:snapToGrid/>
          <w:color w:val="auto"/>
          <w:spacing w:val="0"/>
          <w:w w:val="100"/>
          <w:kern w:val="21"/>
          <w:position w:val="0"/>
          <w:sz w:val="24"/>
          <w:highlight w:val="none"/>
          <w:lang w:val="en-US" w:eastAsia="zh-CN"/>
        </w:rPr>
        <w:t xml:space="preserve"> </w:t>
      </w:r>
      <w:r>
        <w:rPr>
          <w:rFonts w:hint="default" w:ascii="Times New Roman" w:hAnsi="Times New Roman" w:eastAsia="宋体" w:cs="Times New Roman"/>
          <w:caps w:val="0"/>
          <w:snapToGrid/>
          <w:color w:val="auto"/>
          <w:spacing w:val="0"/>
          <w:w w:val="100"/>
          <w:kern w:val="21"/>
          <w:position w:val="0"/>
          <w:sz w:val="24"/>
          <w:highlight w:val="none"/>
        </w:rPr>
        <w:t>大气环境》</w:t>
      </w:r>
      <w:r>
        <w:rPr>
          <w:rFonts w:hint="default" w:ascii="Times New Roman" w:hAnsi="Times New Roman" w:eastAsia="宋体" w:cs="Times New Roman"/>
          <w:caps w:val="0"/>
          <w:snapToGrid/>
          <w:color w:val="auto"/>
          <w:spacing w:val="0"/>
          <w:w w:val="100"/>
          <w:kern w:val="21"/>
          <w:position w:val="0"/>
          <w:sz w:val="24"/>
          <w:highlight w:val="none"/>
          <w:lang w:eastAsia="zh-CN"/>
        </w:rPr>
        <w:t>（</w:t>
      </w:r>
      <w:r>
        <w:rPr>
          <w:rFonts w:hint="default" w:ascii="Times New Roman" w:hAnsi="Times New Roman" w:eastAsia="宋体" w:cs="Times New Roman"/>
          <w:caps w:val="0"/>
          <w:snapToGrid/>
          <w:color w:val="auto"/>
          <w:spacing w:val="0"/>
          <w:w w:val="100"/>
          <w:kern w:val="21"/>
          <w:position w:val="0"/>
          <w:sz w:val="24"/>
          <w:highlight w:val="none"/>
        </w:rPr>
        <w:t>HJ2.2-2018</w:t>
      </w:r>
      <w:r>
        <w:rPr>
          <w:rFonts w:hint="default" w:ascii="Times New Roman" w:hAnsi="Times New Roman" w:eastAsia="宋体" w:cs="Times New Roman"/>
          <w:caps w:val="0"/>
          <w:snapToGrid/>
          <w:color w:val="auto"/>
          <w:spacing w:val="0"/>
          <w:w w:val="100"/>
          <w:kern w:val="21"/>
          <w:position w:val="0"/>
          <w:sz w:val="24"/>
          <w:highlight w:val="none"/>
          <w:lang w:eastAsia="zh-CN"/>
        </w:rPr>
        <w:t>）</w:t>
      </w:r>
      <w:r>
        <w:rPr>
          <w:rFonts w:hint="default" w:ascii="Times New Roman" w:hAnsi="Times New Roman" w:eastAsia="宋体" w:cs="Times New Roman"/>
          <w:caps w:val="0"/>
          <w:snapToGrid/>
          <w:color w:val="auto"/>
          <w:spacing w:val="0"/>
          <w:w w:val="100"/>
          <w:kern w:val="21"/>
          <w:position w:val="0"/>
          <w:sz w:val="24"/>
          <w:highlight w:val="none"/>
        </w:rPr>
        <w:t>中5.2确定的各评价因子1h平均质量浓度限值。对仅有8h平均质量浓度限值、日平均质量浓度限值或年平均质量浓度限值的，可分别按2倍、3倍、6倍折算为1h平均质量浓度限值。</w:t>
      </w:r>
    </w:p>
    <w:p w14:paraId="5634DBCC">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szCs w:val="24"/>
          <w:highlight w:val="none"/>
        </w:rPr>
        <w:t>根据工程分析，</w:t>
      </w:r>
      <w:r>
        <w:rPr>
          <w:rFonts w:hint="default" w:ascii="Times New Roman" w:hAnsi="Times New Roman" w:eastAsia="宋体" w:cs="Times New Roman"/>
          <w:caps w:val="0"/>
          <w:snapToGrid/>
          <w:color w:val="auto"/>
          <w:spacing w:val="0"/>
          <w:w w:val="100"/>
          <w:kern w:val="21"/>
          <w:position w:val="0"/>
          <w:highlight w:val="none"/>
        </w:rPr>
        <w:t>通过</w:t>
      </w:r>
      <w:bookmarkStart w:id="62" w:name="OLE_LINK2"/>
      <w:r>
        <w:rPr>
          <w:rFonts w:hint="default" w:ascii="Times New Roman" w:hAnsi="Times New Roman" w:eastAsia="宋体" w:cs="Times New Roman"/>
          <w:caps w:val="0"/>
          <w:snapToGrid/>
          <w:color w:val="auto"/>
          <w:spacing w:val="0"/>
          <w:w w:val="100"/>
          <w:kern w:val="21"/>
          <w:position w:val="0"/>
          <w:highlight w:val="none"/>
        </w:rPr>
        <w:t>采用AERSCREEN进行估算</w:t>
      </w:r>
      <w:r>
        <w:rPr>
          <w:rFonts w:hint="eastAsia" w:cs="Times New Roman"/>
          <w:caps w:val="0"/>
          <w:snapToGrid/>
          <w:color w:val="auto"/>
          <w:spacing w:val="0"/>
          <w:w w:val="100"/>
          <w:kern w:val="21"/>
          <w:position w:val="0"/>
          <w:highlight w:val="none"/>
          <w:lang w:val="en-US" w:eastAsia="zh-CN"/>
        </w:rPr>
        <w:t>污染物</w:t>
      </w:r>
      <w:bookmarkEnd w:id="62"/>
      <w:r>
        <w:rPr>
          <w:rFonts w:hint="default" w:ascii="Times New Roman" w:hAnsi="Times New Roman" w:eastAsia="宋体" w:cs="Times New Roman"/>
          <w:caps w:val="0"/>
          <w:snapToGrid/>
          <w:color w:val="auto"/>
          <w:spacing w:val="0"/>
          <w:w w:val="100"/>
          <w:kern w:val="21"/>
          <w:position w:val="0"/>
          <w:highlight w:val="none"/>
        </w:rPr>
        <w:t>的最大地面浓度达到标准限值10%时所对应的最远距离D</w:t>
      </w:r>
      <w:r>
        <w:rPr>
          <w:rFonts w:hint="default" w:ascii="Times New Roman" w:hAnsi="Times New Roman" w:eastAsia="宋体" w:cs="Times New Roman"/>
          <w:caps w:val="0"/>
          <w:snapToGrid/>
          <w:color w:val="auto"/>
          <w:spacing w:val="0"/>
          <w:w w:val="100"/>
          <w:kern w:val="21"/>
          <w:position w:val="0"/>
          <w:highlight w:val="none"/>
          <w:vertAlign w:val="subscript"/>
        </w:rPr>
        <w:t>10%</w:t>
      </w:r>
      <w:r>
        <w:rPr>
          <w:rFonts w:hint="default" w:ascii="Times New Roman" w:hAnsi="Times New Roman" w:eastAsia="宋体" w:cs="Times New Roman"/>
          <w:caps w:val="0"/>
          <w:snapToGrid/>
          <w:color w:val="auto"/>
          <w:spacing w:val="0"/>
          <w:w w:val="100"/>
          <w:kern w:val="21"/>
          <w:position w:val="0"/>
          <w:highlight w:val="none"/>
        </w:rPr>
        <w:t>。</w:t>
      </w:r>
      <w:r>
        <w:rPr>
          <w:rFonts w:hint="default" w:ascii="Times New Roman" w:hAnsi="Times New Roman" w:eastAsia="宋体" w:cs="Times New Roman"/>
          <w:caps w:val="0"/>
          <w:snapToGrid/>
          <w:color w:val="auto"/>
          <w:spacing w:val="0"/>
          <w:w w:val="100"/>
          <w:kern w:val="21"/>
          <w:position w:val="0"/>
          <w:szCs w:val="24"/>
          <w:highlight w:val="none"/>
        </w:rPr>
        <w:t>本项目估算模型参数表见表</w:t>
      </w:r>
      <w:r>
        <w:rPr>
          <w:rFonts w:hint="default" w:ascii="Times New Roman" w:hAnsi="Times New Roman" w:eastAsia="宋体" w:cs="Times New Roman"/>
          <w:caps w:val="0"/>
          <w:snapToGrid/>
          <w:color w:val="auto"/>
          <w:spacing w:val="0"/>
          <w:w w:val="100"/>
          <w:kern w:val="21"/>
          <w:position w:val="0"/>
          <w:szCs w:val="24"/>
          <w:highlight w:val="none"/>
          <w:lang w:eastAsia="zh-CN"/>
        </w:rPr>
        <w:t>2.3</w:t>
      </w:r>
      <w:r>
        <w:rPr>
          <w:rFonts w:hint="eastAsia" w:cs="Times New Roman"/>
          <w:caps w:val="0"/>
          <w:snapToGrid/>
          <w:color w:val="auto"/>
          <w:spacing w:val="0"/>
          <w:w w:val="100"/>
          <w:kern w:val="21"/>
          <w:position w:val="0"/>
          <w:szCs w:val="24"/>
          <w:highlight w:val="none"/>
          <w:lang w:val="en-US" w:eastAsia="zh-CN"/>
        </w:rPr>
        <w:t>.1-2、</w:t>
      </w:r>
      <w:r>
        <w:rPr>
          <w:rFonts w:hint="default" w:ascii="Times New Roman" w:hAnsi="Times New Roman" w:eastAsia="宋体" w:cs="Times New Roman"/>
          <w:caps w:val="0"/>
          <w:snapToGrid/>
          <w:color w:val="auto"/>
          <w:spacing w:val="0"/>
          <w:w w:val="100"/>
          <w:kern w:val="21"/>
          <w:position w:val="0"/>
          <w:szCs w:val="24"/>
          <w:highlight w:val="none"/>
          <w:lang w:eastAsia="zh-CN"/>
        </w:rPr>
        <w:t>2.3</w:t>
      </w:r>
      <w:r>
        <w:rPr>
          <w:rFonts w:hint="eastAsia" w:cs="Times New Roman"/>
          <w:caps w:val="0"/>
          <w:snapToGrid/>
          <w:color w:val="auto"/>
          <w:spacing w:val="0"/>
          <w:w w:val="100"/>
          <w:kern w:val="21"/>
          <w:position w:val="0"/>
          <w:szCs w:val="24"/>
          <w:highlight w:val="none"/>
          <w:lang w:val="en-US" w:eastAsia="zh-CN"/>
        </w:rPr>
        <w:t>.1-3、</w:t>
      </w:r>
      <w:r>
        <w:rPr>
          <w:rFonts w:hint="default" w:ascii="Times New Roman" w:hAnsi="Times New Roman" w:eastAsia="宋体" w:cs="Times New Roman"/>
          <w:caps w:val="0"/>
          <w:snapToGrid/>
          <w:color w:val="auto"/>
          <w:spacing w:val="0"/>
          <w:w w:val="100"/>
          <w:kern w:val="21"/>
          <w:position w:val="0"/>
          <w:szCs w:val="24"/>
          <w:highlight w:val="none"/>
          <w:lang w:eastAsia="zh-CN"/>
        </w:rPr>
        <w:t>2.3</w:t>
      </w:r>
      <w:r>
        <w:rPr>
          <w:rFonts w:hint="eastAsia" w:cs="Times New Roman"/>
          <w:caps w:val="0"/>
          <w:snapToGrid/>
          <w:color w:val="auto"/>
          <w:spacing w:val="0"/>
          <w:w w:val="100"/>
          <w:kern w:val="21"/>
          <w:position w:val="0"/>
          <w:szCs w:val="24"/>
          <w:highlight w:val="none"/>
          <w:lang w:val="en-US" w:eastAsia="zh-CN"/>
        </w:rPr>
        <w:t>.1-4</w:t>
      </w:r>
      <w:r>
        <w:rPr>
          <w:rFonts w:hint="default" w:ascii="Times New Roman" w:hAnsi="Times New Roman" w:eastAsia="宋体" w:cs="Times New Roman"/>
          <w:caps w:val="0"/>
          <w:snapToGrid/>
          <w:color w:val="auto"/>
          <w:spacing w:val="0"/>
          <w:w w:val="100"/>
          <w:kern w:val="21"/>
          <w:position w:val="0"/>
          <w:szCs w:val="24"/>
          <w:highlight w:val="none"/>
        </w:rPr>
        <w:t>，具体计算结果见表</w:t>
      </w:r>
      <w:r>
        <w:rPr>
          <w:rFonts w:hint="default" w:ascii="Times New Roman" w:hAnsi="Times New Roman" w:eastAsia="宋体" w:cs="Times New Roman"/>
          <w:caps w:val="0"/>
          <w:snapToGrid/>
          <w:color w:val="auto"/>
          <w:spacing w:val="0"/>
          <w:w w:val="100"/>
          <w:kern w:val="21"/>
          <w:position w:val="0"/>
          <w:szCs w:val="24"/>
          <w:highlight w:val="none"/>
          <w:lang w:eastAsia="zh-CN"/>
        </w:rPr>
        <w:t>2.3</w:t>
      </w:r>
      <w:r>
        <w:rPr>
          <w:rFonts w:hint="eastAsia" w:cs="Times New Roman"/>
          <w:caps w:val="0"/>
          <w:snapToGrid/>
          <w:color w:val="auto"/>
          <w:spacing w:val="0"/>
          <w:w w:val="100"/>
          <w:kern w:val="21"/>
          <w:position w:val="0"/>
          <w:szCs w:val="24"/>
          <w:highlight w:val="none"/>
          <w:lang w:val="en-US" w:eastAsia="zh-CN"/>
        </w:rPr>
        <w:t>.1-5</w:t>
      </w:r>
      <w:r>
        <w:rPr>
          <w:rFonts w:hint="default" w:ascii="Times New Roman" w:hAnsi="Times New Roman" w:eastAsia="宋体" w:cs="Times New Roman"/>
          <w:caps w:val="0"/>
          <w:snapToGrid/>
          <w:color w:val="auto"/>
          <w:spacing w:val="0"/>
          <w:w w:val="100"/>
          <w:kern w:val="21"/>
          <w:position w:val="0"/>
          <w:szCs w:val="24"/>
          <w:highlight w:val="none"/>
        </w:rPr>
        <w:t>。</w:t>
      </w:r>
    </w:p>
    <w:p w14:paraId="52524900">
      <w:pPr>
        <w:pStyle w:val="3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zh-CN"/>
        </w:rPr>
      </w:pPr>
      <w:r>
        <w:rPr>
          <w:rFonts w:hint="default"/>
          <w:color w:val="auto"/>
          <w:spacing w:val="0"/>
          <w:w w:val="100"/>
          <w:position w:val="0"/>
          <w:highlight w:val="none"/>
          <w:lang w:val="zh-CN"/>
        </w:rPr>
        <w:t>表2.3</w:t>
      </w:r>
      <w:r>
        <w:rPr>
          <w:rFonts w:hint="eastAsia"/>
          <w:color w:val="auto"/>
          <w:spacing w:val="0"/>
          <w:w w:val="100"/>
          <w:position w:val="0"/>
          <w:highlight w:val="none"/>
          <w:lang w:val="en-US" w:eastAsia="zh-CN"/>
        </w:rPr>
        <w:t>.1</w:t>
      </w:r>
      <w:r>
        <w:rPr>
          <w:rFonts w:hint="default"/>
          <w:color w:val="auto"/>
          <w:spacing w:val="0"/>
          <w:w w:val="100"/>
          <w:position w:val="0"/>
          <w:highlight w:val="none"/>
          <w:lang w:val="zh-CN"/>
        </w:rPr>
        <w:t>-2</w:t>
      </w:r>
      <w:r>
        <w:rPr>
          <w:rFonts w:hint="default"/>
          <w:color w:val="auto"/>
          <w:spacing w:val="0"/>
          <w:w w:val="100"/>
          <w:position w:val="0"/>
          <w:highlight w:val="none"/>
          <w:lang w:val="en-US" w:eastAsia="zh-CN"/>
        </w:rPr>
        <w:t xml:space="preserve">  </w:t>
      </w:r>
      <w:r>
        <w:rPr>
          <w:rFonts w:hint="default"/>
          <w:color w:val="auto"/>
          <w:spacing w:val="0"/>
          <w:w w:val="100"/>
          <w:position w:val="0"/>
          <w:highlight w:val="none"/>
          <w:lang w:val="zh-CN"/>
        </w:rPr>
        <w:t>估算模型参数表</w:t>
      </w:r>
    </w:p>
    <w:tbl>
      <w:tblPr>
        <w:tblStyle w:val="25"/>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2981"/>
        <w:gridCol w:w="2986"/>
        <w:gridCol w:w="2986"/>
      </w:tblGrid>
      <w:tr w14:paraId="09F047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blHeader/>
          <w:jc w:val="center"/>
        </w:trPr>
        <w:tc>
          <w:tcPr>
            <w:tcW w:w="3332" w:type="pct"/>
            <w:gridSpan w:val="2"/>
            <w:tcBorders>
              <w:tl2br w:val="nil"/>
              <w:tr2bl w:val="nil"/>
            </w:tcBorders>
            <w:vAlign w:val="center"/>
          </w:tcPr>
          <w:p w14:paraId="6B9C8E4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参数</w:t>
            </w:r>
          </w:p>
        </w:tc>
        <w:tc>
          <w:tcPr>
            <w:tcW w:w="1667" w:type="pct"/>
            <w:tcBorders>
              <w:tl2br w:val="nil"/>
              <w:tr2bl w:val="nil"/>
            </w:tcBorders>
            <w:vAlign w:val="center"/>
          </w:tcPr>
          <w:p w14:paraId="6C41B5D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取值</w:t>
            </w:r>
          </w:p>
        </w:tc>
      </w:tr>
      <w:tr w14:paraId="4535DE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1665" w:type="pct"/>
            <w:vMerge w:val="restart"/>
            <w:tcBorders>
              <w:tl2br w:val="nil"/>
              <w:tr2bl w:val="nil"/>
            </w:tcBorders>
            <w:vAlign w:val="center"/>
          </w:tcPr>
          <w:p w14:paraId="4E3A690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城市/农村选项</w:t>
            </w:r>
          </w:p>
        </w:tc>
        <w:tc>
          <w:tcPr>
            <w:tcW w:w="1666" w:type="pct"/>
            <w:tcBorders>
              <w:tl2br w:val="nil"/>
              <w:tr2bl w:val="nil"/>
            </w:tcBorders>
            <w:vAlign w:val="center"/>
          </w:tcPr>
          <w:p w14:paraId="6AF7B98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城市/农村</w:t>
            </w:r>
          </w:p>
        </w:tc>
        <w:tc>
          <w:tcPr>
            <w:tcW w:w="1667" w:type="pct"/>
            <w:tcBorders>
              <w:tl2br w:val="nil"/>
              <w:tr2bl w:val="nil"/>
            </w:tcBorders>
            <w:vAlign w:val="center"/>
          </w:tcPr>
          <w:p w14:paraId="7A49491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城市</w:t>
            </w:r>
          </w:p>
        </w:tc>
      </w:tr>
      <w:tr w14:paraId="5516E3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1665" w:type="pct"/>
            <w:vMerge w:val="continue"/>
            <w:tcBorders>
              <w:tl2br w:val="nil"/>
              <w:tr2bl w:val="nil"/>
            </w:tcBorders>
            <w:vAlign w:val="center"/>
          </w:tcPr>
          <w:p w14:paraId="1A0BC56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1666" w:type="pct"/>
            <w:tcBorders>
              <w:tl2br w:val="nil"/>
              <w:tr2bl w:val="nil"/>
            </w:tcBorders>
            <w:vAlign w:val="center"/>
          </w:tcPr>
          <w:p w14:paraId="31A0C395">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人口数（城市选项）</w:t>
            </w:r>
          </w:p>
        </w:tc>
        <w:tc>
          <w:tcPr>
            <w:tcW w:w="1667" w:type="pct"/>
            <w:tcBorders>
              <w:tl2br w:val="nil"/>
              <w:tr2bl w:val="nil"/>
            </w:tcBorders>
            <w:vAlign w:val="center"/>
          </w:tcPr>
          <w:p w14:paraId="3C2B091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eastAsia"/>
                <w:color w:val="auto"/>
                <w:spacing w:val="0"/>
                <w:w w:val="100"/>
                <w:kern w:val="21"/>
                <w:position w:val="0"/>
                <w:sz w:val="21"/>
                <w:lang w:val="en-US" w:eastAsia="zh-CN"/>
              </w:rPr>
              <w:t>18.11</w:t>
            </w:r>
            <w:r>
              <w:rPr>
                <w:rFonts w:hint="default"/>
                <w:color w:val="auto"/>
                <w:spacing w:val="0"/>
                <w:w w:val="100"/>
                <w:kern w:val="21"/>
                <w:position w:val="0"/>
                <w:sz w:val="21"/>
              </w:rPr>
              <w:t>万</w:t>
            </w:r>
          </w:p>
        </w:tc>
      </w:tr>
      <w:tr w14:paraId="54E078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3332" w:type="pct"/>
            <w:gridSpan w:val="2"/>
            <w:tcBorders>
              <w:tl2br w:val="nil"/>
              <w:tr2bl w:val="nil"/>
            </w:tcBorders>
            <w:vAlign w:val="center"/>
          </w:tcPr>
          <w:p w14:paraId="5453099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最高环境温度/℃</w:t>
            </w:r>
          </w:p>
        </w:tc>
        <w:tc>
          <w:tcPr>
            <w:tcW w:w="1667" w:type="pct"/>
            <w:tcBorders>
              <w:tl2br w:val="nil"/>
              <w:tr2bl w:val="nil"/>
            </w:tcBorders>
            <w:vAlign w:val="center"/>
          </w:tcPr>
          <w:p w14:paraId="493F5FA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eastAsia="宋体"/>
                <w:color w:val="auto"/>
                <w:spacing w:val="0"/>
                <w:w w:val="100"/>
                <w:kern w:val="21"/>
                <w:position w:val="0"/>
                <w:sz w:val="21"/>
                <w:lang w:val="en-US" w:eastAsia="zh-CN"/>
              </w:rPr>
            </w:pPr>
            <w:r>
              <w:rPr>
                <w:rFonts w:hint="default"/>
                <w:color w:val="auto"/>
                <w:spacing w:val="0"/>
                <w:w w:val="100"/>
                <w:kern w:val="21"/>
                <w:position w:val="0"/>
                <w:sz w:val="21"/>
              </w:rPr>
              <w:t>42</w:t>
            </w:r>
            <w:r>
              <w:rPr>
                <w:rFonts w:hint="eastAsia"/>
                <w:color w:val="auto"/>
                <w:spacing w:val="0"/>
                <w:w w:val="100"/>
                <w:kern w:val="21"/>
                <w:position w:val="0"/>
                <w:sz w:val="21"/>
                <w:lang w:val="en-US" w:eastAsia="zh-CN"/>
              </w:rPr>
              <w:t>.3</w:t>
            </w:r>
          </w:p>
        </w:tc>
      </w:tr>
      <w:tr w14:paraId="40CAA5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3332" w:type="pct"/>
            <w:gridSpan w:val="2"/>
            <w:tcBorders>
              <w:tl2br w:val="nil"/>
              <w:tr2bl w:val="nil"/>
            </w:tcBorders>
            <w:vAlign w:val="center"/>
          </w:tcPr>
          <w:p w14:paraId="047B402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最低环境温度/℃</w:t>
            </w:r>
          </w:p>
        </w:tc>
        <w:tc>
          <w:tcPr>
            <w:tcW w:w="1667" w:type="pct"/>
            <w:tcBorders>
              <w:tl2br w:val="nil"/>
              <w:tr2bl w:val="nil"/>
            </w:tcBorders>
            <w:vAlign w:val="center"/>
          </w:tcPr>
          <w:p w14:paraId="3A329B7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eastAsia" w:eastAsia="宋体"/>
                <w:color w:val="auto"/>
                <w:spacing w:val="0"/>
                <w:w w:val="100"/>
                <w:kern w:val="21"/>
                <w:position w:val="0"/>
                <w:sz w:val="21"/>
                <w:lang w:eastAsia="zh-CN"/>
              </w:rPr>
            </w:pPr>
            <w:r>
              <w:rPr>
                <w:rFonts w:hint="default"/>
                <w:color w:val="auto"/>
                <w:spacing w:val="0"/>
                <w:w w:val="100"/>
                <w:kern w:val="21"/>
                <w:position w:val="0"/>
                <w:sz w:val="21"/>
              </w:rPr>
              <w:t>-3</w:t>
            </w:r>
            <w:r>
              <w:rPr>
                <w:rFonts w:hint="eastAsia"/>
                <w:color w:val="auto"/>
                <w:spacing w:val="0"/>
                <w:w w:val="100"/>
                <w:kern w:val="21"/>
                <w:position w:val="0"/>
                <w:sz w:val="21"/>
                <w:lang w:val="en-US" w:eastAsia="zh-CN"/>
              </w:rPr>
              <w:t>1</w:t>
            </w:r>
          </w:p>
        </w:tc>
      </w:tr>
      <w:tr w14:paraId="1AA264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3332" w:type="pct"/>
            <w:gridSpan w:val="2"/>
            <w:tcBorders>
              <w:tl2br w:val="nil"/>
              <w:tr2bl w:val="nil"/>
            </w:tcBorders>
            <w:vAlign w:val="center"/>
          </w:tcPr>
          <w:p w14:paraId="23E81D5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土地利用条件</w:t>
            </w:r>
          </w:p>
        </w:tc>
        <w:tc>
          <w:tcPr>
            <w:tcW w:w="1667" w:type="pct"/>
            <w:tcBorders>
              <w:tl2br w:val="nil"/>
              <w:tr2bl w:val="nil"/>
            </w:tcBorders>
            <w:vAlign w:val="center"/>
          </w:tcPr>
          <w:p w14:paraId="3D9C07C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eastAsia"/>
                <w:color w:val="auto"/>
                <w:spacing w:val="0"/>
                <w:w w:val="100"/>
                <w:kern w:val="21"/>
                <w:position w:val="0"/>
                <w:sz w:val="21"/>
              </w:rPr>
              <w:t>城镇工业用地</w:t>
            </w:r>
          </w:p>
        </w:tc>
      </w:tr>
      <w:tr w14:paraId="38D08B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3332" w:type="pct"/>
            <w:gridSpan w:val="2"/>
            <w:tcBorders>
              <w:tl2br w:val="nil"/>
              <w:tr2bl w:val="nil"/>
            </w:tcBorders>
            <w:vAlign w:val="center"/>
          </w:tcPr>
          <w:p w14:paraId="7AE0CFD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区域湿度条件</w:t>
            </w:r>
          </w:p>
        </w:tc>
        <w:tc>
          <w:tcPr>
            <w:tcW w:w="1667" w:type="pct"/>
            <w:tcBorders>
              <w:tl2br w:val="nil"/>
              <w:tr2bl w:val="nil"/>
            </w:tcBorders>
            <w:vAlign w:val="center"/>
          </w:tcPr>
          <w:p w14:paraId="4150504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干燥</w:t>
            </w:r>
          </w:p>
        </w:tc>
      </w:tr>
      <w:tr w14:paraId="3372CD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1665" w:type="pct"/>
            <w:vMerge w:val="restart"/>
            <w:tcBorders>
              <w:tl2br w:val="nil"/>
              <w:tr2bl w:val="nil"/>
            </w:tcBorders>
            <w:vAlign w:val="center"/>
          </w:tcPr>
          <w:p w14:paraId="39B5C79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是否考虑地形</w:t>
            </w:r>
          </w:p>
        </w:tc>
        <w:tc>
          <w:tcPr>
            <w:tcW w:w="1666" w:type="pct"/>
            <w:tcBorders>
              <w:tl2br w:val="nil"/>
              <w:tr2bl w:val="nil"/>
            </w:tcBorders>
            <w:vAlign w:val="center"/>
          </w:tcPr>
          <w:p w14:paraId="1C078B6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考虑地形</w:t>
            </w:r>
          </w:p>
        </w:tc>
        <w:tc>
          <w:tcPr>
            <w:tcW w:w="1667" w:type="pct"/>
            <w:tcBorders>
              <w:tl2br w:val="nil"/>
              <w:tr2bl w:val="nil"/>
            </w:tcBorders>
            <w:vAlign w:val="center"/>
          </w:tcPr>
          <w:p w14:paraId="236A5D2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是</w:t>
            </w:r>
          </w:p>
        </w:tc>
      </w:tr>
      <w:tr w14:paraId="0A6158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1665" w:type="pct"/>
            <w:vMerge w:val="continue"/>
            <w:tcBorders>
              <w:tl2br w:val="nil"/>
              <w:tr2bl w:val="nil"/>
            </w:tcBorders>
            <w:vAlign w:val="center"/>
          </w:tcPr>
          <w:p w14:paraId="3D9C4F3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1666" w:type="pct"/>
            <w:tcBorders>
              <w:tl2br w:val="nil"/>
              <w:tr2bl w:val="nil"/>
            </w:tcBorders>
            <w:vAlign w:val="center"/>
          </w:tcPr>
          <w:p w14:paraId="1A83BFF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地形数据分辨率/m</w:t>
            </w:r>
          </w:p>
        </w:tc>
        <w:tc>
          <w:tcPr>
            <w:tcW w:w="1667" w:type="pct"/>
            <w:tcBorders>
              <w:tl2br w:val="nil"/>
              <w:tr2bl w:val="nil"/>
            </w:tcBorders>
            <w:vAlign w:val="center"/>
          </w:tcPr>
          <w:p w14:paraId="0ED4892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90</w:t>
            </w:r>
          </w:p>
        </w:tc>
      </w:tr>
      <w:tr w14:paraId="12D8D4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1665" w:type="pct"/>
            <w:vMerge w:val="restart"/>
            <w:tcBorders>
              <w:tl2br w:val="nil"/>
              <w:tr2bl w:val="nil"/>
            </w:tcBorders>
            <w:vAlign w:val="center"/>
          </w:tcPr>
          <w:p w14:paraId="1F16CF9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是否考虑岸线熏烟</w:t>
            </w:r>
          </w:p>
        </w:tc>
        <w:tc>
          <w:tcPr>
            <w:tcW w:w="1666" w:type="pct"/>
            <w:tcBorders>
              <w:tl2br w:val="nil"/>
              <w:tr2bl w:val="nil"/>
            </w:tcBorders>
            <w:vAlign w:val="center"/>
          </w:tcPr>
          <w:p w14:paraId="7ABE7BE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考虑岸线熏烟</w:t>
            </w:r>
          </w:p>
        </w:tc>
        <w:tc>
          <w:tcPr>
            <w:tcW w:w="1667" w:type="pct"/>
            <w:tcBorders>
              <w:tl2br w:val="nil"/>
              <w:tr2bl w:val="nil"/>
            </w:tcBorders>
            <w:vAlign w:val="center"/>
          </w:tcPr>
          <w:p w14:paraId="0D2C050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否</w:t>
            </w:r>
          </w:p>
        </w:tc>
      </w:tr>
      <w:tr w14:paraId="20439B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1665" w:type="pct"/>
            <w:vMerge w:val="continue"/>
            <w:tcBorders>
              <w:tl2br w:val="nil"/>
              <w:tr2bl w:val="nil"/>
            </w:tcBorders>
            <w:vAlign w:val="center"/>
          </w:tcPr>
          <w:p w14:paraId="11959AF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1666" w:type="pct"/>
            <w:tcBorders>
              <w:tl2br w:val="nil"/>
              <w:tr2bl w:val="nil"/>
            </w:tcBorders>
            <w:vAlign w:val="center"/>
          </w:tcPr>
          <w:p w14:paraId="6F877955">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岸线距离/km</w:t>
            </w:r>
          </w:p>
        </w:tc>
        <w:tc>
          <w:tcPr>
            <w:tcW w:w="1667" w:type="pct"/>
            <w:tcBorders>
              <w:tl2br w:val="nil"/>
              <w:tr2bl w:val="nil"/>
            </w:tcBorders>
            <w:vAlign w:val="center"/>
          </w:tcPr>
          <w:p w14:paraId="7AD6AFE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w:t>
            </w:r>
          </w:p>
        </w:tc>
      </w:tr>
      <w:tr w14:paraId="1C3D94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1665" w:type="pct"/>
            <w:vMerge w:val="continue"/>
            <w:tcBorders>
              <w:tl2br w:val="nil"/>
              <w:tr2bl w:val="nil"/>
            </w:tcBorders>
            <w:vAlign w:val="center"/>
          </w:tcPr>
          <w:p w14:paraId="401A72E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1666" w:type="pct"/>
            <w:tcBorders>
              <w:tl2br w:val="nil"/>
              <w:tr2bl w:val="nil"/>
            </w:tcBorders>
            <w:vAlign w:val="center"/>
          </w:tcPr>
          <w:p w14:paraId="5E6C092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岸线方向/°</w:t>
            </w:r>
          </w:p>
        </w:tc>
        <w:tc>
          <w:tcPr>
            <w:tcW w:w="1667" w:type="pct"/>
            <w:tcBorders>
              <w:tl2br w:val="nil"/>
              <w:tr2bl w:val="nil"/>
            </w:tcBorders>
            <w:vAlign w:val="center"/>
          </w:tcPr>
          <w:p w14:paraId="157FFFF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w:t>
            </w:r>
          </w:p>
        </w:tc>
      </w:tr>
    </w:tbl>
    <w:p w14:paraId="1B289306">
      <w:pPr>
        <w:pStyle w:val="23"/>
        <w:keepNext w:val="0"/>
        <w:keepLines w:val="0"/>
        <w:pageBreakBefore w:val="0"/>
        <w:widowControl w:val="0"/>
        <w:suppressLineNumbers w:val="0"/>
        <w:kinsoku/>
        <w:wordWrap/>
        <w:overflowPunct/>
        <w:topLinePunct w:val="0"/>
        <w:autoSpaceDE/>
        <w:autoSpaceDN/>
        <w:bidi w:val="0"/>
        <w:spacing w:before="157" w:beforeLines="50" w:beforeAutospacing="0" w:after="0" w:afterAutospacing="0" w:line="240" w:lineRule="auto"/>
        <w:ind w:left="0" w:right="0"/>
        <w:jc w:val="center"/>
        <w:rPr>
          <w:rFonts w:hint="default" w:ascii="Times New Roman" w:hAnsi="Times New Roman" w:eastAsia="宋体" w:cs="Times New Roman"/>
          <w:b/>
          <w:bCs/>
          <w:color w:val="auto"/>
          <w:spacing w:val="0"/>
          <w:w w:val="100"/>
          <w:position w:val="0"/>
          <w:sz w:val="21"/>
          <w:szCs w:val="21"/>
        </w:rPr>
      </w:pPr>
      <w:r>
        <w:rPr>
          <w:rFonts w:hint="default" w:ascii="Times New Roman" w:hAnsi="Times New Roman" w:cs="Times New Roman"/>
          <w:b/>
          <w:bCs/>
          <w:color w:val="auto"/>
          <w:spacing w:val="0"/>
          <w:w w:val="100"/>
          <w:position w:val="0"/>
          <w:sz w:val="21"/>
          <w:szCs w:val="21"/>
          <w:highlight w:val="none"/>
        </w:rPr>
        <w:t>表</w:t>
      </w:r>
      <w:r>
        <w:rPr>
          <w:rFonts w:hint="default" w:ascii="Times New Roman" w:hAnsi="Times New Roman" w:cs="Times New Roman"/>
          <w:b/>
          <w:bCs/>
          <w:color w:val="auto"/>
          <w:spacing w:val="0"/>
          <w:w w:val="100"/>
          <w:position w:val="0"/>
          <w:sz w:val="21"/>
          <w:szCs w:val="21"/>
          <w:highlight w:val="none"/>
          <w:lang w:val="en-US" w:eastAsia="zh-CN"/>
        </w:rPr>
        <w:t>2.3</w:t>
      </w:r>
      <w:r>
        <w:rPr>
          <w:rFonts w:hint="eastAsia" w:ascii="Times New Roman" w:hAnsi="Times New Roman" w:cs="Times New Roman"/>
          <w:b/>
          <w:bCs/>
          <w:color w:val="auto"/>
          <w:spacing w:val="0"/>
          <w:w w:val="100"/>
          <w:position w:val="0"/>
          <w:sz w:val="21"/>
          <w:szCs w:val="21"/>
          <w:highlight w:val="none"/>
          <w:lang w:val="en-US" w:eastAsia="zh-CN"/>
        </w:rPr>
        <w:t>.1</w:t>
      </w:r>
      <w:r>
        <w:rPr>
          <w:rFonts w:hint="default" w:ascii="Times New Roman" w:hAnsi="Times New Roman" w:cs="Times New Roman"/>
          <w:b/>
          <w:bCs/>
          <w:color w:val="auto"/>
          <w:spacing w:val="0"/>
          <w:w w:val="100"/>
          <w:position w:val="0"/>
          <w:sz w:val="21"/>
          <w:szCs w:val="21"/>
          <w:highlight w:val="none"/>
          <w:lang w:val="en-US" w:eastAsia="zh-CN"/>
        </w:rPr>
        <w:t>-3</w:t>
      </w:r>
      <w:r>
        <w:rPr>
          <w:rFonts w:hint="default" w:ascii="Times New Roman" w:hAnsi="Times New Roman" w:cs="Times New Roman"/>
          <w:b/>
          <w:bCs/>
          <w:color w:val="auto"/>
          <w:spacing w:val="0"/>
          <w:w w:val="100"/>
          <w:position w:val="0"/>
          <w:sz w:val="21"/>
          <w:szCs w:val="21"/>
          <w:highlight w:val="none"/>
        </w:rPr>
        <w:t xml:space="preserve">  项目有组织大气污染源参数清单</w:t>
      </w:r>
    </w:p>
    <w:tbl>
      <w:tblPr>
        <w:tblStyle w:val="25"/>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272"/>
        <w:gridCol w:w="1422"/>
        <w:gridCol w:w="554"/>
        <w:gridCol w:w="695"/>
        <w:gridCol w:w="769"/>
        <w:gridCol w:w="652"/>
        <w:gridCol w:w="665"/>
        <w:gridCol w:w="793"/>
        <w:gridCol w:w="584"/>
        <w:gridCol w:w="650"/>
        <w:gridCol w:w="464"/>
        <w:gridCol w:w="628"/>
        <w:gridCol w:w="773"/>
      </w:tblGrid>
      <w:tr w14:paraId="4D046A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154" w:type="pct"/>
            <w:vMerge w:val="restart"/>
            <w:tcBorders>
              <w:tl2br w:val="nil"/>
              <w:tr2bl w:val="nil"/>
            </w:tcBorders>
            <w:tcMar>
              <w:left w:w="28" w:type="dxa"/>
              <w:right w:w="28" w:type="dxa"/>
            </w:tcMar>
            <w:vAlign w:val="center"/>
          </w:tcPr>
          <w:p w14:paraId="5877C32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序号</w:t>
            </w:r>
          </w:p>
        </w:tc>
        <w:tc>
          <w:tcPr>
            <w:tcW w:w="798" w:type="pct"/>
            <w:vMerge w:val="restart"/>
            <w:tcBorders>
              <w:tl2br w:val="nil"/>
              <w:tr2bl w:val="nil"/>
            </w:tcBorders>
            <w:tcMar>
              <w:left w:w="28" w:type="dxa"/>
              <w:right w:w="28" w:type="dxa"/>
            </w:tcMar>
            <w:vAlign w:val="center"/>
          </w:tcPr>
          <w:p w14:paraId="2644978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污染源</w:t>
            </w:r>
          </w:p>
          <w:p w14:paraId="08C6FC7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名称</w:t>
            </w:r>
          </w:p>
        </w:tc>
        <w:tc>
          <w:tcPr>
            <w:tcW w:w="703" w:type="pct"/>
            <w:gridSpan w:val="2"/>
            <w:tcBorders>
              <w:tl2br w:val="nil"/>
              <w:tr2bl w:val="nil"/>
            </w:tcBorders>
            <w:tcMar>
              <w:left w:w="28" w:type="dxa"/>
              <w:right w:w="28" w:type="dxa"/>
            </w:tcMar>
            <w:vAlign w:val="center"/>
          </w:tcPr>
          <w:p w14:paraId="102BBE3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b/>
                <w:bCs/>
                <w:color w:val="auto"/>
                <w:spacing w:val="0"/>
                <w:w w:val="100"/>
                <w:kern w:val="21"/>
                <w:position w:val="0"/>
                <w:sz w:val="21"/>
              </w:rPr>
            </w:pPr>
            <w:r>
              <w:rPr>
                <w:rFonts w:hint="default"/>
                <w:b/>
                <w:bCs/>
                <w:color w:val="auto"/>
                <w:spacing w:val="0"/>
                <w:w w:val="100"/>
                <w:kern w:val="21"/>
                <w:position w:val="0"/>
                <w:sz w:val="21"/>
              </w:rPr>
              <w:t>坐标</w:t>
            </w:r>
          </w:p>
        </w:tc>
        <w:tc>
          <w:tcPr>
            <w:tcW w:w="432" w:type="pct"/>
            <w:vMerge w:val="restart"/>
            <w:tcBorders>
              <w:tl2br w:val="nil"/>
              <w:tr2bl w:val="nil"/>
            </w:tcBorders>
            <w:tcMar>
              <w:left w:w="28" w:type="dxa"/>
              <w:right w:w="28" w:type="dxa"/>
            </w:tcMar>
            <w:vAlign w:val="center"/>
          </w:tcPr>
          <w:p w14:paraId="62DA521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b/>
                <w:bCs/>
                <w:color w:val="auto"/>
                <w:spacing w:val="0"/>
                <w:w w:val="100"/>
                <w:kern w:val="21"/>
                <w:position w:val="0"/>
                <w:sz w:val="21"/>
              </w:rPr>
            </w:pPr>
            <w:r>
              <w:rPr>
                <w:rFonts w:hint="default"/>
                <w:b/>
                <w:bCs/>
                <w:color w:val="auto"/>
                <w:spacing w:val="0"/>
                <w:w w:val="100"/>
                <w:kern w:val="21"/>
                <w:position w:val="0"/>
                <w:sz w:val="21"/>
              </w:rPr>
              <w:t>排气筒底部海拔(m)</w:t>
            </w:r>
          </w:p>
        </w:tc>
        <w:tc>
          <w:tcPr>
            <w:tcW w:w="367" w:type="pct"/>
            <w:vMerge w:val="restart"/>
            <w:tcBorders>
              <w:tl2br w:val="nil"/>
              <w:tr2bl w:val="nil"/>
            </w:tcBorders>
            <w:tcMar>
              <w:left w:w="28" w:type="dxa"/>
              <w:right w:w="28" w:type="dxa"/>
            </w:tcMar>
            <w:vAlign w:val="center"/>
          </w:tcPr>
          <w:p w14:paraId="09132A4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b/>
                <w:bCs/>
                <w:color w:val="auto"/>
                <w:spacing w:val="0"/>
                <w:w w:val="100"/>
                <w:kern w:val="21"/>
                <w:position w:val="0"/>
                <w:sz w:val="21"/>
              </w:rPr>
            </w:pPr>
            <w:r>
              <w:rPr>
                <w:rFonts w:hint="default"/>
                <w:b/>
                <w:bCs/>
                <w:color w:val="auto"/>
                <w:spacing w:val="0"/>
                <w:w w:val="100"/>
                <w:kern w:val="21"/>
                <w:position w:val="0"/>
                <w:sz w:val="21"/>
              </w:rPr>
              <w:t>排气筒高度(m)</w:t>
            </w:r>
          </w:p>
        </w:tc>
        <w:tc>
          <w:tcPr>
            <w:tcW w:w="374" w:type="pct"/>
            <w:vMerge w:val="restart"/>
            <w:tcBorders>
              <w:tl2br w:val="nil"/>
              <w:tr2bl w:val="nil"/>
            </w:tcBorders>
            <w:tcMar>
              <w:left w:w="28" w:type="dxa"/>
              <w:right w:w="28" w:type="dxa"/>
            </w:tcMar>
            <w:vAlign w:val="center"/>
          </w:tcPr>
          <w:p w14:paraId="02E3313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排气筒出口内径(m)</w:t>
            </w:r>
          </w:p>
        </w:tc>
        <w:tc>
          <w:tcPr>
            <w:tcW w:w="426" w:type="pct"/>
            <w:vMerge w:val="restart"/>
            <w:tcBorders>
              <w:tl2br w:val="nil"/>
              <w:tr2bl w:val="nil"/>
            </w:tcBorders>
            <w:tcMar>
              <w:left w:w="28" w:type="dxa"/>
              <w:right w:w="28" w:type="dxa"/>
            </w:tcMar>
            <w:vAlign w:val="center"/>
          </w:tcPr>
          <w:p w14:paraId="40A4075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eastAsia="宋体"/>
                <w:b/>
                <w:bCs/>
                <w:color w:val="auto"/>
                <w:spacing w:val="0"/>
                <w:w w:val="100"/>
                <w:kern w:val="21"/>
                <w:position w:val="0"/>
                <w:sz w:val="21"/>
                <w:lang w:val="en-US" w:eastAsia="zh-CN"/>
              </w:rPr>
            </w:pPr>
            <w:r>
              <w:rPr>
                <w:rFonts w:hint="eastAsia"/>
                <w:b/>
                <w:bCs/>
                <w:color w:val="auto"/>
                <w:spacing w:val="0"/>
                <w:w w:val="100"/>
                <w:kern w:val="21"/>
                <w:position w:val="0"/>
                <w:sz w:val="21"/>
                <w:lang w:val="en-US" w:eastAsia="zh-CN"/>
              </w:rPr>
              <w:t>烟气流速（m/s）</w:t>
            </w:r>
          </w:p>
        </w:tc>
        <w:tc>
          <w:tcPr>
            <w:tcW w:w="328" w:type="pct"/>
            <w:vMerge w:val="restart"/>
            <w:tcBorders>
              <w:tl2br w:val="nil"/>
              <w:tr2bl w:val="nil"/>
            </w:tcBorders>
            <w:tcMar>
              <w:left w:w="28" w:type="dxa"/>
              <w:right w:w="28" w:type="dxa"/>
            </w:tcMar>
            <w:vAlign w:val="center"/>
          </w:tcPr>
          <w:p w14:paraId="4BDD655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烟气温度(℃)</w:t>
            </w:r>
          </w:p>
        </w:tc>
        <w:tc>
          <w:tcPr>
            <w:tcW w:w="365" w:type="pct"/>
            <w:vMerge w:val="restart"/>
            <w:tcBorders>
              <w:tl2br w:val="nil"/>
              <w:tr2bl w:val="nil"/>
            </w:tcBorders>
            <w:tcMar>
              <w:left w:w="28" w:type="dxa"/>
              <w:right w:w="28" w:type="dxa"/>
            </w:tcMar>
            <w:vAlign w:val="center"/>
          </w:tcPr>
          <w:p w14:paraId="702936C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年排放小时数（h）</w:t>
            </w:r>
          </w:p>
        </w:tc>
        <w:tc>
          <w:tcPr>
            <w:tcW w:w="261" w:type="pct"/>
            <w:vMerge w:val="restart"/>
            <w:tcBorders>
              <w:tl2br w:val="nil"/>
              <w:tr2bl w:val="nil"/>
            </w:tcBorders>
            <w:tcMar>
              <w:left w:w="28" w:type="dxa"/>
              <w:right w:w="28" w:type="dxa"/>
            </w:tcMar>
            <w:vAlign w:val="center"/>
          </w:tcPr>
          <w:p w14:paraId="6C34ACC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排放</w:t>
            </w:r>
          </w:p>
          <w:p w14:paraId="5DC189C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工况</w:t>
            </w:r>
          </w:p>
        </w:tc>
        <w:tc>
          <w:tcPr>
            <w:tcW w:w="353" w:type="pct"/>
            <w:vMerge w:val="restart"/>
            <w:tcBorders>
              <w:tl2br w:val="nil"/>
              <w:tr2bl w:val="nil"/>
            </w:tcBorders>
            <w:tcMar>
              <w:left w:w="28" w:type="dxa"/>
              <w:right w:w="28" w:type="dxa"/>
            </w:tcMar>
            <w:vAlign w:val="center"/>
          </w:tcPr>
          <w:p w14:paraId="10212F6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排放因子</w:t>
            </w:r>
          </w:p>
        </w:tc>
        <w:tc>
          <w:tcPr>
            <w:tcW w:w="434" w:type="pct"/>
            <w:vMerge w:val="restart"/>
            <w:tcBorders>
              <w:tl2br w:val="nil"/>
              <w:tr2bl w:val="nil"/>
            </w:tcBorders>
            <w:vAlign w:val="center"/>
          </w:tcPr>
          <w:p w14:paraId="07D05C0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排放速率(kg/h)</w:t>
            </w:r>
          </w:p>
        </w:tc>
      </w:tr>
      <w:tr w14:paraId="677804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154" w:type="pct"/>
            <w:vMerge w:val="continue"/>
            <w:tcBorders>
              <w:tl2br w:val="nil"/>
              <w:tr2bl w:val="nil"/>
            </w:tcBorders>
            <w:vAlign w:val="center"/>
          </w:tcPr>
          <w:p w14:paraId="563EDC0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798" w:type="pct"/>
            <w:vMerge w:val="continue"/>
            <w:tcBorders>
              <w:tl2br w:val="nil"/>
              <w:tr2bl w:val="nil"/>
            </w:tcBorders>
            <w:vAlign w:val="center"/>
          </w:tcPr>
          <w:p w14:paraId="20A29DA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312" w:type="pct"/>
            <w:tcBorders>
              <w:tl2br w:val="nil"/>
              <w:tr2bl w:val="nil"/>
            </w:tcBorders>
            <w:vAlign w:val="center"/>
          </w:tcPr>
          <w:p w14:paraId="6F01406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b/>
                <w:bCs/>
                <w:color w:val="auto"/>
                <w:spacing w:val="0"/>
                <w:w w:val="100"/>
                <w:kern w:val="21"/>
                <w:position w:val="0"/>
                <w:sz w:val="21"/>
              </w:rPr>
            </w:pPr>
            <w:r>
              <w:rPr>
                <w:rFonts w:hint="default"/>
                <w:b/>
                <w:bCs/>
                <w:color w:val="auto"/>
                <w:spacing w:val="0"/>
                <w:w w:val="100"/>
                <w:kern w:val="21"/>
                <w:position w:val="0"/>
                <w:sz w:val="21"/>
              </w:rPr>
              <w:t>X</w:t>
            </w:r>
          </w:p>
        </w:tc>
        <w:tc>
          <w:tcPr>
            <w:tcW w:w="390" w:type="pct"/>
            <w:tcBorders>
              <w:tl2br w:val="nil"/>
              <w:tr2bl w:val="nil"/>
            </w:tcBorders>
            <w:vAlign w:val="center"/>
          </w:tcPr>
          <w:p w14:paraId="228A593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b/>
                <w:bCs/>
                <w:color w:val="auto"/>
                <w:spacing w:val="0"/>
                <w:w w:val="100"/>
                <w:kern w:val="21"/>
                <w:position w:val="0"/>
                <w:sz w:val="21"/>
              </w:rPr>
            </w:pPr>
            <w:r>
              <w:rPr>
                <w:rFonts w:hint="default"/>
                <w:b/>
                <w:bCs/>
                <w:color w:val="auto"/>
                <w:spacing w:val="0"/>
                <w:w w:val="100"/>
                <w:kern w:val="21"/>
                <w:position w:val="0"/>
                <w:sz w:val="21"/>
              </w:rPr>
              <w:t>Y</w:t>
            </w:r>
          </w:p>
        </w:tc>
        <w:tc>
          <w:tcPr>
            <w:tcW w:w="432" w:type="pct"/>
            <w:vMerge w:val="continue"/>
            <w:tcBorders>
              <w:tl2br w:val="nil"/>
              <w:tr2bl w:val="nil"/>
            </w:tcBorders>
            <w:vAlign w:val="center"/>
          </w:tcPr>
          <w:p w14:paraId="68450B8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color w:val="auto"/>
                <w:spacing w:val="0"/>
                <w:w w:val="100"/>
                <w:kern w:val="21"/>
                <w:position w:val="0"/>
                <w:sz w:val="21"/>
              </w:rPr>
            </w:pPr>
          </w:p>
        </w:tc>
        <w:tc>
          <w:tcPr>
            <w:tcW w:w="367" w:type="pct"/>
            <w:vMerge w:val="continue"/>
            <w:tcBorders>
              <w:tl2br w:val="nil"/>
              <w:tr2bl w:val="nil"/>
            </w:tcBorders>
            <w:vAlign w:val="center"/>
          </w:tcPr>
          <w:p w14:paraId="78847F5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color w:val="auto"/>
                <w:spacing w:val="0"/>
                <w:w w:val="100"/>
                <w:kern w:val="21"/>
                <w:position w:val="0"/>
                <w:sz w:val="21"/>
              </w:rPr>
            </w:pPr>
          </w:p>
        </w:tc>
        <w:tc>
          <w:tcPr>
            <w:tcW w:w="374" w:type="pct"/>
            <w:vMerge w:val="continue"/>
            <w:tcBorders>
              <w:tl2br w:val="nil"/>
              <w:tr2bl w:val="nil"/>
            </w:tcBorders>
            <w:vAlign w:val="center"/>
          </w:tcPr>
          <w:p w14:paraId="2044A3C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426" w:type="pct"/>
            <w:vMerge w:val="continue"/>
            <w:tcBorders>
              <w:tl2br w:val="nil"/>
              <w:tr2bl w:val="nil"/>
            </w:tcBorders>
            <w:vAlign w:val="center"/>
          </w:tcPr>
          <w:p w14:paraId="222529E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328" w:type="pct"/>
            <w:vMerge w:val="continue"/>
            <w:tcBorders>
              <w:tl2br w:val="nil"/>
              <w:tr2bl w:val="nil"/>
            </w:tcBorders>
            <w:vAlign w:val="center"/>
          </w:tcPr>
          <w:p w14:paraId="21C5377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365" w:type="pct"/>
            <w:vMerge w:val="continue"/>
            <w:tcBorders>
              <w:tl2br w:val="nil"/>
              <w:tr2bl w:val="nil"/>
            </w:tcBorders>
            <w:vAlign w:val="center"/>
          </w:tcPr>
          <w:p w14:paraId="6FF9999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261" w:type="pct"/>
            <w:vMerge w:val="continue"/>
            <w:tcBorders>
              <w:tl2br w:val="nil"/>
              <w:tr2bl w:val="nil"/>
            </w:tcBorders>
            <w:vAlign w:val="center"/>
          </w:tcPr>
          <w:p w14:paraId="021F2F7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353" w:type="pct"/>
            <w:vMerge w:val="continue"/>
            <w:tcBorders>
              <w:tl2br w:val="nil"/>
              <w:tr2bl w:val="nil"/>
            </w:tcBorders>
            <w:vAlign w:val="center"/>
          </w:tcPr>
          <w:p w14:paraId="1AB0AF8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434" w:type="pct"/>
            <w:vMerge w:val="continue"/>
            <w:tcBorders>
              <w:tl2br w:val="nil"/>
              <w:tr2bl w:val="nil"/>
            </w:tcBorders>
            <w:vAlign w:val="center"/>
          </w:tcPr>
          <w:p w14:paraId="4C13ECC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r>
      <w:tr w14:paraId="281D7C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154" w:type="pct"/>
            <w:tcBorders>
              <w:tl2br w:val="nil"/>
              <w:tr2bl w:val="nil"/>
            </w:tcBorders>
            <w:vAlign w:val="center"/>
          </w:tcPr>
          <w:p w14:paraId="0D73D6F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1</w:t>
            </w:r>
          </w:p>
        </w:tc>
        <w:tc>
          <w:tcPr>
            <w:tcW w:w="798" w:type="pct"/>
            <w:tcBorders>
              <w:tl2br w:val="nil"/>
              <w:tr2bl w:val="nil"/>
            </w:tcBorders>
            <w:tcMar>
              <w:left w:w="28" w:type="dxa"/>
              <w:right w:w="28" w:type="dxa"/>
            </w:tcMar>
            <w:vAlign w:val="center"/>
          </w:tcPr>
          <w:p w14:paraId="72C92E1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eastAsia"/>
                <w:color w:val="auto"/>
                <w:spacing w:val="0"/>
                <w:w w:val="100"/>
                <w:kern w:val="21"/>
                <w:position w:val="0"/>
                <w:sz w:val="21"/>
              </w:rPr>
              <w:t>DA00</w:t>
            </w:r>
            <w:r>
              <w:rPr>
                <w:rFonts w:hint="eastAsia"/>
                <w:color w:val="auto"/>
                <w:spacing w:val="0"/>
                <w:w w:val="100"/>
                <w:kern w:val="21"/>
                <w:position w:val="0"/>
                <w:sz w:val="21"/>
                <w:lang w:val="en-US" w:eastAsia="zh-CN"/>
              </w:rPr>
              <w:t>1</w:t>
            </w:r>
          </w:p>
        </w:tc>
        <w:tc>
          <w:tcPr>
            <w:tcW w:w="312" w:type="pct"/>
            <w:tcBorders>
              <w:tl2br w:val="nil"/>
              <w:tr2bl w:val="nil"/>
            </w:tcBorders>
            <w:tcMar>
              <w:left w:w="28" w:type="dxa"/>
              <w:right w:w="28" w:type="dxa"/>
            </w:tcMar>
            <w:vAlign w:val="center"/>
          </w:tcPr>
          <w:p w14:paraId="64922E8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rPr>
              <w:t>-</w:t>
            </w:r>
            <w:r>
              <w:rPr>
                <w:rFonts w:hint="eastAsia"/>
                <w:color w:val="auto"/>
                <w:spacing w:val="0"/>
                <w:w w:val="100"/>
                <w:kern w:val="21"/>
                <w:position w:val="0"/>
                <w:sz w:val="21"/>
                <w:lang w:val="en-US" w:eastAsia="zh-CN"/>
              </w:rPr>
              <w:t>23</w:t>
            </w:r>
          </w:p>
        </w:tc>
        <w:tc>
          <w:tcPr>
            <w:tcW w:w="390" w:type="pct"/>
            <w:tcBorders>
              <w:tl2br w:val="nil"/>
              <w:tr2bl w:val="nil"/>
            </w:tcBorders>
            <w:tcMar>
              <w:left w:w="28" w:type="dxa"/>
              <w:right w:w="28" w:type="dxa"/>
            </w:tcMar>
            <w:vAlign w:val="center"/>
          </w:tcPr>
          <w:p w14:paraId="694A1AD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rPr>
              <w:t>-</w:t>
            </w:r>
            <w:r>
              <w:rPr>
                <w:rFonts w:hint="eastAsia"/>
                <w:color w:val="auto"/>
                <w:spacing w:val="0"/>
                <w:w w:val="100"/>
                <w:kern w:val="21"/>
                <w:position w:val="0"/>
                <w:sz w:val="21"/>
                <w:lang w:val="en-US" w:eastAsia="zh-CN"/>
              </w:rPr>
              <w:t>11</w:t>
            </w:r>
          </w:p>
        </w:tc>
        <w:tc>
          <w:tcPr>
            <w:tcW w:w="432" w:type="pct"/>
            <w:tcBorders>
              <w:tl2br w:val="nil"/>
              <w:tr2bl w:val="nil"/>
            </w:tcBorders>
            <w:vAlign w:val="center"/>
          </w:tcPr>
          <w:p w14:paraId="3EC4C1F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514</w:t>
            </w:r>
          </w:p>
        </w:tc>
        <w:tc>
          <w:tcPr>
            <w:tcW w:w="367" w:type="pct"/>
            <w:tcBorders>
              <w:tl2br w:val="nil"/>
              <w:tr2bl w:val="nil"/>
            </w:tcBorders>
            <w:vAlign w:val="center"/>
          </w:tcPr>
          <w:p w14:paraId="7B8CEB6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color w:val="auto"/>
                <w:spacing w:val="0"/>
                <w:w w:val="100"/>
                <w:kern w:val="21"/>
                <w:position w:val="0"/>
                <w:sz w:val="21"/>
              </w:rPr>
            </w:pPr>
            <w:r>
              <w:rPr>
                <w:rFonts w:hint="default"/>
                <w:color w:val="auto"/>
                <w:spacing w:val="0"/>
                <w:w w:val="100"/>
                <w:kern w:val="21"/>
                <w:position w:val="0"/>
                <w:sz w:val="21"/>
              </w:rPr>
              <w:t>15</w:t>
            </w:r>
          </w:p>
        </w:tc>
        <w:tc>
          <w:tcPr>
            <w:tcW w:w="374" w:type="pct"/>
            <w:tcBorders>
              <w:tl2br w:val="nil"/>
              <w:tr2bl w:val="nil"/>
            </w:tcBorders>
            <w:vAlign w:val="center"/>
          </w:tcPr>
          <w:p w14:paraId="7350C69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0.4</w:t>
            </w:r>
          </w:p>
        </w:tc>
        <w:tc>
          <w:tcPr>
            <w:tcW w:w="426" w:type="pct"/>
            <w:tcBorders>
              <w:tl2br w:val="nil"/>
              <w:tr2bl w:val="nil"/>
            </w:tcBorders>
            <w:vAlign w:val="center"/>
          </w:tcPr>
          <w:p w14:paraId="62B7766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15</w:t>
            </w:r>
          </w:p>
        </w:tc>
        <w:tc>
          <w:tcPr>
            <w:tcW w:w="328" w:type="pct"/>
            <w:tcBorders>
              <w:tl2br w:val="nil"/>
              <w:tr2bl w:val="nil"/>
            </w:tcBorders>
            <w:vAlign w:val="center"/>
          </w:tcPr>
          <w:p w14:paraId="30D6B6D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环境温度</w:t>
            </w:r>
          </w:p>
        </w:tc>
        <w:tc>
          <w:tcPr>
            <w:tcW w:w="365" w:type="pct"/>
            <w:tcBorders>
              <w:tl2br w:val="nil"/>
              <w:tr2bl w:val="nil"/>
            </w:tcBorders>
            <w:vAlign w:val="center"/>
          </w:tcPr>
          <w:p w14:paraId="46DE168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eastAsia"/>
                <w:color w:val="auto"/>
                <w:spacing w:val="0"/>
                <w:w w:val="100"/>
                <w:kern w:val="21"/>
                <w:position w:val="0"/>
                <w:sz w:val="21"/>
                <w:lang w:val="en-US" w:eastAsia="zh-CN"/>
              </w:rPr>
              <w:t>4800</w:t>
            </w:r>
          </w:p>
        </w:tc>
        <w:tc>
          <w:tcPr>
            <w:tcW w:w="261" w:type="pct"/>
            <w:tcBorders>
              <w:tl2br w:val="nil"/>
              <w:tr2bl w:val="nil"/>
            </w:tcBorders>
            <w:tcMar>
              <w:left w:w="28" w:type="dxa"/>
              <w:right w:w="28" w:type="dxa"/>
            </w:tcMar>
            <w:vAlign w:val="center"/>
          </w:tcPr>
          <w:p w14:paraId="6334B65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正常</w:t>
            </w:r>
          </w:p>
        </w:tc>
        <w:tc>
          <w:tcPr>
            <w:tcW w:w="353" w:type="pct"/>
            <w:tcBorders>
              <w:tl2br w:val="nil"/>
              <w:tr2bl w:val="nil"/>
            </w:tcBorders>
            <w:tcMar>
              <w:left w:w="0" w:type="dxa"/>
              <w:right w:w="0" w:type="dxa"/>
            </w:tcMar>
            <w:vAlign w:val="center"/>
          </w:tcPr>
          <w:p w14:paraId="123B53F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PM</w:t>
            </w:r>
            <w:r>
              <w:rPr>
                <w:rFonts w:hint="eastAsia"/>
                <w:color w:val="auto"/>
                <w:spacing w:val="0"/>
                <w:w w:val="100"/>
                <w:kern w:val="21"/>
                <w:position w:val="0"/>
                <w:sz w:val="21"/>
                <w:vertAlign w:val="subscript"/>
                <w:lang w:val="en-US" w:eastAsia="zh-CN"/>
              </w:rPr>
              <w:t>10</w:t>
            </w:r>
          </w:p>
        </w:tc>
        <w:tc>
          <w:tcPr>
            <w:tcW w:w="721" w:type="dxa"/>
            <w:tcBorders>
              <w:tl2br w:val="nil"/>
              <w:tr2bl w:val="nil"/>
            </w:tcBorders>
            <w:vAlign w:val="center"/>
          </w:tcPr>
          <w:p w14:paraId="532E734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0.055</w:t>
            </w:r>
          </w:p>
        </w:tc>
      </w:tr>
      <w:tr w14:paraId="05599C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154" w:type="pct"/>
            <w:tcBorders>
              <w:tl2br w:val="nil"/>
              <w:tr2bl w:val="nil"/>
            </w:tcBorders>
            <w:vAlign w:val="center"/>
          </w:tcPr>
          <w:p w14:paraId="518C2F0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eastAsia"/>
                <w:color w:val="auto"/>
                <w:spacing w:val="0"/>
                <w:w w:val="100"/>
                <w:kern w:val="21"/>
                <w:position w:val="0"/>
                <w:sz w:val="21"/>
              </w:rPr>
              <w:t>2</w:t>
            </w:r>
          </w:p>
        </w:tc>
        <w:tc>
          <w:tcPr>
            <w:tcW w:w="798" w:type="pct"/>
            <w:tcBorders>
              <w:tl2br w:val="nil"/>
              <w:tr2bl w:val="nil"/>
            </w:tcBorders>
            <w:tcMar>
              <w:left w:w="28" w:type="dxa"/>
              <w:right w:w="28" w:type="dxa"/>
            </w:tcMar>
            <w:vAlign w:val="center"/>
          </w:tcPr>
          <w:p w14:paraId="19BBAFF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eastAsia" w:eastAsia="宋体"/>
                <w:color w:val="auto"/>
                <w:spacing w:val="0"/>
                <w:w w:val="100"/>
                <w:kern w:val="21"/>
                <w:position w:val="0"/>
                <w:sz w:val="21"/>
                <w:lang w:val="en-US" w:eastAsia="zh-CN"/>
              </w:rPr>
            </w:pPr>
            <w:r>
              <w:rPr>
                <w:rFonts w:hint="default"/>
                <w:color w:val="auto"/>
                <w:spacing w:val="0"/>
                <w:w w:val="100"/>
                <w:kern w:val="21"/>
                <w:position w:val="0"/>
                <w:sz w:val="21"/>
              </w:rPr>
              <w:t>DA00</w:t>
            </w:r>
            <w:r>
              <w:rPr>
                <w:rFonts w:hint="eastAsia"/>
                <w:color w:val="auto"/>
                <w:spacing w:val="0"/>
                <w:w w:val="100"/>
                <w:kern w:val="21"/>
                <w:position w:val="0"/>
                <w:sz w:val="21"/>
                <w:lang w:val="en-US" w:eastAsia="zh-CN"/>
              </w:rPr>
              <w:t>2</w:t>
            </w:r>
          </w:p>
        </w:tc>
        <w:tc>
          <w:tcPr>
            <w:tcW w:w="312" w:type="pct"/>
            <w:tcBorders>
              <w:tl2br w:val="nil"/>
              <w:tr2bl w:val="nil"/>
            </w:tcBorders>
            <w:tcMar>
              <w:left w:w="28" w:type="dxa"/>
              <w:right w:w="28" w:type="dxa"/>
            </w:tcMar>
            <w:vAlign w:val="center"/>
          </w:tcPr>
          <w:p w14:paraId="3E1D8D8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rPr>
              <w:t>-</w:t>
            </w:r>
            <w:r>
              <w:rPr>
                <w:rFonts w:hint="eastAsia"/>
                <w:color w:val="auto"/>
                <w:spacing w:val="0"/>
                <w:w w:val="100"/>
                <w:kern w:val="21"/>
                <w:position w:val="0"/>
                <w:sz w:val="21"/>
                <w:lang w:val="en-US" w:eastAsia="zh-CN"/>
              </w:rPr>
              <w:t>40</w:t>
            </w:r>
          </w:p>
        </w:tc>
        <w:tc>
          <w:tcPr>
            <w:tcW w:w="390" w:type="pct"/>
            <w:tcBorders>
              <w:tl2br w:val="nil"/>
              <w:tr2bl w:val="nil"/>
            </w:tcBorders>
            <w:tcMar>
              <w:left w:w="28" w:type="dxa"/>
              <w:right w:w="28" w:type="dxa"/>
            </w:tcMar>
            <w:vAlign w:val="center"/>
          </w:tcPr>
          <w:p w14:paraId="0BBA4F0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eastAsia" w:eastAsia="宋体"/>
                <w:color w:val="auto"/>
                <w:spacing w:val="0"/>
                <w:w w:val="100"/>
                <w:kern w:val="21"/>
                <w:position w:val="0"/>
                <w:sz w:val="21"/>
                <w:lang w:val="en-US" w:eastAsia="zh-CN"/>
              </w:rPr>
            </w:pPr>
            <w:r>
              <w:rPr>
                <w:rFonts w:hint="eastAsia"/>
                <w:color w:val="auto"/>
                <w:spacing w:val="0"/>
                <w:w w:val="100"/>
                <w:kern w:val="21"/>
                <w:position w:val="0"/>
                <w:sz w:val="21"/>
              </w:rPr>
              <w:t>-</w:t>
            </w:r>
            <w:r>
              <w:rPr>
                <w:rFonts w:hint="eastAsia"/>
                <w:color w:val="auto"/>
                <w:spacing w:val="0"/>
                <w:w w:val="100"/>
                <w:kern w:val="21"/>
                <w:position w:val="0"/>
                <w:sz w:val="21"/>
                <w:lang w:val="en-US" w:eastAsia="zh-CN"/>
              </w:rPr>
              <w:t>9</w:t>
            </w:r>
          </w:p>
        </w:tc>
        <w:tc>
          <w:tcPr>
            <w:tcW w:w="432" w:type="pct"/>
            <w:tcBorders>
              <w:tl2br w:val="nil"/>
              <w:tr2bl w:val="nil"/>
            </w:tcBorders>
            <w:vAlign w:val="center"/>
          </w:tcPr>
          <w:p w14:paraId="1250DC45">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514</w:t>
            </w:r>
          </w:p>
        </w:tc>
        <w:tc>
          <w:tcPr>
            <w:tcW w:w="367" w:type="pct"/>
            <w:tcBorders>
              <w:tl2br w:val="nil"/>
              <w:tr2bl w:val="nil"/>
            </w:tcBorders>
            <w:vAlign w:val="center"/>
          </w:tcPr>
          <w:p w14:paraId="0ADC78A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color w:val="auto"/>
                <w:spacing w:val="0"/>
                <w:w w:val="100"/>
                <w:kern w:val="21"/>
                <w:position w:val="0"/>
                <w:sz w:val="21"/>
              </w:rPr>
            </w:pPr>
            <w:r>
              <w:rPr>
                <w:rFonts w:hint="default"/>
                <w:color w:val="auto"/>
                <w:spacing w:val="0"/>
                <w:w w:val="100"/>
                <w:kern w:val="21"/>
                <w:position w:val="0"/>
                <w:sz w:val="21"/>
              </w:rPr>
              <w:t>15</w:t>
            </w:r>
          </w:p>
        </w:tc>
        <w:tc>
          <w:tcPr>
            <w:tcW w:w="374" w:type="pct"/>
            <w:tcBorders>
              <w:tl2br w:val="nil"/>
              <w:tr2bl w:val="nil"/>
            </w:tcBorders>
            <w:vAlign w:val="center"/>
          </w:tcPr>
          <w:p w14:paraId="1E217B5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eastAsia" w:eastAsia="宋体"/>
                <w:color w:val="auto"/>
                <w:spacing w:val="0"/>
                <w:w w:val="100"/>
                <w:kern w:val="21"/>
                <w:position w:val="0"/>
                <w:sz w:val="21"/>
                <w:lang w:val="en-US" w:eastAsia="zh-CN"/>
              </w:rPr>
            </w:pPr>
            <w:r>
              <w:rPr>
                <w:rFonts w:hint="default"/>
                <w:color w:val="auto"/>
                <w:spacing w:val="0"/>
                <w:w w:val="100"/>
                <w:kern w:val="21"/>
                <w:position w:val="0"/>
                <w:sz w:val="21"/>
              </w:rPr>
              <w:t>0.</w:t>
            </w:r>
            <w:r>
              <w:rPr>
                <w:rFonts w:hint="eastAsia"/>
                <w:color w:val="auto"/>
                <w:spacing w:val="0"/>
                <w:w w:val="100"/>
                <w:kern w:val="21"/>
                <w:position w:val="0"/>
                <w:sz w:val="21"/>
                <w:lang w:val="en-US" w:eastAsia="zh-CN"/>
              </w:rPr>
              <w:t>6</w:t>
            </w:r>
          </w:p>
        </w:tc>
        <w:tc>
          <w:tcPr>
            <w:tcW w:w="426" w:type="pct"/>
            <w:tcBorders>
              <w:tl2br w:val="nil"/>
              <w:tr2bl w:val="nil"/>
            </w:tcBorders>
            <w:vAlign w:val="center"/>
          </w:tcPr>
          <w:p w14:paraId="4432E90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15</w:t>
            </w:r>
          </w:p>
        </w:tc>
        <w:tc>
          <w:tcPr>
            <w:tcW w:w="328" w:type="pct"/>
            <w:tcBorders>
              <w:tl2br w:val="nil"/>
              <w:tr2bl w:val="nil"/>
            </w:tcBorders>
            <w:vAlign w:val="center"/>
          </w:tcPr>
          <w:p w14:paraId="3F689F0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环境温度</w:t>
            </w:r>
          </w:p>
        </w:tc>
        <w:tc>
          <w:tcPr>
            <w:tcW w:w="365" w:type="pct"/>
            <w:tcBorders>
              <w:tl2br w:val="nil"/>
              <w:tr2bl w:val="nil"/>
            </w:tcBorders>
            <w:vAlign w:val="center"/>
          </w:tcPr>
          <w:p w14:paraId="651DE7C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4800</w:t>
            </w:r>
          </w:p>
        </w:tc>
        <w:tc>
          <w:tcPr>
            <w:tcW w:w="261" w:type="pct"/>
            <w:tcBorders>
              <w:tl2br w:val="nil"/>
              <w:tr2bl w:val="nil"/>
            </w:tcBorders>
            <w:tcMar>
              <w:left w:w="28" w:type="dxa"/>
              <w:right w:w="28" w:type="dxa"/>
            </w:tcMar>
            <w:vAlign w:val="center"/>
          </w:tcPr>
          <w:p w14:paraId="54228A0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正常</w:t>
            </w:r>
          </w:p>
        </w:tc>
        <w:tc>
          <w:tcPr>
            <w:tcW w:w="353" w:type="pct"/>
            <w:tcBorders>
              <w:tl2br w:val="nil"/>
              <w:tr2bl w:val="nil"/>
            </w:tcBorders>
            <w:shd w:val="clear" w:color="auto" w:fill="auto"/>
            <w:tcMar>
              <w:left w:w="0" w:type="dxa"/>
              <w:right w:w="0" w:type="dxa"/>
            </w:tcMar>
            <w:vAlign w:val="center"/>
          </w:tcPr>
          <w:p w14:paraId="735D74C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heme="minorBidi"/>
                <w:color w:val="auto"/>
                <w:spacing w:val="0"/>
                <w:w w:val="100"/>
                <w:kern w:val="21"/>
                <w:position w:val="0"/>
                <w:sz w:val="21"/>
                <w:szCs w:val="24"/>
                <w:lang w:val="en-US" w:eastAsia="zh-CN" w:bidi="ar-SA"/>
              </w:rPr>
            </w:pPr>
            <w:r>
              <w:rPr>
                <w:rFonts w:hint="default"/>
                <w:color w:val="auto"/>
                <w:spacing w:val="0"/>
                <w:w w:val="100"/>
                <w:kern w:val="21"/>
                <w:position w:val="0"/>
                <w:sz w:val="21"/>
              </w:rPr>
              <w:t>非甲烷总烃</w:t>
            </w:r>
          </w:p>
        </w:tc>
        <w:tc>
          <w:tcPr>
            <w:tcW w:w="721" w:type="dxa"/>
            <w:tcBorders>
              <w:tl2br w:val="nil"/>
              <w:tr2bl w:val="nil"/>
            </w:tcBorders>
            <w:shd w:val="clear" w:color="auto" w:fill="auto"/>
            <w:vAlign w:val="center"/>
          </w:tcPr>
          <w:p w14:paraId="216ED64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heme="minorBidi"/>
                <w:color w:val="auto"/>
                <w:spacing w:val="0"/>
                <w:w w:val="100"/>
                <w:kern w:val="21"/>
                <w:position w:val="0"/>
                <w:sz w:val="21"/>
                <w:szCs w:val="24"/>
                <w:lang w:val="en-US" w:eastAsia="zh-CN" w:bidi="ar-SA"/>
              </w:rPr>
            </w:pPr>
            <w:r>
              <w:rPr>
                <w:rFonts w:hint="eastAsia"/>
                <w:color w:val="auto"/>
                <w:spacing w:val="0"/>
                <w:w w:val="100"/>
                <w:kern w:val="21"/>
                <w:position w:val="0"/>
                <w:sz w:val="21"/>
                <w:lang w:val="en-US" w:eastAsia="zh-CN"/>
              </w:rPr>
              <w:t>0.462</w:t>
            </w:r>
          </w:p>
        </w:tc>
      </w:tr>
    </w:tbl>
    <w:p w14:paraId="2666792D">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aps w:val="0"/>
          <w:color w:val="auto"/>
          <w:spacing w:val="0"/>
          <w:w w:val="100"/>
          <w:kern w:val="21"/>
          <w:position w:val="0"/>
          <w:sz w:val="21"/>
          <w:szCs w:val="21"/>
        </w:rPr>
      </w:pPr>
      <w:r>
        <w:rPr>
          <w:rFonts w:hint="eastAsia" w:ascii="宋体" w:hAnsi="宋体" w:eastAsia="宋体" w:cs="宋体"/>
          <w:b/>
          <w:bCs/>
          <w:caps w:val="0"/>
          <w:color w:val="auto"/>
          <w:spacing w:val="0"/>
          <w:w w:val="100"/>
          <w:kern w:val="21"/>
          <w:position w:val="0"/>
          <w:sz w:val="21"/>
          <w:szCs w:val="21"/>
          <w:lang w:val="en-US" w:eastAsia="zh-CN" w:bidi="ar"/>
        </w:rPr>
        <w:t>表</w:t>
      </w:r>
      <w:r>
        <w:rPr>
          <w:rFonts w:hint="default" w:ascii="Times New Roman" w:hAnsi="Times New Roman" w:eastAsia="宋体" w:cs="Times New Roman"/>
          <w:b/>
          <w:bCs/>
          <w:caps w:val="0"/>
          <w:color w:val="auto"/>
          <w:spacing w:val="0"/>
          <w:w w:val="100"/>
          <w:kern w:val="21"/>
          <w:position w:val="0"/>
          <w:sz w:val="21"/>
          <w:szCs w:val="21"/>
          <w:lang w:val="en-US" w:eastAsia="zh-CN" w:bidi="ar"/>
        </w:rPr>
        <w:t>2.3</w:t>
      </w:r>
      <w:r>
        <w:rPr>
          <w:rFonts w:hint="eastAsia" w:cs="Times New Roman"/>
          <w:b/>
          <w:bCs/>
          <w:caps w:val="0"/>
          <w:color w:val="auto"/>
          <w:spacing w:val="0"/>
          <w:w w:val="100"/>
          <w:kern w:val="21"/>
          <w:position w:val="0"/>
          <w:sz w:val="21"/>
          <w:szCs w:val="21"/>
          <w:lang w:val="en-US" w:eastAsia="zh-CN" w:bidi="ar"/>
        </w:rPr>
        <w:t>.1</w:t>
      </w:r>
      <w:r>
        <w:rPr>
          <w:rFonts w:hint="default" w:ascii="Times New Roman" w:hAnsi="Times New Roman" w:eastAsia="宋体" w:cs="Times New Roman"/>
          <w:b/>
          <w:bCs/>
          <w:caps w:val="0"/>
          <w:color w:val="auto"/>
          <w:spacing w:val="0"/>
          <w:w w:val="100"/>
          <w:kern w:val="21"/>
          <w:position w:val="0"/>
          <w:sz w:val="21"/>
          <w:szCs w:val="21"/>
          <w:lang w:val="en-US" w:eastAsia="zh-CN" w:bidi="ar"/>
        </w:rPr>
        <w:t xml:space="preserve">-4  </w:t>
      </w:r>
      <w:r>
        <w:rPr>
          <w:rFonts w:hint="eastAsia" w:ascii="宋体" w:hAnsi="宋体" w:eastAsia="宋体" w:cs="宋体"/>
          <w:b/>
          <w:bCs/>
          <w:caps w:val="0"/>
          <w:color w:val="auto"/>
          <w:spacing w:val="0"/>
          <w:w w:val="100"/>
          <w:kern w:val="21"/>
          <w:position w:val="0"/>
          <w:sz w:val="21"/>
          <w:szCs w:val="21"/>
          <w:lang w:val="en-US" w:eastAsia="zh-CN" w:bidi="ar"/>
        </w:rPr>
        <w:t>面源无组织估算模式录入参数</w:t>
      </w:r>
    </w:p>
    <w:tbl>
      <w:tblPr>
        <w:tblStyle w:val="25"/>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346"/>
        <w:gridCol w:w="697"/>
        <w:gridCol w:w="557"/>
        <w:gridCol w:w="468"/>
        <w:gridCol w:w="577"/>
        <w:gridCol w:w="620"/>
        <w:gridCol w:w="615"/>
        <w:gridCol w:w="1652"/>
        <w:gridCol w:w="1427"/>
        <w:gridCol w:w="518"/>
        <w:gridCol w:w="624"/>
        <w:gridCol w:w="851"/>
      </w:tblGrid>
      <w:tr w14:paraId="1A32CB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193" w:type="pct"/>
            <w:vMerge w:val="restart"/>
            <w:tcBorders>
              <w:tl2br w:val="nil"/>
              <w:tr2bl w:val="nil"/>
            </w:tcBorders>
            <w:vAlign w:val="center"/>
          </w:tcPr>
          <w:p w14:paraId="5C74C3B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编号</w:t>
            </w:r>
          </w:p>
        </w:tc>
        <w:tc>
          <w:tcPr>
            <w:tcW w:w="389" w:type="pct"/>
            <w:vMerge w:val="restart"/>
            <w:tcBorders>
              <w:tl2br w:val="nil"/>
              <w:tr2bl w:val="nil"/>
            </w:tcBorders>
            <w:vAlign w:val="center"/>
          </w:tcPr>
          <w:p w14:paraId="72BC8A9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名称</w:t>
            </w:r>
          </w:p>
        </w:tc>
        <w:tc>
          <w:tcPr>
            <w:tcW w:w="572" w:type="pct"/>
            <w:gridSpan w:val="2"/>
            <w:tcBorders>
              <w:tl2br w:val="nil"/>
              <w:tr2bl w:val="nil"/>
            </w:tcBorders>
            <w:vAlign w:val="center"/>
          </w:tcPr>
          <w:p w14:paraId="0761CDB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面源起点坐标/经纬度坐标</w:t>
            </w:r>
          </w:p>
        </w:tc>
        <w:tc>
          <w:tcPr>
            <w:tcW w:w="322" w:type="pct"/>
            <w:vMerge w:val="restart"/>
            <w:tcBorders>
              <w:tl2br w:val="nil"/>
              <w:tr2bl w:val="nil"/>
            </w:tcBorders>
            <w:vAlign w:val="center"/>
          </w:tcPr>
          <w:p w14:paraId="1483BA3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面源海拔/m</w:t>
            </w:r>
          </w:p>
        </w:tc>
        <w:tc>
          <w:tcPr>
            <w:tcW w:w="346" w:type="pct"/>
            <w:vMerge w:val="restart"/>
            <w:tcBorders>
              <w:tl2br w:val="nil"/>
              <w:tr2bl w:val="nil"/>
            </w:tcBorders>
            <w:vAlign w:val="center"/>
          </w:tcPr>
          <w:p w14:paraId="02A4E64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长度/m</w:t>
            </w:r>
          </w:p>
        </w:tc>
        <w:tc>
          <w:tcPr>
            <w:tcW w:w="343" w:type="pct"/>
            <w:vMerge w:val="restart"/>
            <w:tcBorders>
              <w:tl2br w:val="nil"/>
              <w:tr2bl w:val="nil"/>
            </w:tcBorders>
            <w:vAlign w:val="center"/>
          </w:tcPr>
          <w:p w14:paraId="0FB89A85">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宽度/m</w:t>
            </w:r>
          </w:p>
        </w:tc>
        <w:tc>
          <w:tcPr>
            <w:tcW w:w="922" w:type="pct"/>
            <w:vMerge w:val="restart"/>
            <w:tcBorders>
              <w:tl2br w:val="nil"/>
              <w:tr2bl w:val="nil"/>
            </w:tcBorders>
            <w:vAlign w:val="center"/>
          </w:tcPr>
          <w:p w14:paraId="645818E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bookmarkStart w:id="63" w:name="OLE_LINK1"/>
            <w:r>
              <w:rPr>
                <w:rFonts w:hint="default"/>
                <w:b/>
                <w:bCs/>
                <w:color w:val="auto"/>
                <w:spacing w:val="0"/>
                <w:w w:val="100"/>
                <w:kern w:val="21"/>
                <w:position w:val="0"/>
                <w:sz w:val="21"/>
              </w:rPr>
              <w:t>正北方向逆时针的夹角（度）</w:t>
            </w:r>
            <w:bookmarkEnd w:id="63"/>
          </w:p>
        </w:tc>
        <w:tc>
          <w:tcPr>
            <w:tcW w:w="796" w:type="pct"/>
            <w:vMerge w:val="restart"/>
            <w:tcBorders>
              <w:tl2br w:val="nil"/>
              <w:tr2bl w:val="nil"/>
            </w:tcBorders>
            <w:vAlign w:val="center"/>
          </w:tcPr>
          <w:p w14:paraId="6A56F53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bookmarkStart w:id="64" w:name="OLE_LINK3"/>
            <w:r>
              <w:rPr>
                <w:rFonts w:hint="default"/>
                <w:b/>
                <w:bCs/>
                <w:color w:val="auto"/>
                <w:spacing w:val="0"/>
                <w:w w:val="100"/>
                <w:kern w:val="21"/>
                <w:position w:val="0"/>
                <w:sz w:val="21"/>
              </w:rPr>
              <w:t>面源有效排放高度（m）</w:t>
            </w:r>
            <w:bookmarkEnd w:id="64"/>
          </w:p>
        </w:tc>
        <w:tc>
          <w:tcPr>
            <w:tcW w:w="289" w:type="pct"/>
            <w:vMerge w:val="restart"/>
            <w:tcBorders>
              <w:tl2br w:val="nil"/>
              <w:tr2bl w:val="nil"/>
            </w:tcBorders>
            <w:vAlign w:val="center"/>
          </w:tcPr>
          <w:p w14:paraId="7187908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排放工况</w:t>
            </w:r>
          </w:p>
        </w:tc>
        <w:tc>
          <w:tcPr>
            <w:tcW w:w="823" w:type="pct"/>
            <w:gridSpan w:val="2"/>
            <w:tcBorders>
              <w:tl2br w:val="nil"/>
              <w:tr2bl w:val="nil"/>
            </w:tcBorders>
            <w:vAlign w:val="center"/>
          </w:tcPr>
          <w:p w14:paraId="435F51F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排放速率（kg/h）</w:t>
            </w:r>
          </w:p>
        </w:tc>
      </w:tr>
      <w:tr w14:paraId="11D295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193" w:type="pct"/>
            <w:vMerge w:val="continue"/>
            <w:tcBorders>
              <w:tl2br w:val="nil"/>
              <w:tr2bl w:val="nil"/>
            </w:tcBorders>
            <w:vAlign w:val="center"/>
          </w:tcPr>
          <w:p w14:paraId="69308B8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p>
        </w:tc>
        <w:tc>
          <w:tcPr>
            <w:tcW w:w="389" w:type="pct"/>
            <w:vMerge w:val="continue"/>
            <w:tcBorders>
              <w:tl2br w:val="nil"/>
              <w:tr2bl w:val="nil"/>
            </w:tcBorders>
            <w:vAlign w:val="center"/>
          </w:tcPr>
          <w:p w14:paraId="1A4BBB05">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p>
        </w:tc>
        <w:tc>
          <w:tcPr>
            <w:tcW w:w="311" w:type="pct"/>
            <w:tcBorders>
              <w:tl2br w:val="nil"/>
              <w:tr2bl w:val="nil"/>
            </w:tcBorders>
            <w:vAlign w:val="center"/>
          </w:tcPr>
          <w:p w14:paraId="44E30D6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X</w:t>
            </w:r>
          </w:p>
        </w:tc>
        <w:tc>
          <w:tcPr>
            <w:tcW w:w="261" w:type="pct"/>
            <w:tcBorders>
              <w:tl2br w:val="nil"/>
              <w:tr2bl w:val="nil"/>
            </w:tcBorders>
            <w:vAlign w:val="center"/>
          </w:tcPr>
          <w:p w14:paraId="405B171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Y</w:t>
            </w:r>
          </w:p>
        </w:tc>
        <w:tc>
          <w:tcPr>
            <w:tcW w:w="322" w:type="pct"/>
            <w:vMerge w:val="continue"/>
            <w:tcBorders>
              <w:tl2br w:val="nil"/>
              <w:tr2bl w:val="nil"/>
            </w:tcBorders>
            <w:vAlign w:val="center"/>
          </w:tcPr>
          <w:p w14:paraId="724D8F2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p>
        </w:tc>
        <w:tc>
          <w:tcPr>
            <w:tcW w:w="346" w:type="pct"/>
            <w:vMerge w:val="continue"/>
            <w:tcBorders>
              <w:tl2br w:val="nil"/>
              <w:tr2bl w:val="nil"/>
            </w:tcBorders>
            <w:vAlign w:val="center"/>
          </w:tcPr>
          <w:p w14:paraId="6A2E033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p>
        </w:tc>
        <w:tc>
          <w:tcPr>
            <w:tcW w:w="343" w:type="pct"/>
            <w:vMerge w:val="continue"/>
            <w:tcBorders>
              <w:tl2br w:val="nil"/>
              <w:tr2bl w:val="nil"/>
            </w:tcBorders>
            <w:vAlign w:val="center"/>
          </w:tcPr>
          <w:p w14:paraId="48F82D4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p>
        </w:tc>
        <w:tc>
          <w:tcPr>
            <w:tcW w:w="922" w:type="pct"/>
            <w:vMerge w:val="continue"/>
            <w:tcBorders>
              <w:tl2br w:val="nil"/>
              <w:tr2bl w:val="nil"/>
            </w:tcBorders>
            <w:vAlign w:val="center"/>
          </w:tcPr>
          <w:p w14:paraId="286D3D35">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p>
        </w:tc>
        <w:tc>
          <w:tcPr>
            <w:tcW w:w="796" w:type="pct"/>
            <w:vMerge w:val="continue"/>
            <w:tcBorders>
              <w:tl2br w:val="nil"/>
              <w:tr2bl w:val="nil"/>
            </w:tcBorders>
            <w:vAlign w:val="center"/>
          </w:tcPr>
          <w:p w14:paraId="40580CE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p>
        </w:tc>
        <w:tc>
          <w:tcPr>
            <w:tcW w:w="289" w:type="pct"/>
            <w:vMerge w:val="continue"/>
            <w:tcBorders>
              <w:tl2br w:val="nil"/>
              <w:tr2bl w:val="nil"/>
            </w:tcBorders>
            <w:vAlign w:val="center"/>
          </w:tcPr>
          <w:p w14:paraId="60BCA2C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p>
        </w:tc>
        <w:tc>
          <w:tcPr>
            <w:tcW w:w="348" w:type="pct"/>
            <w:tcBorders>
              <w:tl2br w:val="nil"/>
              <w:tr2bl w:val="nil"/>
            </w:tcBorders>
            <w:vAlign w:val="center"/>
          </w:tcPr>
          <w:p w14:paraId="30E2154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颗粒物</w:t>
            </w:r>
          </w:p>
        </w:tc>
        <w:tc>
          <w:tcPr>
            <w:tcW w:w="474" w:type="pct"/>
            <w:tcBorders>
              <w:tl2br w:val="nil"/>
              <w:tr2bl w:val="nil"/>
            </w:tcBorders>
            <w:vAlign w:val="center"/>
          </w:tcPr>
          <w:p w14:paraId="6C99DAC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非甲烷总烃</w:t>
            </w:r>
          </w:p>
        </w:tc>
      </w:tr>
      <w:tr w14:paraId="67A038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193" w:type="pct"/>
            <w:tcBorders>
              <w:tl2br w:val="nil"/>
              <w:tr2bl w:val="nil"/>
            </w:tcBorders>
            <w:vAlign w:val="center"/>
          </w:tcPr>
          <w:p w14:paraId="5BC4B35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1</w:t>
            </w:r>
          </w:p>
        </w:tc>
        <w:tc>
          <w:tcPr>
            <w:tcW w:w="389" w:type="pct"/>
            <w:tcBorders>
              <w:tl2br w:val="nil"/>
              <w:tr2bl w:val="nil"/>
            </w:tcBorders>
            <w:vAlign w:val="center"/>
          </w:tcPr>
          <w:p w14:paraId="7CBE1275">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生产车间</w:t>
            </w:r>
          </w:p>
        </w:tc>
        <w:tc>
          <w:tcPr>
            <w:tcW w:w="311" w:type="pct"/>
            <w:tcBorders>
              <w:tl2br w:val="nil"/>
              <w:tr2bl w:val="nil"/>
            </w:tcBorders>
            <w:vAlign w:val="center"/>
          </w:tcPr>
          <w:p w14:paraId="6397AA6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-51</w:t>
            </w:r>
          </w:p>
        </w:tc>
        <w:tc>
          <w:tcPr>
            <w:tcW w:w="261" w:type="pct"/>
            <w:tcBorders>
              <w:tl2br w:val="nil"/>
              <w:tr2bl w:val="nil"/>
            </w:tcBorders>
            <w:vAlign w:val="center"/>
          </w:tcPr>
          <w:p w14:paraId="269C52C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color w:val="auto"/>
                <w:spacing w:val="0"/>
                <w:w w:val="100"/>
                <w:kern w:val="21"/>
                <w:position w:val="0"/>
                <w:sz w:val="21"/>
              </w:rPr>
            </w:pPr>
            <w:r>
              <w:rPr>
                <w:rFonts w:hint="eastAsia"/>
                <w:color w:val="auto"/>
                <w:spacing w:val="0"/>
                <w:w w:val="100"/>
                <w:kern w:val="21"/>
                <w:position w:val="0"/>
                <w:sz w:val="21"/>
                <w:lang w:val="en-US" w:eastAsia="zh-CN"/>
              </w:rPr>
              <w:t>4</w:t>
            </w:r>
            <w:r>
              <w:rPr>
                <w:rFonts w:hint="eastAsia"/>
                <w:color w:val="auto"/>
                <w:spacing w:val="0"/>
                <w:w w:val="100"/>
                <w:kern w:val="21"/>
                <w:position w:val="0"/>
                <w:sz w:val="21"/>
              </w:rPr>
              <w:t>9</w:t>
            </w:r>
          </w:p>
        </w:tc>
        <w:tc>
          <w:tcPr>
            <w:tcW w:w="322" w:type="pct"/>
            <w:tcBorders>
              <w:tl2br w:val="nil"/>
              <w:tr2bl w:val="nil"/>
            </w:tcBorders>
            <w:vAlign w:val="center"/>
          </w:tcPr>
          <w:p w14:paraId="08E0A0F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514</w:t>
            </w:r>
          </w:p>
        </w:tc>
        <w:tc>
          <w:tcPr>
            <w:tcW w:w="346" w:type="pct"/>
            <w:tcBorders>
              <w:tl2br w:val="nil"/>
              <w:tr2bl w:val="nil"/>
            </w:tcBorders>
            <w:vAlign w:val="center"/>
          </w:tcPr>
          <w:p w14:paraId="267F30D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140</w:t>
            </w:r>
          </w:p>
        </w:tc>
        <w:tc>
          <w:tcPr>
            <w:tcW w:w="343" w:type="pct"/>
            <w:tcBorders>
              <w:tl2br w:val="nil"/>
              <w:tr2bl w:val="nil"/>
            </w:tcBorders>
            <w:vAlign w:val="center"/>
          </w:tcPr>
          <w:p w14:paraId="09E76C7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color w:val="auto"/>
                <w:spacing w:val="0"/>
                <w:w w:val="100"/>
                <w:kern w:val="21"/>
                <w:position w:val="0"/>
                <w:sz w:val="21"/>
              </w:rPr>
            </w:pPr>
            <w:r>
              <w:rPr>
                <w:rFonts w:hint="eastAsia"/>
                <w:color w:val="auto"/>
                <w:spacing w:val="0"/>
                <w:w w:val="100"/>
                <w:kern w:val="21"/>
                <w:position w:val="0"/>
                <w:sz w:val="21"/>
                <w:lang w:val="en-US" w:eastAsia="zh-CN"/>
              </w:rPr>
              <w:t>2</w:t>
            </w:r>
            <w:r>
              <w:rPr>
                <w:rFonts w:hint="eastAsia"/>
                <w:color w:val="auto"/>
                <w:spacing w:val="0"/>
                <w:w w:val="100"/>
                <w:kern w:val="21"/>
                <w:position w:val="0"/>
                <w:sz w:val="21"/>
              </w:rPr>
              <w:t>0</w:t>
            </w:r>
          </w:p>
        </w:tc>
        <w:tc>
          <w:tcPr>
            <w:tcW w:w="922" w:type="pct"/>
            <w:tcBorders>
              <w:tl2br w:val="nil"/>
              <w:tr2bl w:val="nil"/>
            </w:tcBorders>
            <w:vAlign w:val="center"/>
          </w:tcPr>
          <w:p w14:paraId="1370C1F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0</w:t>
            </w:r>
          </w:p>
        </w:tc>
        <w:tc>
          <w:tcPr>
            <w:tcW w:w="796" w:type="pct"/>
            <w:tcBorders>
              <w:tl2br w:val="nil"/>
              <w:tr2bl w:val="nil"/>
            </w:tcBorders>
            <w:vAlign w:val="center"/>
          </w:tcPr>
          <w:p w14:paraId="005D320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eastAsia" w:eastAsia="宋体"/>
                <w:color w:val="auto"/>
                <w:spacing w:val="0"/>
                <w:w w:val="100"/>
                <w:kern w:val="21"/>
                <w:position w:val="0"/>
                <w:sz w:val="21"/>
                <w:lang w:val="en-US" w:eastAsia="zh-CN"/>
              </w:rPr>
            </w:pPr>
            <w:r>
              <w:rPr>
                <w:rFonts w:hint="default"/>
                <w:color w:val="auto"/>
                <w:spacing w:val="0"/>
                <w:w w:val="100"/>
                <w:kern w:val="21"/>
                <w:position w:val="0"/>
                <w:sz w:val="21"/>
              </w:rPr>
              <w:t>1</w:t>
            </w:r>
            <w:r>
              <w:rPr>
                <w:rFonts w:hint="eastAsia"/>
                <w:color w:val="auto"/>
                <w:spacing w:val="0"/>
                <w:w w:val="100"/>
                <w:kern w:val="21"/>
                <w:position w:val="0"/>
                <w:sz w:val="21"/>
                <w:lang w:val="en-US" w:eastAsia="zh-CN"/>
              </w:rPr>
              <w:t>2</w:t>
            </w:r>
          </w:p>
        </w:tc>
        <w:tc>
          <w:tcPr>
            <w:tcW w:w="289" w:type="pct"/>
            <w:tcBorders>
              <w:tl2br w:val="nil"/>
              <w:tr2bl w:val="nil"/>
            </w:tcBorders>
            <w:vAlign w:val="center"/>
          </w:tcPr>
          <w:p w14:paraId="294DF2D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正常</w:t>
            </w:r>
          </w:p>
        </w:tc>
        <w:tc>
          <w:tcPr>
            <w:tcW w:w="587" w:type="dxa"/>
            <w:tcBorders>
              <w:tl2br w:val="nil"/>
              <w:tr2bl w:val="nil"/>
            </w:tcBorders>
            <w:vAlign w:val="center"/>
          </w:tcPr>
          <w:p w14:paraId="2A5BCC1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0.306</w:t>
            </w:r>
          </w:p>
        </w:tc>
        <w:tc>
          <w:tcPr>
            <w:tcW w:w="800" w:type="dxa"/>
            <w:tcBorders>
              <w:tl2br w:val="nil"/>
              <w:tr2bl w:val="nil"/>
            </w:tcBorders>
            <w:vAlign w:val="center"/>
          </w:tcPr>
          <w:p w14:paraId="4B7FAB1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0.289</w:t>
            </w:r>
          </w:p>
        </w:tc>
      </w:tr>
    </w:tbl>
    <w:p w14:paraId="2A7C6DC2">
      <w:pPr>
        <w:pStyle w:val="33"/>
        <w:keepNext w:val="0"/>
        <w:keepLines w:val="0"/>
        <w:pageBreakBefore w:val="0"/>
        <w:widowControl w:val="0"/>
        <w:kinsoku/>
        <w:wordWrap/>
        <w:overflowPunct/>
        <w:topLinePunct w:val="0"/>
        <w:autoSpaceDE/>
        <w:autoSpaceDN/>
        <w:bidi w:val="0"/>
        <w:adjustRightInd/>
        <w:snapToGrid/>
        <w:spacing w:before="157" w:beforeLines="50"/>
        <w:textAlignment w:val="auto"/>
        <w:rPr>
          <w:rFonts w:hint="default"/>
          <w:color w:val="auto"/>
          <w:spacing w:val="0"/>
          <w:w w:val="100"/>
          <w:position w:val="0"/>
          <w:highlight w:val="none"/>
        </w:rPr>
      </w:pPr>
      <w:r>
        <w:rPr>
          <w:rFonts w:hint="default"/>
          <w:color w:val="auto"/>
          <w:spacing w:val="0"/>
          <w:w w:val="100"/>
          <w:position w:val="0"/>
          <w:highlight w:val="none"/>
          <w:lang w:val="zh-CN"/>
        </w:rPr>
        <w:t>表2.3</w:t>
      </w:r>
      <w:r>
        <w:rPr>
          <w:rFonts w:hint="eastAsia"/>
          <w:color w:val="auto"/>
          <w:spacing w:val="0"/>
          <w:w w:val="100"/>
          <w:position w:val="0"/>
          <w:highlight w:val="none"/>
          <w:lang w:val="en-US" w:eastAsia="zh-CN"/>
        </w:rPr>
        <w:t>.1</w:t>
      </w:r>
      <w:r>
        <w:rPr>
          <w:rFonts w:hint="default"/>
          <w:color w:val="auto"/>
          <w:spacing w:val="0"/>
          <w:w w:val="100"/>
          <w:position w:val="0"/>
          <w:highlight w:val="none"/>
          <w:lang w:val="zh-CN"/>
        </w:rPr>
        <w:t>-</w:t>
      </w:r>
      <w:r>
        <w:rPr>
          <w:rFonts w:hint="default"/>
          <w:color w:val="auto"/>
          <w:spacing w:val="0"/>
          <w:w w:val="100"/>
          <w:position w:val="0"/>
          <w:highlight w:val="none"/>
          <w:lang w:val="en-US" w:eastAsia="zh-CN"/>
        </w:rPr>
        <w:t>5</w:t>
      </w:r>
      <w:r>
        <w:rPr>
          <w:rFonts w:hint="default"/>
          <w:color w:val="auto"/>
          <w:spacing w:val="0"/>
          <w:w w:val="100"/>
          <w:position w:val="0"/>
          <w:highlight w:val="none"/>
          <w:lang w:val="zh-CN"/>
        </w:rPr>
        <w:t xml:space="preserve">  大气污染源最大地面浓度及占标率计算结果</w:t>
      </w:r>
    </w:p>
    <w:tbl>
      <w:tblPr>
        <w:tblStyle w:val="36"/>
        <w:tblW w:w="4997"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57" w:type="dxa"/>
          <w:left w:w="57" w:type="dxa"/>
          <w:bottom w:w="57" w:type="dxa"/>
          <w:right w:w="57" w:type="dxa"/>
        </w:tblCellMar>
      </w:tblPr>
      <w:tblGrid>
        <w:gridCol w:w="585"/>
        <w:gridCol w:w="1071"/>
        <w:gridCol w:w="1290"/>
        <w:gridCol w:w="1184"/>
        <w:gridCol w:w="1184"/>
        <w:gridCol w:w="1304"/>
        <w:gridCol w:w="978"/>
        <w:gridCol w:w="641"/>
        <w:gridCol w:w="715"/>
      </w:tblGrid>
      <w:tr w14:paraId="2B79D62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925" w:type="pct"/>
            <w:gridSpan w:val="2"/>
            <w:tcBorders>
              <w:tl2br w:val="nil"/>
              <w:tr2bl w:val="nil"/>
            </w:tcBorders>
            <w:noWrap w:val="0"/>
            <w:vAlign w:val="center"/>
          </w:tcPr>
          <w:p w14:paraId="6E57A8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污染源</w:t>
            </w:r>
          </w:p>
        </w:tc>
        <w:tc>
          <w:tcPr>
            <w:tcW w:w="720" w:type="pct"/>
            <w:tcBorders>
              <w:tl2br w:val="nil"/>
              <w:tr2bl w:val="nil"/>
            </w:tcBorders>
            <w:noWrap w:val="0"/>
            <w:vAlign w:val="center"/>
          </w:tcPr>
          <w:p w14:paraId="3AE0BC3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污染物</w:t>
            </w:r>
          </w:p>
        </w:tc>
        <w:tc>
          <w:tcPr>
            <w:tcW w:w="661" w:type="pct"/>
            <w:tcBorders>
              <w:tl2br w:val="nil"/>
              <w:tr2bl w:val="nil"/>
            </w:tcBorders>
            <w:noWrap w:val="0"/>
            <w:vAlign w:val="center"/>
          </w:tcPr>
          <w:p w14:paraId="2F4B43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标准值</w:t>
            </w:r>
          </w:p>
          <w:p w14:paraId="7209671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（μg/m</w:t>
            </w:r>
            <w:r>
              <w:rPr>
                <w:rFonts w:hint="default" w:ascii="Times New Roman" w:hAnsi="Times New Roman" w:eastAsia="宋体" w:cs="Times New Roman"/>
                <w:b/>
                <w:bCs/>
                <w:snapToGrid/>
                <w:color w:val="auto"/>
                <w:spacing w:val="0"/>
                <w:w w:val="100"/>
                <w:kern w:val="28"/>
                <w:position w:val="0"/>
                <w:sz w:val="21"/>
                <w:szCs w:val="21"/>
                <w:highlight w:val="none"/>
                <w:vertAlign w:val="superscript"/>
                <w:lang w:val="en-US" w:eastAsia="zh-CN"/>
              </w:rPr>
              <w:t>3</w:t>
            </w: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w:t>
            </w:r>
          </w:p>
        </w:tc>
        <w:tc>
          <w:tcPr>
            <w:tcW w:w="661" w:type="pct"/>
            <w:tcBorders>
              <w:tl2br w:val="nil"/>
              <w:tr2bl w:val="nil"/>
            </w:tcBorders>
            <w:noWrap w:val="0"/>
            <w:vAlign w:val="center"/>
          </w:tcPr>
          <w:p w14:paraId="4FEAAD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最大浓度Cmax（μg/m</w:t>
            </w:r>
            <w:r>
              <w:rPr>
                <w:rFonts w:hint="default" w:ascii="Times New Roman" w:hAnsi="Times New Roman" w:eastAsia="宋体" w:cs="Times New Roman"/>
                <w:b/>
                <w:bCs/>
                <w:snapToGrid/>
                <w:color w:val="auto"/>
                <w:spacing w:val="0"/>
                <w:w w:val="100"/>
                <w:kern w:val="28"/>
                <w:position w:val="0"/>
                <w:sz w:val="21"/>
                <w:szCs w:val="21"/>
                <w:highlight w:val="none"/>
                <w:vertAlign w:val="superscript"/>
                <w:lang w:val="en-US" w:eastAsia="zh-CN"/>
              </w:rPr>
              <w:t>3</w:t>
            </w: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w:t>
            </w:r>
          </w:p>
        </w:tc>
        <w:tc>
          <w:tcPr>
            <w:tcW w:w="728" w:type="pct"/>
            <w:tcBorders>
              <w:tl2br w:val="nil"/>
              <w:tr2bl w:val="nil"/>
            </w:tcBorders>
            <w:noWrap w:val="0"/>
            <w:vAlign w:val="center"/>
          </w:tcPr>
          <w:p w14:paraId="0EFD29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最大地面浓度占标率Pmax（%）</w:t>
            </w:r>
          </w:p>
        </w:tc>
        <w:tc>
          <w:tcPr>
            <w:tcW w:w="546" w:type="pct"/>
            <w:tcBorders>
              <w:tl2br w:val="nil"/>
              <w:tr2bl w:val="nil"/>
            </w:tcBorders>
            <w:noWrap w:val="0"/>
            <w:vAlign w:val="center"/>
          </w:tcPr>
          <w:p w14:paraId="36D4CCB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最远距离D10%（m）</w:t>
            </w:r>
          </w:p>
        </w:tc>
        <w:tc>
          <w:tcPr>
            <w:tcW w:w="358" w:type="pct"/>
            <w:tcBorders>
              <w:tl2br w:val="nil"/>
              <w:tr2bl w:val="nil"/>
            </w:tcBorders>
            <w:noWrap w:val="0"/>
            <w:vAlign w:val="center"/>
          </w:tcPr>
          <w:p w14:paraId="03B3CD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评价工作等级</w:t>
            </w:r>
          </w:p>
        </w:tc>
        <w:tc>
          <w:tcPr>
            <w:tcW w:w="399" w:type="pct"/>
            <w:tcBorders>
              <w:tl2br w:val="nil"/>
              <w:tr2bl w:val="nil"/>
            </w:tcBorders>
            <w:noWrap w:val="0"/>
            <w:vAlign w:val="center"/>
          </w:tcPr>
          <w:p w14:paraId="26982D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大气评价工作等级</w:t>
            </w:r>
          </w:p>
        </w:tc>
      </w:tr>
      <w:tr w14:paraId="07CCD2D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327" w:type="pct"/>
            <w:tcBorders>
              <w:tl2br w:val="nil"/>
              <w:tr2bl w:val="nil"/>
            </w:tcBorders>
            <w:noWrap w:val="0"/>
            <w:vAlign w:val="center"/>
          </w:tcPr>
          <w:p w14:paraId="0D4A0CA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snapToGrid/>
                <w:color w:val="auto"/>
                <w:spacing w:val="0"/>
                <w:w w:val="100"/>
                <w:kern w:val="28"/>
                <w:position w:val="0"/>
                <w:sz w:val="21"/>
                <w:szCs w:val="21"/>
                <w:highlight w:val="none"/>
                <w:lang w:val="en-US" w:eastAsia="zh-CN"/>
              </w:rPr>
              <w:t>点源</w:t>
            </w:r>
          </w:p>
        </w:tc>
        <w:tc>
          <w:tcPr>
            <w:tcW w:w="597" w:type="pct"/>
            <w:tcBorders>
              <w:tl2br w:val="nil"/>
              <w:tr2bl w:val="nil"/>
            </w:tcBorders>
            <w:noWrap w:val="0"/>
            <w:vAlign w:val="center"/>
          </w:tcPr>
          <w:p w14:paraId="2EAB84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DA001</w:t>
            </w:r>
          </w:p>
        </w:tc>
        <w:tc>
          <w:tcPr>
            <w:tcW w:w="720" w:type="pct"/>
            <w:tcBorders>
              <w:tl2br w:val="nil"/>
              <w:tr2bl w:val="nil"/>
            </w:tcBorders>
            <w:noWrap w:val="0"/>
            <w:vAlign w:val="center"/>
          </w:tcPr>
          <w:p w14:paraId="04D45C33">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auto"/>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PM</w:t>
            </w:r>
            <w:r>
              <w:rPr>
                <w:rFonts w:hint="eastAsia" w:ascii="Times New Roman" w:hAnsi="Times New Roman" w:eastAsia="宋体" w:cs="Times New Roman"/>
                <w:snapToGrid/>
                <w:color w:val="auto"/>
                <w:spacing w:val="0"/>
                <w:w w:val="100"/>
                <w:kern w:val="28"/>
                <w:position w:val="0"/>
                <w:sz w:val="21"/>
                <w:szCs w:val="21"/>
                <w:highlight w:val="none"/>
                <w:vertAlign w:val="subscript"/>
                <w:lang w:val="en-US" w:eastAsia="zh-CN"/>
              </w:rPr>
              <w:t>10</w:t>
            </w:r>
          </w:p>
        </w:tc>
        <w:tc>
          <w:tcPr>
            <w:tcW w:w="661" w:type="pct"/>
            <w:tcBorders>
              <w:tl2br w:val="nil"/>
              <w:tr2bl w:val="nil"/>
            </w:tcBorders>
            <w:noWrap w:val="0"/>
            <w:vAlign w:val="center"/>
          </w:tcPr>
          <w:p w14:paraId="0832F2A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120</w:t>
            </w:r>
          </w:p>
        </w:tc>
        <w:tc>
          <w:tcPr>
            <w:tcW w:w="1113" w:type="dxa"/>
            <w:tcBorders>
              <w:tl2br w:val="nil"/>
              <w:tr2bl w:val="nil"/>
            </w:tcBorders>
            <w:noWrap w:val="0"/>
            <w:vAlign w:val="center"/>
          </w:tcPr>
          <w:p w14:paraId="4BB9B46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1.3585</w:t>
            </w:r>
          </w:p>
        </w:tc>
        <w:tc>
          <w:tcPr>
            <w:tcW w:w="1226" w:type="dxa"/>
            <w:tcBorders>
              <w:tl2br w:val="nil"/>
              <w:tr2bl w:val="nil"/>
            </w:tcBorders>
            <w:noWrap w:val="0"/>
            <w:vAlign w:val="center"/>
          </w:tcPr>
          <w:p w14:paraId="49D374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0.38</w:t>
            </w:r>
          </w:p>
        </w:tc>
        <w:tc>
          <w:tcPr>
            <w:tcW w:w="919" w:type="dxa"/>
            <w:tcBorders>
              <w:tl2br w:val="nil"/>
              <w:tr2bl w:val="nil"/>
            </w:tcBorders>
            <w:noWrap w:val="0"/>
            <w:vAlign w:val="center"/>
          </w:tcPr>
          <w:p w14:paraId="074C56D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w:t>
            </w:r>
          </w:p>
        </w:tc>
        <w:tc>
          <w:tcPr>
            <w:tcW w:w="358" w:type="pct"/>
            <w:tcBorders>
              <w:tl2br w:val="nil"/>
              <w:tr2bl w:val="nil"/>
            </w:tcBorders>
            <w:noWrap w:val="0"/>
            <w:vAlign w:val="center"/>
          </w:tcPr>
          <w:p w14:paraId="7A4FD8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snapToGrid/>
                <w:color w:val="auto"/>
                <w:spacing w:val="0"/>
                <w:w w:val="100"/>
                <w:kern w:val="28"/>
                <w:position w:val="0"/>
                <w:sz w:val="21"/>
                <w:szCs w:val="21"/>
                <w:highlight w:val="none"/>
                <w:lang w:val="en-US" w:eastAsia="zh-CN"/>
              </w:rPr>
              <w:t>三级</w:t>
            </w:r>
          </w:p>
        </w:tc>
        <w:tc>
          <w:tcPr>
            <w:tcW w:w="399" w:type="pct"/>
            <w:vMerge w:val="restart"/>
            <w:tcBorders>
              <w:tl2br w:val="nil"/>
              <w:tr2bl w:val="nil"/>
            </w:tcBorders>
            <w:noWrap w:val="0"/>
            <w:vAlign w:val="center"/>
          </w:tcPr>
          <w:p w14:paraId="5A7D65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default" w:ascii="Times New Roman" w:hAnsi="Times New Roman" w:eastAsia="宋体" w:cs="Times New Roman"/>
                <w:snapToGrid/>
                <w:color w:val="auto"/>
                <w:spacing w:val="0"/>
                <w:w w:val="100"/>
                <w:kern w:val="28"/>
                <w:position w:val="0"/>
                <w:sz w:val="21"/>
                <w:szCs w:val="21"/>
                <w:highlight w:val="none"/>
                <w:lang w:val="en-US" w:eastAsia="zh-CN"/>
              </w:rPr>
              <w:t>二级</w:t>
            </w:r>
          </w:p>
        </w:tc>
      </w:tr>
      <w:tr w14:paraId="4FA73E8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327" w:type="pct"/>
            <w:tcBorders>
              <w:tl2br w:val="nil"/>
              <w:tr2bl w:val="nil"/>
            </w:tcBorders>
            <w:noWrap w:val="0"/>
            <w:vAlign w:val="center"/>
          </w:tcPr>
          <w:p w14:paraId="2D9933A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snapToGrid/>
                <w:color w:val="auto"/>
                <w:spacing w:val="0"/>
                <w:w w:val="100"/>
                <w:kern w:val="28"/>
                <w:position w:val="0"/>
                <w:sz w:val="21"/>
                <w:szCs w:val="21"/>
                <w:highlight w:val="none"/>
                <w:lang w:val="en-US" w:eastAsia="zh-CN"/>
              </w:rPr>
              <w:t>点源</w:t>
            </w:r>
          </w:p>
        </w:tc>
        <w:tc>
          <w:tcPr>
            <w:tcW w:w="597" w:type="pct"/>
            <w:tcBorders>
              <w:tl2br w:val="nil"/>
              <w:tr2bl w:val="nil"/>
            </w:tcBorders>
            <w:noWrap w:val="0"/>
            <w:vAlign w:val="center"/>
          </w:tcPr>
          <w:p w14:paraId="77E2477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DA002</w:t>
            </w:r>
          </w:p>
        </w:tc>
        <w:tc>
          <w:tcPr>
            <w:tcW w:w="720" w:type="pct"/>
            <w:tcBorders>
              <w:tl2br w:val="nil"/>
              <w:tr2bl w:val="nil"/>
            </w:tcBorders>
            <w:noWrap w:val="0"/>
            <w:vAlign w:val="center"/>
          </w:tcPr>
          <w:p w14:paraId="1D8E0A16">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auto"/>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非甲烷总烃</w:t>
            </w:r>
          </w:p>
        </w:tc>
        <w:tc>
          <w:tcPr>
            <w:tcW w:w="661" w:type="pct"/>
            <w:tcBorders>
              <w:tl2br w:val="nil"/>
              <w:tr2bl w:val="nil"/>
            </w:tcBorders>
            <w:noWrap w:val="0"/>
            <w:vAlign w:val="center"/>
          </w:tcPr>
          <w:p w14:paraId="20C666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2mg/m</w:t>
            </w:r>
            <w:r>
              <w:rPr>
                <w:rFonts w:hint="eastAsia" w:cs="Times New Roman"/>
                <w:snapToGrid/>
                <w:color w:val="auto"/>
                <w:spacing w:val="0"/>
                <w:w w:val="100"/>
                <w:kern w:val="28"/>
                <w:position w:val="0"/>
                <w:sz w:val="21"/>
                <w:szCs w:val="21"/>
                <w:highlight w:val="none"/>
                <w:vertAlign w:val="superscript"/>
                <w:lang w:val="en-US" w:eastAsia="zh-CN"/>
              </w:rPr>
              <w:t>3</w:t>
            </w:r>
          </w:p>
        </w:tc>
        <w:tc>
          <w:tcPr>
            <w:tcW w:w="1113" w:type="dxa"/>
            <w:tcBorders>
              <w:tl2br w:val="nil"/>
              <w:tr2bl w:val="nil"/>
            </w:tcBorders>
            <w:noWrap w:val="0"/>
            <w:vAlign w:val="center"/>
          </w:tcPr>
          <w:p w14:paraId="2EBD49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8.2311</w:t>
            </w:r>
          </w:p>
        </w:tc>
        <w:tc>
          <w:tcPr>
            <w:tcW w:w="1226" w:type="dxa"/>
            <w:tcBorders>
              <w:tl2br w:val="nil"/>
              <w:tr2bl w:val="nil"/>
            </w:tcBorders>
            <w:noWrap w:val="0"/>
            <w:vAlign w:val="center"/>
          </w:tcPr>
          <w:p w14:paraId="2660AAE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0.41</w:t>
            </w:r>
          </w:p>
        </w:tc>
        <w:tc>
          <w:tcPr>
            <w:tcW w:w="919" w:type="dxa"/>
            <w:tcBorders>
              <w:tl2br w:val="nil"/>
              <w:tr2bl w:val="nil"/>
            </w:tcBorders>
            <w:noWrap w:val="0"/>
            <w:vAlign w:val="center"/>
          </w:tcPr>
          <w:p w14:paraId="49D7956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w:t>
            </w:r>
          </w:p>
        </w:tc>
        <w:tc>
          <w:tcPr>
            <w:tcW w:w="358" w:type="pct"/>
            <w:tcBorders>
              <w:tl2br w:val="nil"/>
              <w:tr2bl w:val="nil"/>
            </w:tcBorders>
            <w:noWrap w:val="0"/>
            <w:vAlign w:val="center"/>
          </w:tcPr>
          <w:p w14:paraId="370F808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snapToGrid/>
                <w:color w:val="auto"/>
                <w:spacing w:val="0"/>
                <w:w w:val="100"/>
                <w:kern w:val="28"/>
                <w:position w:val="0"/>
                <w:sz w:val="21"/>
                <w:szCs w:val="21"/>
                <w:highlight w:val="none"/>
                <w:lang w:val="en-US" w:eastAsia="zh-CN"/>
              </w:rPr>
            </w:pPr>
            <w:r>
              <w:rPr>
                <w:rFonts w:hint="default" w:ascii="Times New Roman" w:hAnsi="Times New Roman" w:eastAsia="宋体" w:cs="Times New Roman"/>
                <w:snapToGrid/>
                <w:color w:val="auto"/>
                <w:spacing w:val="0"/>
                <w:w w:val="100"/>
                <w:kern w:val="28"/>
                <w:position w:val="0"/>
                <w:sz w:val="21"/>
                <w:szCs w:val="21"/>
                <w:highlight w:val="none"/>
                <w:lang w:val="en-US" w:eastAsia="zh-CN"/>
              </w:rPr>
              <w:t>三级</w:t>
            </w:r>
          </w:p>
        </w:tc>
        <w:tc>
          <w:tcPr>
            <w:tcW w:w="399" w:type="pct"/>
            <w:vMerge w:val="continue"/>
            <w:tcBorders>
              <w:tl2br w:val="nil"/>
              <w:tr2bl w:val="nil"/>
            </w:tcBorders>
            <w:noWrap w:val="0"/>
            <w:vAlign w:val="center"/>
          </w:tcPr>
          <w:p w14:paraId="3530280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p>
        </w:tc>
      </w:tr>
      <w:tr w14:paraId="606ED20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327" w:type="pct"/>
            <w:vMerge w:val="restart"/>
            <w:tcBorders>
              <w:tl2br w:val="nil"/>
              <w:tr2bl w:val="nil"/>
            </w:tcBorders>
            <w:noWrap w:val="0"/>
            <w:vAlign w:val="center"/>
          </w:tcPr>
          <w:p w14:paraId="5D897A1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default" w:ascii="Times New Roman" w:hAnsi="Times New Roman" w:eastAsia="宋体" w:cs="Times New Roman"/>
                <w:snapToGrid/>
                <w:color w:val="auto"/>
                <w:spacing w:val="0"/>
                <w:w w:val="100"/>
                <w:kern w:val="28"/>
                <w:position w:val="0"/>
                <w:sz w:val="21"/>
                <w:szCs w:val="21"/>
                <w:highlight w:val="none"/>
                <w:lang w:val="en-US" w:eastAsia="zh-CN"/>
              </w:rPr>
              <w:t>面源</w:t>
            </w:r>
          </w:p>
        </w:tc>
        <w:tc>
          <w:tcPr>
            <w:tcW w:w="597" w:type="pct"/>
            <w:vMerge w:val="restart"/>
            <w:tcBorders>
              <w:tl2br w:val="nil"/>
              <w:tr2bl w:val="nil"/>
            </w:tcBorders>
            <w:noWrap w:val="0"/>
            <w:vAlign w:val="center"/>
          </w:tcPr>
          <w:p w14:paraId="6B9B2A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生产车间</w:t>
            </w:r>
          </w:p>
        </w:tc>
        <w:tc>
          <w:tcPr>
            <w:tcW w:w="720" w:type="pct"/>
            <w:tcBorders>
              <w:tl2br w:val="nil"/>
              <w:tr2bl w:val="nil"/>
            </w:tcBorders>
            <w:noWrap w:val="0"/>
            <w:vAlign w:val="center"/>
          </w:tcPr>
          <w:p w14:paraId="27EBA3D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颗粒物</w:t>
            </w:r>
          </w:p>
        </w:tc>
        <w:tc>
          <w:tcPr>
            <w:tcW w:w="661" w:type="pct"/>
            <w:tcBorders>
              <w:tl2br w:val="nil"/>
              <w:tr2bl w:val="nil"/>
            </w:tcBorders>
            <w:noWrap w:val="0"/>
            <w:vAlign w:val="center"/>
          </w:tcPr>
          <w:p w14:paraId="6AB4262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300</w:t>
            </w:r>
          </w:p>
        </w:tc>
        <w:tc>
          <w:tcPr>
            <w:tcW w:w="1113" w:type="dxa"/>
            <w:tcBorders>
              <w:tl2br w:val="nil"/>
              <w:tr2bl w:val="nil"/>
            </w:tcBorders>
            <w:noWrap w:val="0"/>
            <w:vAlign w:val="center"/>
          </w:tcPr>
          <w:p w14:paraId="09EFDA3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72.798</w:t>
            </w:r>
          </w:p>
        </w:tc>
        <w:tc>
          <w:tcPr>
            <w:tcW w:w="1226" w:type="dxa"/>
            <w:tcBorders>
              <w:tl2br w:val="nil"/>
              <w:tr2bl w:val="nil"/>
            </w:tcBorders>
            <w:noWrap w:val="0"/>
            <w:vAlign w:val="center"/>
          </w:tcPr>
          <w:p w14:paraId="3A5BAAB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8.09</w:t>
            </w:r>
          </w:p>
        </w:tc>
        <w:tc>
          <w:tcPr>
            <w:tcW w:w="919" w:type="dxa"/>
            <w:tcBorders>
              <w:tl2br w:val="nil"/>
              <w:tr2bl w:val="nil"/>
            </w:tcBorders>
            <w:noWrap w:val="0"/>
            <w:vAlign w:val="center"/>
          </w:tcPr>
          <w:p w14:paraId="2AAD54D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w:t>
            </w:r>
          </w:p>
        </w:tc>
        <w:tc>
          <w:tcPr>
            <w:tcW w:w="358" w:type="pct"/>
            <w:tcBorders>
              <w:tl2br w:val="nil"/>
              <w:tr2bl w:val="nil"/>
            </w:tcBorders>
            <w:noWrap w:val="0"/>
            <w:vAlign w:val="center"/>
          </w:tcPr>
          <w:p w14:paraId="67CD00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二</w:t>
            </w:r>
            <w:r>
              <w:rPr>
                <w:rFonts w:hint="default" w:ascii="Times New Roman" w:hAnsi="Times New Roman" w:eastAsia="宋体" w:cs="Times New Roman"/>
                <w:snapToGrid/>
                <w:color w:val="auto"/>
                <w:spacing w:val="0"/>
                <w:w w:val="100"/>
                <w:kern w:val="28"/>
                <w:position w:val="0"/>
                <w:sz w:val="21"/>
                <w:szCs w:val="21"/>
                <w:highlight w:val="none"/>
                <w:lang w:val="en-US" w:eastAsia="zh-CN"/>
              </w:rPr>
              <w:t>级</w:t>
            </w:r>
          </w:p>
        </w:tc>
        <w:tc>
          <w:tcPr>
            <w:tcW w:w="399" w:type="pct"/>
            <w:vMerge w:val="continue"/>
            <w:tcBorders>
              <w:tl2br w:val="nil"/>
              <w:tr2bl w:val="nil"/>
            </w:tcBorders>
            <w:noWrap w:val="0"/>
            <w:vAlign w:val="center"/>
          </w:tcPr>
          <w:p w14:paraId="6DA187B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p>
        </w:tc>
      </w:tr>
      <w:tr w14:paraId="03603AC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327" w:type="pct"/>
            <w:vMerge w:val="continue"/>
            <w:tcBorders>
              <w:tl2br w:val="nil"/>
              <w:tr2bl w:val="nil"/>
            </w:tcBorders>
            <w:noWrap w:val="0"/>
            <w:vAlign w:val="center"/>
          </w:tcPr>
          <w:p w14:paraId="7C583C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p>
        </w:tc>
        <w:tc>
          <w:tcPr>
            <w:tcW w:w="597" w:type="pct"/>
            <w:vMerge w:val="continue"/>
            <w:tcBorders>
              <w:tl2br w:val="nil"/>
              <w:tr2bl w:val="nil"/>
            </w:tcBorders>
            <w:noWrap w:val="0"/>
            <w:vAlign w:val="center"/>
          </w:tcPr>
          <w:p w14:paraId="541E77B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p>
        </w:tc>
        <w:tc>
          <w:tcPr>
            <w:tcW w:w="720" w:type="pct"/>
            <w:tcBorders>
              <w:tl2br w:val="nil"/>
              <w:tr2bl w:val="nil"/>
            </w:tcBorders>
            <w:noWrap w:val="0"/>
            <w:vAlign w:val="center"/>
          </w:tcPr>
          <w:p w14:paraId="6470924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非甲烷总烃</w:t>
            </w:r>
          </w:p>
        </w:tc>
        <w:tc>
          <w:tcPr>
            <w:tcW w:w="661" w:type="pct"/>
            <w:tcBorders>
              <w:tl2br w:val="nil"/>
              <w:tr2bl w:val="nil"/>
            </w:tcBorders>
            <w:noWrap w:val="0"/>
            <w:vAlign w:val="center"/>
          </w:tcPr>
          <w:p w14:paraId="559A4A6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2mg/m</w:t>
            </w:r>
            <w:r>
              <w:rPr>
                <w:rFonts w:hint="eastAsia" w:cs="Times New Roman"/>
                <w:snapToGrid/>
                <w:color w:val="auto"/>
                <w:spacing w:val="0"/>
                <w:w w:val="100"/>
                <w:kern w:val="28"/>
                <w:position w:val="0"/>
                <w:sz w:val="21"/>
                <w:szCs w:val="21"/>
                <w:highlight w:val="none"/>
                <w:vertAlign w:val="superscript"/>
                <w:lang w:val="en-US" w:eastAsia="zh-CN"/>
              </w:rPr>
              <w:t>3</w:t>
            </w:r>
          </w:p>
        </w:tc>
        <w:tc>
          <w:tcPr>
            <w:tcW w:w="1113" w:type="dxa"/>
            <w:tcBorders>
              <w:tl2br w:val="nil"/>
              <w:tr2bl w:val="nil"/>
            </w:tcBorders>
            <w:noWrap w:val="0"/>
            <w:vAlign w:val="center"/>
          </w:tcPr>
          <w:p w14:paraId="79BFC4E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72.798</w:t>
            </w:r>
          </w:p>
        </w:tc>
        <w:tc>
          <w:tcPr>
            <w:tcW w:w="1226" w:type="dxa"/>
            <w:tcBorders>
              <w:tl2br w:val="nil"/>
              <w:tr2bl w:val="nil"/>
            </w:tcBorders>
            <w:noWrap w:val="0"/>
            <w:vAlign w:val="center"/>
          </w:tcPr>
          <w:p w14:paraId="09ED701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3.64</w:t>
            </w:r>
          </w:p>
        </w:tc>
        <w:tc>
          <w:tcPr>
            <w:tcW w:w="919" w:type="dxa"/>
            <w:tcBorders>
              <w:tl2br w:val="nil"/>
              <w:tr2bl w:val="nil"/>
            </w:tcBorders>
            <w:noWrap w:val="0"/>
            <w:vAlign w:val="center"/>
          </w:tcPr>
          <w:p w14:paraId="52F5BD3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w:t>
            </w:r>
          </w:p>
        </w:tc>
        <w:tc>
          <w:tcPr>
            <w:tcW w:w="358" w:type="pct"/>
            <w:tcBorders>
              <w:tl2br w:val="nil"/>
              <w:tr2bl w:val="nil"/>
            </w:tcBorders>
            <w:noWrap w:val="0"/>
            <w:vAlign w:val="center"/>
          </w:tcPr>
          <w:p w14:paraId="261796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二</w:t>
            </w:r>
            <w:r>
              <w:rPr>
                <w:rFonts w:hint="default" w:ascii="Times New Roman" w:hAnsi="Times New Roman" w:eastAsia="宋体" w:cs="Times New Roman"/>
                <w:snapToGrid/>
                <w:color w:val="auto"/>
                <w:spacing w:val="0"/>
                <w:w w:val="100"/>
                <w:kern w:val="28"/>
                <w:position w:val="0"/>
                <w:sz w:val="21"/>
                <w:szCs w:val="21"/>
                <w:highlight w:val="none"/>
                <w:lang w:val="en-US" w:eastAsia="zh-CN"/>
              </w:rPr>
              <w:t>级</w:t>
            </w:r>
          </w:p>
        </w:tc>
        <w:tc>
          <w:tcPr>
            <w:tcW w:w="399" w:type="pct"/>
            <w:vMerge w:val="continue"/>
            <w:tcBorders>
              <w:tl2br w:val="nil"/>
              <w:tr2bl w:val="nil"/>
            </w:tcBorders>
            <w:noWrap w:val="0"/>
            <w:vAlign w:val="center"/>
          </w:tcPr>
          <w:p w14:paraId="63055AE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rPr>
            </w:pPr>
          </w:p>
        </w:tc>
      </w:tr>
    </w:tbl>
    <w:p w14:paraId="3785D7EF">
      <w:pPr>
        <w:keepNext w:val="0"/>
        <w:keepLines w:val="0"/>
        <w:pageBreakBefore w:val="0"/>
        <w:widowControl w:val="0"/>
        <w:kinsoku/>
        <w:wordWrap/>
        <w:overflowPunct/>
        <w:topLinePunct w:val="0"/>
        <w:autoSpaceDE/>
        <w:autoSpaceDN/>
        <w:bidi w:val="0"/>
        <w:ind w:firstLine="480"/>
        <w:rPr>
          <w:color w:val="auto"/>
          <w:spacing w:val="0"/>
          <w:w w:val="100"/>
          <w:kern w:val="21"/>
          <w:position w:val="0"/>
        </w:rPr>
      </w:pPr>
      <w:bookmarkStart w:id="65" w:name="_Toc29380"/>
      <w:bookmarkStart w:id="66" w:name="_Toc21040"/>
      <w:bookmarkStart w:id="67" w:name="_Toc23594"/>
      <w:bookmarkStart w:id="68" w:name="_Toc14879"/>
      <w:bookmarkStart w:id="69" w:name="_Toc28975"/>
      <w:bookmarkStart w:id="70" w:name="_Toc31406"/>
      <w:bookmarkStart w:id="71" w:name="_Toc5919"/>
      <w:bookmarkStart w:id="72" w:name="_Toc24055"/>
      <w:bookmarkStart w:id="73" w:name="_Toc11321"/>
      <w:bookmarkStart w:id="74" w:name="_Toc23997"/>
      <w:r>
        <w:rPr>
          <w:color w:val="auto"/>
          <w:spacing w:val="0"/>
          <w:w w:val="100"/>
          <w:kern w:val="21"/>
          <w:position w:val="0"/>
          <w:szCs w:val="24"/>
        </w:rPr>
        <w:t>本项目Pmax最大值出现为</w:t>
      </w:r>
      <w:r>
        <w:rPr>
          <w:rFonts w:hint="eastAsia"/>
          <w:color w:val="auto"/>
          <w:spacing w:val="0"/>
          <w:w w:val="100"/>
          <w:kern w:val="21"/>
          <w:position w:val="0"/>
          <w:szCs w:val="24"/>
          <w:lang w:val="en-US" w:eastAsia="zh-CN"/>
        </w:rPr>
        <w:t>生产车间</w:t>
      </w:r>
      <w:r>
        <w:rPr>
          <w:color w:val="auto"/>
          <w:spacing w:val="0"/>
          <w:w w:val="100"/>
          <w:kern w:val="21"/>
          <w:position w:val="0"/>
          <w:szCs w:val="24"/>
        </w:rPr>
        <w:t>矩形面源排放的</w:t>
      </w:r>
      <w:r>
        <w:rPr>
          <w:rFonts w:hint="eastAsia"/>
          <w:color w:val="auto"/>
          <w:spacing w:val="0"/>
          <w:w w:val="100"/>
          <w:kern w:val="21"/>
          <w:position w:val="0"/>
          <w:szCs w:val="24"/>
          <w:lang w:val="en-US" w:eastAsia="zh-CN"/>
        </w:rPr>
        <w:t>颗粒物</w:t>
      </w:r>
      <w:r>
        <w:rPr>
          <w:color w:val="auto"/>
          <w:spacing w:val="0"/>
          <w:w w:val="100"/>
          <w:kern w:val="21"/>
          <w:position w:val="0"/>
          <w:szCs w:val="24"/>
        </w:rPr>
        <w:t>，Pmax值为</w:t>
      </w:r>
      <w:r>
        <w:rPr>
          <w:rFonts w:hint="eastAsia"/>
          <w:color w:val="auto"/>
          <w:spacing w:val="0"/>
          <w:w w:val="100"/>
          <w:kern w:val="21"/>
          <w:position w:val="0"/>
          <w:lang w:val="en-US" w:eastAsia="zh-CN"/>
        </w:rPr>
        <w:t>8.09</w:t>
      </w:r>
      <w:r>
        <w:rPr>
          <w:color w:val="auto"/>
          <w:spacing w:val="0"/>
          <w:w w:val="100"/>
          <w:kern w:val="21"/>
          <w:position w:val="0"/>
        </w:rPr>
        <w:t>%</w:t>
      </w:r>
      <w:r>
        <w:rPr>
          <w:color w:val="auto"/>
          <w:spacing w:val="0"/>
          <w:w w:val="100"/>
          <w:kern w:val="21"/>
          <w:position w:val="0"/>
          <w:szCs w:val="24"/>
        </w:rPr>
        <w:t>，Cmax为</w:t>
      </w:r>
      <w:r>
        <w:rPr>
          <w:rFonts w:hint="eastAsia"/>
          <w:color w:val="auto"/>
          <w:spacing w:val="0"/>
          <w:w w:val="100"/>
          <w:kern w:val="21"/>
          <w:position w:val="0"/>
          <w:lang w:val="en-US" w:eastAsia="zh-CN"/>
        </w:rPr>
        <w:t>72.798</w:t>
      </w:r>
      <w:r>
        <w:rPr>
          <w:color w:val="auto"/>
          <w:spacing w:val="0"/>
          <w:w w:val="100"/>
          <w:kern w:val="21"/>
          <w:position w:val="0"/>
          <w:szCs w:val="24"/>
        </w:rPr>
        <w:t>μg/m³。根据《环境影响评价技术导则 大气环境》（HJ2.2-2018）分级判据，确定本次建设项目大气环境影响评价工作等级为二级</w:t>
      </w:r>
      <w:r>
        <w:rPr>
          <w:color w:val="auto"/>
          <w:spacing w:val="0"/>
          <w:w w:val="100"/>
          <w:kern w:val="21"/>
          <w:position w:val="0"/>
        </w:rPr>
        <w:t>。</w:t>
      </w:r>
    </w:p>
    <w:p w14:paraId="3CA12C0B">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2.3.2水环境</w:t>
      </w:r>
      <w:bookmarkEnd w:id="65"/>
      <w:bookmarkEnd w:id="66"/>
      <w:bookmarkEnd w:id="67"/>
      <w:bookmarkEnd w:id="68"/>
      <w:bookmarkEnd w:id="69"/>
      <w:bookmarkEnd w:id="70"/>
      <w:bookmarkEnd w:id="71"/>
      <w:bookmarkEnd w:id="72"/>
      <w:bookmarkEnd w:id="73"/>
      <w:bookmarkEnd w:id="74"/>
    </w:p>
    <w:p w14:paraId="1FEBECF1">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75" w:name="_Toc8192"/>
      <w:bookmarkStart w:id="76" w:name="_Toc26396"/>
      <w:r>
        <w:rPr>
          <w:rFonts w:hint="default"/>
          <w:color w:val="auto"/>
          <w:spacing w:val="0"/>
          <w:w w:val="100"/>
          <w:position w:val="0"/>
          <w:highlight w:val="none"/>
          <w:lang w:val="en-US" w:eastAsia="zh-CN"/>
        </w:rPr>
        <w:t>2.3.2.1地表水环境</w:t>
      </w:r>
      <w:bookmarkEnd w:id="75"/>
      <w:bookmarkEnd w:id="76"/>
    </w:p>
    <w:p w14:paraId="4BCBB509">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21"/>
          <w:position w:val="0"/>
          <w:szCs w:val="24"/>
          <w:highlight w:val="none"/>
        </w:rPr>
      </w:pPr>
      <w:r>
        <w:rPr>
          <w:rFonts w:hint="default" w:ascii="Times New Roman" w:hAnsi="Times New Roman" w:eastAsia="宋体" w:cs="Times New Roman"/>
          <w:caps w:val="0"/>
          <w:snapToGrid/>
          <w:color w:val="auto"/>
          <w:spacing w:val="0"/>
          <w:w w:val="100"/>
          <w:kern w:val="21"/>
          <w:position w:val="0"/>
          <w:szCs w:val="24"/>
          <w:highlight w:val="none"/>
        </w:rPr>
        <w:t>根据《环境影响评价技术导则</w:t>
      </w:r>
      <w:r>
        <w:rPr>
          <w:rFonts w:hint="default" w:ascii="Times New Roman" w:hAnsi="Times New Roman" w:eastAsia="宋体" w:cs="Times New Roman"/>
          <w:caps w:val="0"/>
          <w:snapToGrid/>
          <w:color w:val="auto"/>
          <w:spacing w:val="0"/>
          <w:w w:val="100"/>
          <w:kern w:val="21"/>
          <w:position w:val="0"/>
          <w:szCs w:val="24"/>
          <w:highlight w:val="none"/>
          <w:lang w:val="en-US" w:eastAsia="zh-CN"/>
        </w:rPr>
        <w:t xml:space="preserve"> </w:t>
      </w:r>
      <w:r>
        <w:rPr>
          <w:rFonts w:hint="default" w:ascii="Times New Roman" w:hAnsi="Times New Roman" w:eastAsia="宋体" w:cs="Times New Roman"/>
          <w:caps w:val="0"/>
          <w:snapToGrid/>
          <w:color w:val="auto"/>
          <w:spacing w:val="0"/>
          <w:w w:val="100"/>
          <w:kern w:val="21"/>
          <w:position w:val="0"/>
          <w:szCs w:val="24"/>
          <w:highlight w:val="none"/>
        </w:rPr>
        <w:t>地表水环境》（HJ2.3-2018）的要求，水污染影响型建设项目地表水判定等级如下：</w:t>
      </w:r>
    </w:p>
    <w:p w14:paraId="682AF429">
      <w:pPr>
        <w:keepNext w:val="0"/>
        <w:keepLines w:val="0"/>
        <w:pageBreakBefore w:val="0"/>
        <w:widowControl w:val="0"/>
        <w:tabs>
          <w:tab w:val="left" w:pos="1021"/>
        </w:tabs>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caps w:val="0"/>
          <w:snapToGrid/>
          <w:color w:val="auto"/>
          <w:spacing w:val="0"/>
          <w:w w:val="100"/>
          <w:kern w:val="21"/>
          <w:position w:val="0"/>
          <w:sz w:val="21"/>
          <w:szCs w:val="21"/>
          <w:highlight w:val="none"/>
          <w:lang w:val="zh-CN"/>
        </w:rPr>
      </w:pPr>
      <w:r>
        <w:rPr>
          <w:rFonts w:hint="default" w:ascii="Times New Roman" w:hAnsi="Times New Roman" w:eastAsia="宋体" w:cs="Times New Roman"/>
          <w:b/>
          <w:caps w:val="0"/>
          <w:snapToGrid/>
          <w:color w:val="auto"/>
          <w:spacing w:val="0"/>
          <w:w w:val="100"/>
          <w:kern w:val="21"/>
          <w:position w:val="0"/>
          <w:sz w:val="21"/>
          <w:szCs w:val="21"/>
          <w:highlight w:val="none"/>
          <w:lang w:val="zh-CN"/>
        </w:rPr>
        <w:t>表</w:t>
      </w:r>
      <w:r>
        <w:rPr>
          <w:rFonts w:hint="default" w:ascii="Times New Roman" w:hAnsi="Times New Roman" w:eastAsia="宋体" w:cs="Times New Roman"/>
          <w:b/>
          <w:caps w:val="0"/>
          <w:snapToGrid/>
          <w:color w:val="auto"/>
          <w:spacing w:val="0"/>
          <w:w w:val="100"/>
          <w:kern w:val="21"/>
          <w:position w:val="0"/>
          <w:sz w:val="21"/>
          <w:szCs w:val="21"/>
          <w:highlight w:val="none"/>
          <w:lang w:eastAsia="zh-CN"/>
        </w:rPr>
        <w:t>2.3</w:t>
      </w:r>
      <w:r>
        <w:rPr>
          <w:rFonts w:hint="eastAsia" w:cs="Times New Roman"/>
          <w:b/>
          <w:caps w:val="0"/>
          <w:snapToGrid/>
          <w:color w:val="auto"/>
          <w:spacing w:val="0"/>
          <w:w w:val="100"/>
          <w:kern w:val="21"/>
          <w:position w:val="0"/>
          <w:sz w:val="21"/>
          <w:szCs w:val="21"/>
          <w:highlight w:val="none"/>
          <w:lang w:val="en-US" w:eastAsia="zh-CN"/>
        </w:rPr>
        <w:t>.2-1</w:t>
      </w:r>
      <w:r>
        <w:rPr>
          <w:rFonts w:hint="default" w:ascii="Times New Roman" w:hAnsi="Times New Roman" w:eastAsia="宋体" w:cs="Times New Roman"/>
          <w:b/>
          <w:caps w:val="0"/>
          <w:snapToGrid/>
          <w:color w:val="auto"/>
          <w:spacing w:val="0"/>
          <w:w w:val="100"/>
          <w:kern w:val="21"/>
          <w:position w:val="0"/>
          <w:sz w:val="21"/>
          <w:szCs w:val="21"/>
          <w:highlight w:val="none"/>
          <w:lang w:val="en-US" w:eastAsia="zh-CN"/>
        </w:rPr>
        <w:t xml:space="preserve">  </w:t>
      </w:r>
      <w:r>
        <w:rPr>
          <w:rFonts w:hint="default" w:ascii="Times New Roman" w:hAnsi="Times New Roman" w:eastAsia="宋体" w:cs="Times New Roman"/>
          <w:b/>
          <w:caps w:val="0"/>
          <w:snapToGrid/>
          <w:color w:val="auto"/>
          <w:spacing w:val="0"/>
          <w:w w:val="100"/>
          <w:kern w:val="21"/>
          <w:position w:val="0"/>
          <w:sz w:val="21"/>
          <w:szCs w:val="21"/>
          <w:highlight w:val="none"/>
          <w:lang w:val="zh-CN"/>
        </w:rPr>
        <w:t>水污染影响型建设项目地表水环境影响评价等级判据</w:t>
      </w:r>
    </w:p>
    <w:tbl>
      <w:tblPr>
        <w:tblStyle w:val="25"/>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2243"/>
        <w:gridCol w:w="2840"/>
        <w:gridCol w:w="3869"/>
      </w:tblGrid>
      <w:tr w14:paraId="389D89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253" w:type="pct"/>
            <w:vMerge w:val="restart"/>
            <w:tcBorders>
              <w:tl2br w:val="nil"/>
              <w:tr2bl w:val="nil"/>
            </w:tcBorders>
            <w:noWrap w:val="0"/>
            <w:vAlign w:val="center"/>
          </w:tcPr>
          <w:p w14:paraId="562683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val="0"/>
                <w:caps w:val="0"/>
                <w:snapToGrid/>
                <w:color w:val="auto"/>
                <w:spacing w:val="0"/>
                <w:w w:val="100"/>
                <w:kern w:val="21"/>
                <w:position w:val="0"/>
                <w:sz w:val="21"/>
                <w:szCs w:val="21"/>
                <w:highlight w:val="none"/>
              </w:rPr>
            </w:pPr>
            <w:r>
              <w:rPr>
                <w:rFonts w:hint="default" w:ascii="Times New Roman" w:hAnsi="Times New Roman" w:eastAsia="宋体" w:cs="Times New Roman"/>
                <w:b/>
                <w:bCs w:val="0"/>
                <w:caps w:val="0"/>
                <w:snapToGrid/>
                <w:color w:val="auto"/>
                <w:spacing w:val="0"/>
                <w:w w:val="100"/>
                <w:kern w:val="21"/>
                <w:position w:val="0"/>
                <w:sz w:val="21"/>
                <w:szCs w:val="21"/>
                <w:highlight w:val="none"/>
              </w:rPr>
              <w:t>评价等级</w:t>
            </w:r>
          </w:p>
        </w:tc>
        <w:tc>
          <w:tcPr>
            <w:tcW w:w="3746" w:type="pct"/>
            <w:gridSpan w:val="2"/>
            <w:tcBorders>
              <w:tl2br w:val="nil"/>
              <w:tr2bl w:val="nil"/>
            </w:tcBorders>
            <w:noWrap w:val="0"/>
            <w:vAlign w:val="center"/>
          </w:tcPr>
          <w:p w14:paraId="3ACE87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val="0"/>
                <w:caps w:val="0"/>
                <w:snapToGrid/>
                <w:color w:val="auto"/>
                <w:spacing w:val="0"/>
                <w:w w:val="100"/>
                <w:kern w:val="21"/>
                <w:position w:val="0"/>
                <w:sz w:val="21"/>
                <w:szCs w:val="21"/>
                <w:highlight w:val="none"/>
              </w:rPr>
            </w:pPr>
            <w:r>
              <w:rPr>
                <w:rFonts w:hint="default" w:ascii="Times New Roman" w:hAnsi="Times New Roman" w:eastAsia="宋体" w:cs="Times New Roman"/>
                <w:b/>
                <w:bCs w:val="0"/>
                <w:caps w:val="0"/>
                <w:snapToGrid/>
                <w:color w:val="auto"/>
                <w:spacing w:val="0"/>
                <w:w w:val="100"/>
                <w:kern w:val="21"/>
                <w:position w:val="0"/>
                <w:sz w:val="21"/>
                <w:szCs w:val="21"/>
                <w:highlight w:val="none"/>
              </w:rPr>
              <w:t>判定依据</w:t>
            </w:r>
          </w:p>
        </w:tc>
      </w:tr>
      <w:tr w14:paraId="2F9D9D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253" w:type="pct"/>
            <w:vMerge w:val="continue"/>
            <w:tcBorders>
              <w:tl2br w:val="nil"/>
              <w:tr2bl w:val="nil"/>
            </w:tcBorders>
            <w:noWrap w:val="0"/>
            <w:vAlign w:val="center"/>
          </w:tcPr>
          <w:p w14:paraId="3609CD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val="0"/>
                <w:caps w:val="0"/>
                <w:snapToGrid/>
                <w:color w:val="auto"/>
                <w:spacing w:val="0"/>
                <w:w w:val="100"/>
                <w:kern w:val="21"/>
                <w:position w:val="0"/>
                <w:sz w:val="21"/>
                <w:szCs w:val="21"/>
                <w:highlight w:val="none"/>
              </w:rPr>
            </w:pPr>
          </w:p>
        </w:tc>
        <w:tc>
          <w:tcPr>
            <w:tcW w:w="1586" w:type="pct"/>
            <w:tcBorders>
              <w:tl2br w:val="nil"/>
              <w:tr2bl w:val="nil"/>
            </w:tcBorders>
            <w:noWrap w:val="0"/>
            <w:vAlign w:val="center"/>
          </w:tcPr>
          <w:p w14:paraId="519BCB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val="0"/>
                <w:caps w:val="0"/>
                <w:snapToGrid/>
                <w:color w:val="auto"/>
                <w:spacing w:val="0"/>
                <w:w w:val="100"/>
                <w:kern w:val="21"/>
                <w:position w:val="0"/>
                <w:sz w:val="21"/>
                <w:szCs w:val="21"/>
                <w:highlight w:val="none"/>
              </w:rPr>
            </w:pPr>
            <w:r>
              <w:rPr>
                <w:rFonts w:hint="default" w:ascii="Times New Roman" w:hAnsi="Times New Roman" w:eastAsia="宋体" w:cs="Times New Roman"/>
                <w:b/>
                <w:bCs w:val="0"/>
                <w:caps w:val="0"/>
                <w:snapToGrid/>
                <w:color w:val="auto"/>
                <w:spacing w:val="0"/>
                <w:w w:val="100"/>
                <w:kern w:val="21"/>
                <w:position w:val="0"/>
                <w:sz w:val="21"/>
                <w:szCs w:val="21"/>
                <w:highlight w:val="none"/>
              </w:rPr>
              <w:t>排放方式</w:t>
            </w:r>
          </w:p>
        </w:tc>
        <w:tc>
          <w:tcPr>
            <w:tcW w:w="2159" w:type="pct"/>
            <w:tcBorders>
              <w:tl2br w:val="nil"/>
              <w:tr2bl w:val="nil"/>
            </w:tcBorders>
            <w:noWrap w:val="0"/>
            <w:vAlign w:val="center"/>
          </w:tcPr>
          <w:p w14:paraId="28B647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val="0"/>
                <w:caps w:val="0"/>
                <w:snapToGrid/>
                <w:color w:val="auto"/>
                <w:spacing w:val="0"/>
                <w:w w:val="100"/>
                <w:kern w:val="21"/>
                <w:position w:val="0"/>
                <w:sz w:val="21"/>
                <w:szCs w:val="21"/>
                <w:highlight w:val="none"/>
              </w:rPr>
            </w:pPr>
            <w:r>
              <w:rPr>
                <w:rFonts w:hint="default" w:ascii="Times New Roman" w:hAnsi="Times New Roman" w:eastAsia="宋体" w:cs="Times New Roman"/>
                <w:b/>
                <w:bCs w:val="0"/>
                <w:caps w:val="0"/>
                <w:snapToGrid/>
                <w:color w:val="auto"/>
                <w:spacing w:val="0"/>
                <w:w w:val="100"/>
                <w:kern w:val="21"/>
                <w:position w:val="0"/>
                <w:sz w:val="21"/>
                <w:szCs w:val="21"/>
                <w:highlight w:val="none"/>
              </w:rPr>
              <w:t>废水排放量Q/（m³/d）；</w:t>
            </w:r>
          </w:p>
          <w:p w14:paraId="115B6E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val="0"/>
                <w:caps w:val="0"/>
                <w:snapToGrid/>
                <w:color w:val="auto"/>
                <w:spacing w:val="0"/>
                <w:w w:val="100"/>
                <w:kern w:val="21"/>
                <w:position w:val="0"/>
                <w:sz w:val="21"/>
                <w:szCs w:val="21"/>
                <w:highlight w:val="none"/>
              </w:rPr>
            </w:pPr>
            <w:r>
              <w:rPr>
                <w:rFonts w:hint="default" w:ascii="Times New Roman" w:hAnsi="Times New Roman" w:eastAsia="宋体" w:cs="Times New Roman"/>
                <w:b/>
                <w:bCs w:val="0"/>
                <w:caps w:val="0"/>
                <w:snapToGrid/>
                <w:color w:val="auto"/>
                <w:spacing w:val="0"/>
                <w:w w:val="100"/>
                <w:kern w:val="21"/>
                <w:position w:val="0"/>
                <w:sz w:val="21"/>
                <w:szCs w:val="21"/>
                <w:highlight w:val="none"/>
              </w:rPr>
              <w:t>水污染物当量数W/（无量纲）</w:t>
            </w:r>
          </w:p>
        </w:tc>
      </w:tr>
      <w:tr w14:paraId="2DEF12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1253" w:type="pct"/>
            <w:tcBorders>
              <w:tl2br w:val="nil"/>
              <w:tr2bl w:val="nil"/>
            </w:tcBorders>
            <w:noWrap w:val="0"/>
            <w:vAlign w:val="center"/>
          </w:tcPr>
          <w:p w14:paraId="12F5D2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Cs/>
                <w:caps w:val="0"/>
                <w:snapToGrid/>
                <w:color w:val="auto"/>
                <w:spacing w:val="0"/>
                <w:w w:val="100"/>
                <w:kern w:val="21"/>
                <w:position w:val="0"/>
                <w:sz w:val="21"/>
                <w:szCs w:val="21"/>
                <w:highlight w:val="none"/>
              </w:rPr>
            </w:pPr>
            <w:r>
              <w:rPr>
                <w:rFonts w:hint="default" w:ascii="Times New Roman" w:hAnsi="Times New Roman" w:eastAsia="宋体" w:cs="Times New Roman"/>
                <w:bCs/>
                <w:caps w:val="0"/>
                <w:snapToGrid/>
                <w:color w:val="auto"/>
                <w:spacing w:val="0"/>
                <w:w w:val="100"/>
                <w:kern w:val="21"/>
                <w:position w:val="0"/>
                <w:sz w:val="21"/>
                <w:szCs w:val="21"/>
                <w:highlight w:val="none"/>
              </w:rPr>
              <w:t>一级</w:t>
            </w:r>
          </w:p>
        </w:tc>
        <w:tc>
          <w:tcPr>
            <w:tcW w:w="1586" w:type="pct"/>
            <w:tcBorders>
              <w:tl2br w:val="nil"/>
              <w:tr2bl w:val="nil"/>
            </w:tcBorders>
            <w:noWrap w:val="0"/>
            <w:vAlign w:val="center"/>
          </w:tcPr>
          <w:p w14:paraId="08E8C4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Cs/>
                <w:caps w:val="0"/>
                <w:snapToGrid/>
                <w:color w:val="auto"/>
                <w:spacing w:val="0"/>
                <w:w w:val="100"/>
                <w:kern w:val="21"/>
                <w:position w:val="0"/>
                <w:sz w:val="21"/>
                <w:szCs w:val="21"/>
                <w:highlight w:val="none"/>
              </w:rPr>
            </w:pPr>
            <w:r>
              <w:rPr>
                <w:rFonts w:hint="default" w:ascii="Times New Roman" w:hAnsi="Times New Roman" w:eastAsia="宋体" w:cs="Times New Roman"/>
                <w:bCs/>
                <w:caps w:val="0"/>
                <w:snapToGrid/>
                <w:color w:val="auto"/>
                <w:spacing w:val="0"/>
                <w:w w:val="100"/>
                <w:kern w:val="21"/>
                <w:position w:val="0"/>
                <w:sz w:val="21"/>
                <w:szCs w:val="21"/>
                <w:highlight w:val="none"/>
              </w:rPr>
              <w:t>直接排放</w:t>
            </w:r>
          </w:p>
        </w:tc>
        <w:tc>
          <w:tcPr>
            <w:tcW w:w="2159" w:type="pct"/>
            <w:tcBorders>
              <w:tl2br w:val="nil"/>
              <w:tr2bl w:val="nil"/>
            </w:tcBorders>
            <w:noWrap w:val="0"/>
            <w:vAlign w:val="center"/>
          </w:tcPr>
          <w:p w14:paraId="424CEE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Cs/>
                <w:caps w:val="0"/>
                <w:snapToGrid/>
                <w:color w:val="auto"/>
                <w:spacing w:val="0"/>
                <w:w w:val="100"/>
                <w:kern w:val="21"/>
                <w:position w:val="0"/>
                <w:sz w:val="21"/>
                <w:szCs w:val="21"/>
                <w:highlight w:val="none"/>
              </w:rPr>
            </w:pPr>
            <w:r>
              <w:rPr>
                <w:rFonts w:hint="default" w:ascii="Times New Roman" w:hAnsi="Times New Roman" w:eastAsia="宋体" w:cs="Times New Roman"/>
                <w:bCs/>
                <w:caps w:val="0"/>
                <w:snapToGrid/>
                <w:color w:val="auto"/>
                <w:spacing w:val="0"/>
                <w:w w:val="100"/>
                <w:kern w:val="21"/>
                <w:position w:val="0"/>
                <w:sz w:val="21"/>
                <w:szCs w:val="21"/>
                <w:highlight w:val="none"/>
              </w:rPr>
              <w:t>Q≥20000或W≥600000</w:t>
            </w:r>
          </w:p>
        </w:tc>
      </w:tr>
      <w:tr w14:paraId="3C8AE5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253" w:type="pct"/>
            <w:tcBorders>
              <w:tl2br w:val="nil"/>
              <w:tr2bl w:val="nil"/>
            </w:tcBorders>
            <w:noWrap w:val="0"/>
            <w:vAlign w:val="center"/>
          </w:tcPr>
          <w:p w14:paraId="6FB177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Cs/>
                <w:caps w:val="0"/>
                <w:snapToGrid/>
                <w:color w:val="auto"/>
                <w:spacing w:val="0"/>
                <w:w w:val="100"/>
                <w:kern w:val="21"/>
                <w:position w:val="0"/>
                <w:sz w:val="21"/>
                <w:szCs w:val="21"/>
                <w:highlight w:val="none"/>
              </w:rPr>
            </w:pPr>
            <w:r>
              <w:rPr>
                <w:rFonts w:hint="default" w:ascii="Times New Roman" w:hAnsi="Times New Roman" w:eastAsia="宋体" w:cs="Times New Roman"/>
                <w:bCs/>
                <w:caps w:val="0"/>
                <w:snapToGrid/>
                <w:color w:val="auto"/>
                <w:spacing w:val="0"/>
                <w:w w:val="100"/>
                <w:kern w:val="21"/>
                <w:position w:val="0"/>
                <w:sz w:val="21"/>
                <w:szCs w:val="21"/>
                <w:highlight w:val="none"/>
              </w:rPr>
              <w:t>二级</w:t>
            </w:r>
          </w:p>
        </w:tc>
        <w:tc>
          <w:tcPr>
            <w:tcW w:w="1586" w:type="pct"/>
            <w:tcBorders>
              <w:tl2br w:val="nil"/>
              <w:tr2bl w:val="nil"/>
            </w:tcBorders>
            <w:noWrap w:val="0"/>
            <w:vAlign w:val="center"/>
          </w:tcPr>
          <w:p w14:paraId="50B086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Cs/>
                <w:caps w:val="0"/>
                <w:snapToGrid/>
                <w:color w:val="auto"/>
                <w:spacing w:val="0"/>
                <w:w w:val="100"/>
                <w:kern w:val="21"/>
                <w:position w:val="0"/>
                <w:sz w:val="21"/>
                <w:szCs w:val="21"/>
                <w:highlight w:val="none"/>
              </w:rPr>
            </w:pPr>
            <w:r>
              <w:rPr>
                <w:rFonts w:hint="default" w:ascii="Times New Roman" w:hAnsi="Times New Roman" w:eastAsia="宋体" w:cs="Times New Roman"/>
                <w:bCs/>
                <w:caps w:val="0"/>
                <w:snapToGrid/>
                <w:color w:val="auto"/>
                <w:spacing w:val="0"/>
                <w:w w:val="100"/>
                <w:kern w:val="21"/>
                <w:position w:val="0"/>
                <w:sz w:val="21"/>
                <w:szCs w:val="21"/>
                <w:highlight w:val="none"/>
              </w:rPr>
              <w:t>直接排放</w:t>
            </w:r>
          </w:p>
        </w:tc>
        <w:tc>
          <w:tcPr>
            <w:tcW w:w="2159" w:type="pct"/>
            <w:tcBorders>
              <w:tl2br w:val="nil"/>
              <w:tr2bl w:val="nil"/>
            </w:tcBorders>
            <w:noWrap w:val="0"/>
            <w:vAlign w:val="center"/>
          </w:tcPr>
          <w:p w14:paraId="2E7519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Cs/>
                <w:caps w:val="0"/>
                <w:snapToGrid/>
                <w:color w:val="auto"/>
                <w:spacing w:val="0"/>
                <w:w w:val="100"/>
                <w:kern w:val="21"/>
                <w:position w:val="0"/>
                <w:sz w:val="21"/>
                <w:szCs w:val="21"/>
                <w:highlight w:val="none"/>
              </w:rPr>
            </w:pPr>
            <w:r>
              <w:rPr>
                <w:rFonts w:hint="default" w:ascii="Times New Roman" w:hAnsi="Times New Roman" w:eastAsia="宋体" w:cs="Times New Roman"/>
                <w:bCs/>
                <w:caps w:val="0"/>
                <w:snapToGrid/>
                <w:color w:val="auto"/>
                <w:spacing w:val="0"/>
                <w:w w:val="100"/>
                <w:kern w:val="21"/>
                <w:position w:val="0"/>
                <w:sz w:val="21"/>
                <w:szCs w:val="21"/>
                <w:highlight w:val="none"/>
              </w:rPr>
              <w:t>其他</w:t>
            </w:r>
          </w:p>
        </w:tc>
      </w:tr>
      <w:tr w14:paraId="5E7364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253" w:type="pct"/>
            <w:tcBorders>
              <w:tl2br w:val="nil"/>
              <w:tr2bl w:val="nil"/>
            </w:tcBorders>
            <w:noWrap w:val="0"/>
            <w:vAlign w:val="center"/>
          </w:tcPr>
          <w:p w14:paraId="08E81E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Cs/>
                <w:caps w:val="0"/>
                <w:snapToGrid/>
                <w:color w:val="auto"/>
                <w:spacing w:val="0"/>
                <w:w w:val="100"/>
                <w:kern w:val="21"/>
                <w:position w:val="0"/>
                <w:sz w:val="21"/>
                <w:szCs w:val="21"/>
                <w:highlight w:val="none"/>
              </w:rPr>
            </w:pPr>
            <w:r>
              <w:rPr>
                <w:rFonts w:hint="default" w:ascii="Times New Roman" w:hAnsi="Times New Roman" w:eastAsia="宋体" w:cs="Times New Roman"/>
                <w:bCs/>
                <w:caps w:val="0"/>
                <w:snapToGrid/>
                <w:color w:val="auto"/>
                <w:spacing w:val="0"/>
                <w:w w:val="100"/>
                <w:kern w:val="21"/>
                <w:position w:val="0"/>
                <w:sz w:val="21"/>
                <w:szCs w:val="21"/>
                <w:highlight w:val="none"/>
              </w:rPr>
              <w:t>三级A</w:t>
            </w:r>
          </w:p>
        </w:tc>
        <w:tc>
          <w:tcPr>
            <w:tcW w:w="1586" w:type="pct"/>
            <w:tcBorders>
              <w:tl2br w:val="nil"/>
              <w:tr2bl w:val="nil"/>
            </w:tcBorders>
            <w:noWrap w:val="0"/>
            <w:vAlign w:val="center"/>
          </w:tcPr>
          <w:p w14:paraId="4CC10E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Cs/>
                <w:caps w:val="0"/>
                <w:snapToGrid/>
                <w:color w:val="auto"/>
                <w:spacing w:val="0"/>
                <w:w w:val="100"/>
                <w:kern w:val="21"/>
                <w:position w:val="0"/>
                <w:sz w:val="21"/>
                <w:szCs w:val="21"/>
                <w:highlight w:val="none"/>
              </w:rPr>
            </w:pPr>
            <w:r>
              <w:rPr>
                <w:rFonts w:hint="default" w:ascii="Times New Roman" w:hAnsi="Times New Roman" w:eastAsia="宋体" w:cs="Times New Roman"/>
                <w:bCs/>
                <w:caps w:val="0"/>
                <w:snapToGrid/>
                <w:color w:val="auto"/>
                <w:spacing w:val="0"/>
                <w:w w:val="100"/>
                <w:kern w:val="21"/>
                <w:position w:val="0"/>
                <w:sz w:val="21"/>
                <w:szCs w:val="21"/>
                <w:highlight w:val="none"/>
              </w:rPr>
              <w:t>直接排放</w:t>
            </w:r>
          </w:p>
        </w:tc>
        <w:tc>
          <w:tcPr>
            <w:tcW w:w="2159" w:type="pct"/>
            <w:tcBorders>
              <w:tl2br w:val="nil"/>
              <w:tr2bl w:val="nil"/>
            </w:tcBorders>
            <w:noWrap w:val="0"/>
            <w:vAlign w:val="center"/>
          </w:tcPr>
          <w:p w14:paraId="7140B0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Cs/>
                <w:caps w:val="0"/>
                <w:snapToGrid/>
                <w:color w:val="auto"/>
                <w:spacing w:val="0"/>
                <w:w w:val="100"/>
                <w:kern w:val="21"/>
                <w:position w:val="0"/>
                <w:sz w:val="21"/>
                <w:szCs w:val="21"/>
                <w:highlight w:val="none"/>
              </w:rPr>
            </w:pPr>
            <w:r>
              <w:rPr>
                <w:rFonts w:hint="default" w:ascii="Times New Roman" w:hAnsi="Times New Roman" w:eastAsia="宋体" w:cs="Times New Roman"/>
                <w:bCs/>
                <w:caps w:val="0"/>
                <w:snapToGrid/>
                <w:color w:val="auto"/>
                <w:spacing w:val="0"/>
                <w:w w:val="100"/>
                <w:kern w:val="21"/>
                <w:position w:val="0"/>
                <w:sz w:val="21"/>
                <w:szCs w:val="21"/>
                <w:highlight w:val="none"/>
              </w:rPr>
              <w:t>Q＜200且W＜6000</w:t>
            </w:r>
          </w:p>
        </w:tc>
      </w:tr>
      <w:tr w14:paraId="46244B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253" w:type="pct"/>
            <w:tcBorders>
              <w:tl2br w:val="nil"/>
              <w:tr2bl w:val="nil"/>
            </w:tcBorders>
            <w:shd w:val="clear" w:color="auto" w:fill="D7D7D7" w:themeFill="background1" w:themeFillShade="D8"/>
            <w:noWrap w:val="0"/>
            <w:vAlign w:val="center"/>
          </w:tcPr>
          <w:p w14:paraId="24664B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Cs/>
                <w:caps w:val="0"/>
                <w:snapToGrid/>
                <w:color w:val="auto"/>
                <w:spacing w:val="0"/>
                <w:w w:val="100"/>
                <w:kern w:val="21"/>
                <w:position w:val="0"/>
                <w:sz w:val="21"/>
                <w:szCs w:val="21"/>
                <w:highlight w:val="none"/>
              </w:rPr>
            </w:pPr>
            <w:r>
              <w:rPr>
                <w:rFonts w:hint="default" w:ascii="Times New Roman" w:hAnsi="Times New Roman" w:eastAsia="宋体" w:cs="Times New Roman"/>
                <w:bCs/>
                <w:caps w:val="0"/>
                <w:snapToGrid/>
                <w:color w:val="auto"/>
                <w:spacing w:val="0"/>
                <w:w w:val="100"/>
                <w:kern w:val="21"/>
                <w:position w:val="0"/>
                <w:sz w:val="21"/>
                <w:szCs w:val="21"/>
                <w:highlight w:val="none"/>
              </w:rPr>
              <w:t>三级B</w:t>
            </w:r>
          </w:p>
        </w:tc>
        <w:tc>
          <w:tcPr>
            <w:tcW w:w="1586" w:type="pct"/>
            <w:tcBorders>
              <w:tl2br w:val="nil"/>
              <w:tr2bl w:val="nil"/>
            </w:tcBorders>
            <w:shd w:val="clear" w:color="auto" w:fill="D7D7D7" w:themeFill="background1" w:themeFillShade="D8"/>
            <w:noWrap w:val="0"/>
            <w:vAlign w:val="center"/>
          </w:tcPr>
          <w:p w14:paraId="09CACB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Cs/>
                <w:caps w:val="0"/>
                <w:snapToGrid/>
                <w:color w:val="auto"/>
                <w:spacing w:val="0"/>
                <w:w w:val="100"/>
                <w:kern w:val="21"/>
                <w:position w:val="0"/>
                <w:sz w:val="21"/>
                <w:szCs w:val="21"/>
                <w:highlight w:val="none"/>
              </w:rPr>
            </w:pPr>
            <w:r>
              <w:rPr>
                <w:rFonts w:hint="default" w:ascii="Times New Roman" w:hAnsi="Times New Roman" w:eastAsia="宋体" w:cs="Times New Roman"/>
                <w:bCs/>
                <w:caps w:val="0"/>
                <w:snapToGrid/>
                <w:color w:val="auto"/>
                <w:spacing w:val="0"/>
                <w:w w:val="100"/>
                <w:kern w:val="21"/>
                <w:position w:val="0"/>
                <w:sz w:val="21"/>
                <w:szCs w:val="21"/>
                <w:highlight w:val="none"/>
              </w:rPr>
              <w:t>间接排放</w:t>
            </w:r>
          </w:p>
        </w:tc>
        <w:tc>
          <w:tcPr>
            <w:tcW w:w="2159" w:type="pct"/>
            <w:tcBorders>
              <w:tl2br w:val="nil"/>
              <w:tr2bl w:val="nil"/>
            </w:tcBorders>
            <w:shd w:val="clear" w:color="auto" w:fill="D7D7D7" w:themeFill="background1" w:themeFillShade="D8"/>
            <w:noWrap w:val="0"/>
            <w:vAlign w:val="center"/>
          </w:tcPr>
          <w:p w14:paraId="392468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Cs/>
                <w:caps w:val="0"/>
                <w:snapToGrid/>
                <w:color w:val="auto"/>
                <w:spacing w:val="0"/>
                <w:w w:val="100"/>
                <w:kern w:val="21"/>
                <w:position w:val="0"/>
                <w:sz w:val="21"/>
                <w:szCs w:val="21"/>
                <w:highlight w:val="none"/>
              </w:rPr>
            </w:pPr>
            <w:r>
              <w:rPr>
                <w:rFonts w:hint="default" w:ascii="Times New Roman" w:hAnsi="Times New Roman" w:eastAsia="宋体" w:cs="Times New Roman"/>
                <w:bCs/>
                <w:caps w:val="0"/>
                <w:snapToGrid/>
                <w:color w:val="auto"/>
                <w:spacing w:val="0"/>
                <w:w w:val="100"/>
                <w:kern w:val="21"/>
                <w:position w:val="0"/>
                <w:sz w:val="21"/>
                <w:szCs w:val="21"/>
                <w:highlight w:val="none"/>
              </w:rPr>
              <w:t>—</w:t>
            </w:r>
          </w:p>
        </w:tc>
      </w:tr>
      <w:tr w14:paraId="7314E2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5000" w:type="pct"/>
            <w:gridSpan w:val="3"/>
            <w:tcBorders>
              <w:tl2br w:val="nil"/>
              <w:tr2bl w:val="nil"/>
            </w:tcBorders>
            <w:noWrap w:val="0"/>
            <w:vAlign w:val="center"/>
          </w:tcPr>
          <w:p w14:paraId="0F24E4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b/>
                <w:bCs w:val="0"/>
                <w:caps w:val="0"/>
                <w:snapToGrid/>
                <w:color w:val="auto"/>
                <w:spacing w:val="0"/>
                <w:w w:val="100"/>
                <w:kern w:val="21"/>
                <w:position w:val="0"/>
                <w:sz w:val="18"/>
                <w:szCs w:val="18"/>
                <w:highlight w:val="none"/>
              </w:rPr>
            </w:pPr>
            <w:r>
              <w:rPr>
                <w:rFonts w:hint="default" w:ascii="Times New Roman" w:hAnsi="Times New Roman" w:eastAsia="宋体" w:cs="Times New Roman"/>
                <w:b/>
                <w:bCs w:val="0"/>
                <w:caps w:val="0"/>
                <w:snapToGrid/>
                <w:color w:val="auto"/>
                <w:spacing w:val="0"/>
                <w:w w:val="100"/>
                <w:kern w:val="21"/>
                <w:position w:val="0"/>
                <w:sz w:val="18"/>
                <w:szCs w:val="18"/>
                <w:highlight w:val="none"/>
              </w:rPr>
              <w:t>注1：水污染物当量数等于该污染物的年排放量除以该污染物的污染当量值（见附录A），计算排放污染物的污染物当量数，应区分第一类水污染物和其他类水污染物，统计第一类污染物当量数综合，然后与其他类污染物按照污染物当量数从大到小排序，取最大当量数作为建设项目评价等级确定的依据。</w:t>
            </w:r>
          </w:p>
          <w:p w14:paraId="0FCB8E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b/>
                <w:bCs w:val="0"/>
                <w:caps w:val="0"/>
                <w:snapToGrid/>
                <w:color w:val="auto"/>
                <w:spacing w:val="0"/>
                <w:w w:val="100"/>
                <w:kern w:val="21"/>
                <w:position w:val="0"/>
                <w:sz w:val="18"/>
                <w:szCs w:val="18"/>
                <w:highlight w:val="none"/>
              </w:rPr>
            </w:pPr>
            <w:r>
              <w:rPr>
                <w:rFonts w:hint="default" w:ascii="Times New Roman" w:hAnsi="Times New Roman" w:eastAsia="宋体" w:cs="Times New Roman"/>
                <w:b/>
                <w:bCs w:val="0"/>
                <w:caps w:val="0"/>
                <w:snapToGrid/>
                <w:color w:val="auto"/>
                <w:spacing w:val="0"/>
                <w:w w:val="100"/>
                <w:kern w:val="21"/>
                <w:position w:val="0"/>
                <w:sz w:val="18"/>
                <w:szCs w:val="18"/>
                <w:highlight w:val="none"/>
              </w:rPr>
              <w:t>注2：废水排放量按行业排放标准中规定的废水种类统计，没有行业相关排放标准要求的通过工程分析合理确定，应统计含热量大的冷却水的排放量，可不统计间接冷却水以及其他含污染物极少的清净下水的排放量。</w:t>
            </w:r>
          </w:p>
          <w:p w14:paraId="05BA16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b/>
                <w:bCs w:val="0"/>
                <w:caps w:val="0"/>
                <w:snapToGrid/>
                <w:color w:val="auto"/>
                <w:spacing w:val="0"/>
                <w:w w:val="100"/>
                <w:kern w:val="21"/>
                <w:position w:val="0"/>
                <w:sz w:val="18"/>
                <w:szCs w:val="18"/>
                <w:highlight w:val="none"/>
              </w:rPr>
            </w:pPr>
            <w:r>
              <w:rPr>
                <w:rFonts w:hint="default" w:ascii="Times New Roman" w:hAnsi="Times New Roman" w:eastAsia="宋体" w:cs="Times New Roman"/>
                <w:b/>
                <w:bCs w:val="0"/>
                <w:caps w:val="0"/>
                <w:snapToGrid/>
                <w:color w:val="auto"/>
                <w:spacing w:val="0"/>
                <w:w w:val="100"/>
                <w:kern w:val="21"/>
                <w:position w:val="0"/>
                <w:sz w:val="18"/>
                <w:szCs w:val="18"/>
                <w:highlight w:val="none"/>
              </w:rPr>
              <w:t>注3：厂区存在堆积物（露天堆放的原料、燃料、废渣等以及垃圾堆放场）、降尘污染的，应将初期雨污水纳入废水排放量，相应的主要污染物纳入水污染物当量计算。</w:t>
            </w:r>
          </w:p>
          <w:p w14:paraId="406F7B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b/>
                <w:bCs w:val="0"/>
                <w:caps w:val="0"/>
                <w:snapToGrid/>
                <w:color w:val="auto"/>
                <w:spacing w:val="0"/>
                <w:w w:val="100"/>
                <w:kern w:val="21"/>
                <w:position w:val="0"/>
                <w:sz w:val="18"/>
                <w:szCs w:val="18"/>
                <w:highlight w:val="none"/>
              </w:rPr>
            </w:pPr>
            <w:r>
              <w:rPr>
                <w:rFonts w:hint="default" w:ascii="Times New Roman" w:hAnsi="Times New Roman" w:eastAsia="宋体" w:cs="Times New Roman"/>
                <w:b/>
                <w:bCs w:val="0"/>
                <w:caps w:val="0"/>
                <w:snapToGrid/>
                <w:color w:val="auto"/>
                <w:spacing w:val="0"/>
                <w:w w:val="100"/>
                <w:kern w:val="21"/>
                <w:position w:val="0"/>
                <w:sz w:val="18"/>
                <w:szCs w:val="18"/>
                <w:highlight w:val="none"/>
              </w:rPr>
              <w:t>注4：减税吸纳灌木直接排放第一类污染物的，其评价等级为一级；建设项目直接排放的污染物为受纳水体超标因子的，评价等级不低于二级。</w:t>
            </w:r>
          </w:p>
          <w:p w14:paraId="769571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b/>
                <w:bCs w:val="0"/>
                <w:caps w:val="0"/>
                <w:snapToGrid/>
                <w:color w:val="auto"/>
                <w:spacing w:val="0"/>
                <w:w w:val="100"/>
                <w:kern w:val="21"/>
                <w:position w:val="0"/>
                <w:sz w:val="18"/>
                <w:szCs w:val="18"/>
                <w:highlight w:val="none"/>
              </w:rPr>
            </w:pPr>
            <w:r>
              <w:rPr>
                <w:rFonts w:hint="default" w:ascii="Times New Roman" w:hAnsi="Times New Roman" w:eastAsia="宋体" w:cs="Times New Roman"/>
                <w:b/>
                <w:bCs w:val="0"/>
                <w:caps w:val="0"/>
                <w:snapToGrid/>
                <w:color w:val="auto"/>
                <w:spacing w:val="0"/>
                <w:w w:val="100"/>
                <w:kern w:val="21"/>
                <w:position w:val="0"/>
                <w:sz w:val="18"/>
                <w:szCs w:val="18"/>
                <w:highlight w:val="none"/>
              </w:rPr>
              <w:t>注5：直接排放受纳水体影响范围涉及饮用水水源保护区、饮用水取水口、重点保护与珍稀水生生物的栖息地、重要水生生物的自然产卵场等保护目标时，评价等级不低于二级。</w:t>
            </w:r>
          </w:p>
          <w:p w14:paraId="516261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b/>
                <w:bCs w:val="0"/>
                <w:caps w:val="0"/>
                <w:snapToGrid/>
                <w:color w:val="auto"/>
                <w:spacing w:val="0"/>
                <w:w w:val="100"/>
                <w:kern w:val="21"/>
                <w:position w:val="0"/>
                <w:sz w:val="18"/>
                <w:szCs w:val="18"/>
                <w:highlight w:val="none"/>
              </w:rPr>
            </w:pPr>
            <w:r>
              <w:rPr>
                <w:rFonts w:hint="default" w:ascii="Times New Roman" w:hAnsi="Times New Roman" w:eastAsia="宋体" w:cs="Times New Roman"/>
                <w:b/>
                <w:bCs w:val="0"/>
                <w:caps w:val="0"/>
                <w:snapToGrid/>
                <w:color w:val="auto"/>
                <w:spacing w:val="0"/>
                <w:w w:val="100"/>
                <w:kern w:val="21"/>
                <w:position w:val="0"/>
                <w:sz w:val="18"/>
                <w:szCs w:val="18"/>
                <w:highlight w:val="none"/>
              </w:rPr>
              <w:t>注6：建设项目向河流、湖库排放温排水引起受纳水体水温变化超过水环境质量标准要求，且评价范围有水温敏感目标时，评价等级为一级。</w:t>
            </w:r>
          </w:p>
          <w:p w14:paraId="4F8D29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b/>
                <w:bCs w:val="0"/>
                <w:caps w:val="0"/>
                <w:snapToGrid/>
                <w:color w:val="auto"/>
                <w:spacing w:val="0"/>
                <w:w w:val="100"/>
                <w:kern w:val="21"/>
                <w:position w:val="0"/>
                <w:sz w:val="18"/>
                <w:szCs w:val="18"/>
                <w:highlight w:val="none"/>
              </w:rPr>
            </w:pPr>
            <w:r>
              <w:rPr>
                <w:rFonts w:hint="default" w:ascii="Times New Roman" w:hAnsi="Times New Roman" w:eastAsia="宋体" w:cs="Times New Roman"/>
                <w:b/>
                <w:bCs w:val="0"/>
                <w:caps w:val="0"/>
                <w:snapToGrid/>
                <w:color w:val="auto"/>
                <w:spacing w:val="0"/>
                <w:w w:val="100"/>
                <w:kern w:val="21"/>
                <w:position w:val="0"/>
                <w:sz w:val="18"/>
                <w:szCs w:val="18"/>
                <w:highlight w:val="none"/>
              </w:rPr>
              <w:t>注7：建设项目利用海水作为调节温度介质，排水量≥500万m³/d，评价等级为一级；排水量＜500万m³/d，评价等级为二级。</w:t>
            </w:r>
          </w:p>
          <w:p w14:paraId="744BFF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b/>
                <w:bCs w:val="0"/>
                <w:caps w:val="0"/>
                <w:snapToGrid/>
                <w:color w:val="auto"/>
                <w:spacing w:val="0"/>
                <w:w w:val="100"/>
                <w:kern w:val="21"/>
                <w:position w:val="0"/>
                <w:sz w:val="18"/>
                <w:szCs w:val="18"/>
                <w:highlight w:val="none"/>
              </w:rPr>
            </w:pPr>
            <w:r>
              <w:rPr>
                <w:rFonts w:hint="default" w:ascii="Times New Roman" w:hAnsi="Times New Roman" w:eastAsia="宋体" w:cs="Times New Roman"/>
                <w:b/>
                <w:bCs w:val="0"/>
                <w:caps w:val="0"/>
                <w:snapToGrid/>
                <w:color w:val="auto"/>
                <w:spacing w:val="0"/>
                <w:w w:val="100"/>
                <w:kern w:val="21"/>
                <w:position w:val="0"/>
                <w:sz w:val="18"/>
                <w:szCs w:val="18"/>
                <w:highlight w:val="none"/>
              </w:rPr>
              <w:t>注8：仅涉及清净下水排放的，如其排放水质满足受纳水体水环境质量标准要求的，评价等级为三级A。</w:t>
            </w:r>
          </w:p>
          <w:p w14:paraId="036B7F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b/>
                <w:bCs w:val="0"/>
                <w:caps w:val="0"/>
                <w:snapToGrid/>
                <w:color w:val="auto"/>
                <w:spacing w:val="0"/>
                <w:w w:val="100"/>
                <w:kern w:val="21"/>
                <w:position w:val="0"/>
                <w:sz w:val="18"/>
                <w:szCs w:val="18"/>
                <w:highlight w:val="none"/>
              </w:rPr>
            </w:pPr>
            <w:r>
              <w:rPr>
                <w:rFonts w:hint="default" w:ascii="Times New Roman" w:hAnsi="Times New Roman" w:eastAsia="宋体" w:cs="Times New Roman"/>
                <w:b/>
                <w:bCs w:val="0"/>
                <w:caps w:val="0"/>
                <w:snapToGrid/>
                <w:color w:val="auto"/>
                <w:spacing w:val="0"/>
                <w:w w:val="100"/>
                <w:kern w:val="21"/>
                <w:position w:val="0"/>
                <w:sz w:val="18"/>
                <w:szCs w:val="18"/>
                <w:highlight w:val="none"/>
              </w:rPr>
              <w:t>注9：依托现有排放口，且对外环境未新增排放污染物的直接排放建设项目，评价等级参照间接排放，定为三级B。</w:t>
            </w:r>
          </w:p>
          <w:p w14:paraId="22FC43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bCs/>
                <w:caps w:val="0"/>
                <w:snapToGrid/>
                <w:color w:val="auto"/>
                <w:spacing w:val="0"/>
                <w:w w:val="100"/>
                <w:kern w:val="21"/>
                <w:position w:val="0"/>
                <w:sz w:val="21"/>
                <w:szCs w:val="21"/>
                <w:highlight w:val="none"/>
              </w:rPr>
            </w:pPr>
            <w:r>
              <w:rPr>
                <w:rFonts w:hint="default" w:ascii="Times New Roman" w:hAnsi="Times New Roman" w:eastAsia="宋体" w:cs="Times New Roman"/>
                <w:b/>
                <w:bCs w:val="0"/>
                <w:caps w:val="0"/>
                <w:snapToGrid/>
                <w:color w:val="auto"/>
                <w:spacing w:val="0"/>
                <w:w w:val="100"/>
                <w:kern w:val="21"/>
                <w:position w:val="0"/>
                <w:sz w:val="18"/>
                <w:szCs w:val="18"/>
                <w:highlight w:val="none"/>
              </w:rPr>
              <w:t>注10：建设项目生产工艺中有废水产生，仅作为回水利用，不排放到外环境的，按三级B评价。</w:t>
            </w:r>
          </w:p>
        </w:tc>
      </w:tr>
    </w:tbl>
    <w:p w14:paraId="0E22303A">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rPr>
      </w:pPr>
      <w:r>
        <w:rPr>
          <w:rFonts w:hint="default" w:ascii="Times New Roman" w:hAnsi="Times New Roman" w:eastAsia="宋体" w:cs="Times New Roman"/>
          <w:bCs/>
          <w:caps w:val="0"/>
          <w:snapToGrid/>
          <w:color w:val="auto"/>
          <w:spacing w:val="0"/>
          <w:w w:val="100"/>
          <w:kern w:val="21"/>
          <w:position w:val="0"/>
          <w:szCs w:val="24"/>
          <w:highlight w:val="none"/>
        </w:rPr>
        <w:t>本项目</w:t>
      </w:r>
      <w:r>
        <w:rPr>
          <w:rFonts w:hint="eastAsia" w:cs="Times New Roman"/>
          <w:bCs/>
          <w:caps w:val="0"/>
          <w:snapToGrid/>
          <w:color w:val="auto"/>
          <w:spacing w:val="0"/>
          <w:w w:val="100"/>
          <w:kern w:val="21"/>
          <w:position w:val="0"/>
          <w:szCs w:val="24"/>
          <w:highlight w:val="none"/>
          <w:lang w:val="en-US" w:eastAsia="zh-CN"/>
        </w:rPr>
        <w:t>无生产废水外排，</w:t>
      </w:r>
      <w:r>
        <w:rPr>
          <w:rFonts w:hint="eastAsia" w:cs="Times New Roman"/>
          <w:caps w:val="0"/>
          <w:snapToGrid/>
          <w:color w:val="auto"/>
          <w:spacing w:val="0"/>
          <w:w w:val="100"/>
          <w:kern w:val="21"/>
          <w:position w:val="0"/>
          <w:highlight w:val="none"/>
          <w:lang w:val="en-US" w:eastAsia="zh-CN"/>
        </w:rPr>
        <w:t>生活</w:t>
      </w:r>
      <w:r>
        <w:rPr>
          <w:rFonts w:hint="default" w:ascii="Times New Roman" w:hAnsi="Times New Roman" w:eastAsia="宋体" w:cs="Times New Roman"/>
          <w:caps w:val="0"/>
          <w:snapToGrid/>
          <w:color w:val="auto"/>
          <w:spacing w:val="0"/>
          <w:w w:val="100"/>
          <w:kern w:val="21"/>
          <w:position w:val="0"/>
          <w:szCs w:val="24"/>
          <w:highlight w:val="none"/>
        </w:rPr>
        <w:t>污水</w:t>
      </w:r>
      <w:r>
        <w:rPr>
          <w:rFonts w:hint="eastAsia" w:ascii="Times New Roman" w:hAnsi="Times New Roman" w:eastAsia="宋体" w:cs="Times New Roman"/>
          <w:caps w:val="0"/>
          <w:snapToGrid/>
          <w:color w:val="auto"/>
          <w:spacing w:val="0"/>
          <w:w w:val="100"/>
          <w:kern w:val="21"/>
          <w:position w:val="0"/>
          <w:szCs w:val="24"/>
          <w:highlight w:val="none"/>
          <w:lang w:val="en-US" w:eastAsia="zh-CN"/>
        </w:rPr>
        <w:t>排入园区污水管网，最终排入</w:t>
      </w:r>
      <w:r>
        <w:rPr>
          <w:rFonts w:hint="eastAsia" w:cs="Times New Roman"/>
          <w:caps w:val="0"/>
          <w:snapToGrid/>
          <w:color w:val="auto"/>
          <w:spacing w:val="0"/>
          <w:w w:val="100"/>
          <w:kern w:val="21"/>
          <w:position w:val="0"/>
          <w:szCs w:val="24"/>
          <w:highlight w:val="none"/>
          <w:lang w:val="en-US" w:eastAsia="zh-CN"/>
        </w:rPr>
        <w:t>阜西区污水处理厂</w:t>
      </w:r>
      <w:r>
        <w:rPr>
          <w:rFonts w:hint="eastAsia" w:ascii="Times New Roman" w:hAnsi="Times New Roman" w:eastAsia="宋体" w:cs="Times New Roman"/>
          <w:caps w:val="0"/>
          <w:snapToGrid/>
          <w:color w:val="auto"/>
          <w:spacing w:val="0"/>
          <w:w w:val="100"/>
          <w:kern w:val="21"/>
          <w:position w:val="0"/>
          <w:szCs w:val="24"/>
          <w:highlight w:val="none"/>
          <w:lang w:val="en-US" w:eastAsia="zh-CN"/>
        </w:rPr>
        <w:t>处理</w:t>
      </w:r>
      <w:r>
        <w:rPr>
          <w:rFonts w:hint="default" w:ascii="Times New Roman" w:hAnsi="Times New Roman" w:eastAsia="宋体" w:cs="Times New Roman"/>
          <w:caps w:val="0"/>
          <w:snapToGrid/>
          <w:color w:val="auto"/>
          <w:spacing w:val="0"/>
          <w:w w:val="100"/>
          <w:kern w:val="21"/>
          <w:position w:val="0"/>
          <w:szCs w:val="24"/>
          <w:highlight w:val="none"/>
          <w:lang w:eastAsia="zh-CN"/>
        </w:rPr>
        <w:t>。</w:t>
      </w:r>
      <w:r>
        <w:rPr>
          <w:rFonts w:hint="default" w:ascii="Times New Roman" w:hAnsi="Times New Roman" w:eastAsia="宋体" w:cs="Times New Roman"/>
          <w:caps w:val="0"/>
          <w:snapToGrid/>
          <w:color w:val="auto"/>
          <w:spacing w:val="0"/>
          <w:w w:val="100"/>
          <w:kern w:val="21"/>
          <w:position w:val="0"/>
          <w:szCs w:val="24"/>
          <w:highlight w:val="none"/>
        </w:rPr>
        <w:t>根据《环境影响评价技术导则 地表水环境》（HJ2.3-2018），地表水环境的评价</w:t>
      </w:r>
      <w:r>
        <w:rPr>
          <w:rFonts w:hint="default" w:ascii="Times New Roman" w:hAnsi="Times New Roman" w:eastAsia="宋体" w:cs="Times New Roman"/>
          <w:caps w:val="0"/>
          <w:snapToGrid/>
          <w:color w:val="auto"/>
          <w:spacing w:val="0"/>
          <w:w w:val="100"/>
          <w:kern w:val="21"/>
          <w:position w:val="0"/>
          <w:szCs w:val="24"/>
          <w:highlight w:val="none"/>
          <w:lang w:eastAsia="zh-CN"/>
        </w:rPr>
        <w:t>工作</w:t>
      </w:r>
      <w:r>
        <w:rPr>
          <w:rFonts w:hint="default" w:ascii="Times New Roman" w:hAnsi="Times New Roman" w:eastAsia="宋体" w:cs="Times New Roman"/>
          <w:caps w:val="0"/>
          <w:snapToGrid/>
          <w:color w:val="auto"/>
          <w:spacing w:val="0"/>
          <w:w w:val="100"/>
          <w:kern w:val="21"/>
          <w:position w:val="0"/>
          <w:szCs w:val="24"/>
          <w:highlight w:val="none"/>
        </w:rPr>
        <w:t>等级为三级B</w:t>
      </w:r>
      <w:r>
        <w:rPr>
          <w:rFonts w:hint="default" w:ascii="Times New Roman" w:hAnsi="Times New Roman" w:eastAsia="宋体" w:cs="Times New Roman"/>
          <w:caps w:val="0"/>
          <w:snapToGrid/>
          <w:color w:val="auto"/>
          <w:spacing w:val="0"/>
          <w:w w:val="100"/>
          <w:kern w:val="21"/>
          <w:position w:val="0"/>
          <w:szCs w:val="24"/>
          <w:highlight w:val="none"/>
          <w:lang w:val="zh-CN"/>
        </w:rPr>
        <w:t>。</w:t>
      </w:r>
      <w:bookmarkStart w:id="77" w:name="OLE_LINK168"/>
      <w:r>
        <w:rPr>
          <w:rFonts w:hint="default" w:ascii="Times New Roman" w:hAnsi="Times New Roman" w:eastAsia="宋体" w:cs="Times New Roman"/>
          <w:caps w:val="0"/>
          <w:snapToGrid/>
          <w:color w:val="auto"/>
          <w:spacing w:val="0"/>
          <w:w w:val="100"/>
          <w:kern w:val="21"/>
          <w:position w:val="0"/>
          <w:szCs w:val="24"/>
          <w:highlight w:val="none"/>
        </w:rPr>
        <w:t>根据《环境影响评价技术导则 地表水环境》（HJ2.3-2018），评价等级为三级B时可不开展区域地表水污染源调查，不进行地表水环境影响预测</w:t>
      </w:r>
      <w:r>
        <w:rPr>
          <w:rFonts w:hint="default" w:ascii="Times New Roman" w:hAnsi="Times New Roman" w:eastAsia="宋体" w:cs="Times New Roman"/>
          <w:caps w:val="0"/>
          <w:snapToGrid/>
          <w:color w:val="auto"/>
          <w:spacing w:val="0"/>
          <w:w w:val="100"/>
          <w:kern w:val="21"/>
          <w:position w:val="0"/>
          <w:szCs w:val="24"/>
          <w:highlight w:val="none"/>
          <w:lang w:eastAsia="zh-CN"/>
        </w:rPr>
        <w:t>，</w:t>
      </w:r>
      <w:r>
        <w:rPr>
          <w:rFonts w:hint="default" w:ascii="Times New Roman" w:hAnsi="Times New Roman" w:eastAsia="宋体" w:cs="Times New Roman"/>
          <w:caps w:val="0"/>
          <w:snapToGrid/>
          <w:color w:val="auto"/>
          <w:spacing w:val="0"/>
          <w:w w:val="100"/>
          <w:kern w:val="21"/>
          <w:position w:val="0"/>
          <w:sz w:val="24"/>
          <w:highlight w:val="none"/>
        </w:rPr>
        <w:t>本次</w:t>
      </w:r>
      <w:r>
        <w:rPr>
          <w:rFonts w:hint="default" w:ascii="Times New Roman" w:hAnsi="Times New Roman" w:eastAsia="宋体" w:cs="Times New Roman"/>
          <w:caps w:val="0"/>
          <w:snapToGrid/>
          <w:color w:val="auto"/>
          <w:spacing w:val="0"/>
          <w:w w:val="100"/>
          <w:kern w:val="21"/>
          <w:position w:val="0"/>
          <w:sz w:val="24"/>
          <w:highlight w:val="none"/>
          <w:lang w:val="en-US" w:eastAsia="zh-CN"/>
        </w:rPr>
        <w:t>环评</w:t>
      </w:r>
      <w:r>
        <w:rPr>
          <w:rFonts w:hint="default" w:ascii="Times New Roman" w:hAnsi="Times New Roman" w:eastAsia="宋体" w:cs="Times New Roman"/>
          <w:caps w:val="0"/>
          <w:snapToGrid/>
          <w:color w:val="auto"/>
          <w:spacing w:val="0"/>
          <w:w w:val="100"/>
          <w:kern w:val="21"/>
          <w:position w:val="0"/>
          <w:sz w:val="24"/>
          <w:highlight w:val="none"/>
        </w:rPr>
        <w:t>仅对项目废水处理措施合理性进行分析</w:t>
      </w:r>
      <w:r>
        <w:rPr>
          <w:rFonts w:hint="default" w:ascii="Times New Roman" w:hAnsi="Times New Roman" w:eastAsia="宋体" w:cs="Times New Roman"/>
          <w:caps w:val="0"/>
          <w:snapToGrid/>
          <w:color w:val="auto"/>
          <w:spacing w:val="0"/>
          <w:w w:val="100"/>
          <w:kern w:val="21"/>
          <w:position w:val="0"/>
          <w:szCs w:val="24"/>
          <w:highlight w:val="none"/>
        </w:rPr>
        <w:t>。</w:t>
      </w:r>
      <w:bookmarkEnd w:id="77"/>
    </w:p>
    <w:p w14:paraId="04614591">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78" w:name="_Toc5166"/>
      <w:bookmarkStart w:id="79" w:name="_Toc23175"/>
      <w:r>
        <w:rPr>
          <w:rFonts w:hint="default"/>
          <w:color w:val="auto"/>
          <w:spacing w:val="0"/>
          <w:w w:val="100"/>
          <w:position w:val="0"/>
          <w:highlight w:val="none"/>
          <w:lang w:val="en-US" w:eastAsia="zh-CN"/>
        </w:rPr>
        <w:t>2.3.2.2地下水环境</w:t>
      </w:r>
      <w:bookmarkEnd w:id="78"/>
      <w:bookmarkEnd w:id="79"/>
    </w:p>
    <w:p w14:paraId="5580D064">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32"/>
          <w:highlight w:val="none"/>
        </w:rPr>
      </w:pPr>
      <w:r>
        <w:rPr>
          <w:rFonts w:hint="default" w:ascii="Times New Roman" w:hAnsi="Times New Roman" w:eastAsia="宋体" w:cs="Times New Roman"/>
          <w:caps w:val="0"/>
          <w:snapToGrid/>
          <w:color w:val="auto"/>
          <w:spacing w:val="0"/>
          <w:w w:val="100"/>
          <w:kern w:val="21"/>
          <w:position w:val="0"/>
          <w:szCs w:val="32"/>
          <w:highlight w:val="none"/>
        </w:rPr>
        <w:t>依据</w:t>
      </w:r>
      <w:bookmarkStart w:id="80" w:name="OLE_LINK78"/>
      <w:r>
        <w:rPr>
          <w:rFonts w:hint="default" w:ascii="Times New Roman" w:hAnsi="Times New Roman" w:eastAsia="宋体" w:cs="Times New Roman"/>
          <w:caps w:val="0"/>
          <w:snapToGrid/>
          <w:color w:val="auto"/>
          <w:spacing w:val="0"/>
          <w:w w:val="100"/>
          <w:kern w:val="21"/>
          <w:position w:val="0"/>
          <w:szCs w:val="32"/>
          <w:highlight w:val="none"/>
        </w:rPr>
        <w:t>《环境影响评价技术导则 地下水环境》</w:t>
      </w:r>
      <w:bookmarkEnd w:id="80"/>
      <w:r>
        <w:rPr>
          <w:rFonts w:hint="default" w:ascii="Times New Roman" w:hAnsi="Times New Roman" w:eastAsia="宋体" w:cs="Times New Roman"/>
          <w:caps w:val="0"/>
          <w:snapToGrid/>
          <w:color w:val="auto"/>
          <w:spacing w:val="0"/>
          <w:w w:val="100"/>
          <w:kern w:val="21"/>
          <w:position w:val="0"/>
          <w:szCs w:val="32"/>
          <w:highlight w:val="none"/>
        </w:rPr>
        <w:t>（HJ610-2016），地下水环境影响评价工作等级的划分应根据建设项目的地下水环境影响评价项目类别及地下水环境敏感程度指标确定。依据《环境影响评价技术导则 地下水环境》（HJ610-2016）附录A地下水环境影响评价行业分类表，本项目属于“</w:t>
      </w:r>
      <w:r>
        <w:rPr>
          <w:rFonts w:hint="eastAsia" w:cs="Times New Roman"/>
          <w:caps w:val="0"/>
          <w:snapToGrid/>
          <w:color w:val="auto"/>
          <w:spacing w:val="0"/>
          <w:w w:val="100"/>
          <w:kern w:val="21"/>
          <w:position w:val="0"/>
          <w:szCs w:val="32"/>
          <w:highlight w:val="none"/>
          <w:lang w:val="en-US" w:eastAsia="zh-CN"/>
        </w:rPr>
        <w:t>N</w:t>
      </w:r>
      <w:r>
        <w:rPr>
          <w:rFonts w:hint="default" w:ascii="Times New Roman" w:hAnsi="Times New Roman" w:eastAsia="宋体" w:cs="Times New Roman"/>
          <w:caps w:val="0"/>
          <w:snapToGrid/>
          <w:color w:val="auto"/>
          <w:spacing w:val="0"/>
          <w:w w:val="100"/>
          <w:kern w:val="21"/>
          <w:position w:val="0"/>
          <w:szCs w:val="32"/>
          <w:highlight w:val="none"/>
        </w:rPr>
        <w:t xml:space="preserve"> </w:t>
      </w:r>
      <w:r>
        <w:rPr>
          <w:rFonts w:hint="eastAsia" w:cs="Times New Roman"/>
          <w:caps w:val="0"/>
          <w:snapToGrid/>
          <w:color w:val="auto"/>
          <w:spacing w:val="0"/>
          <w:w w:val="100"/>
          <w:kern w:val="21"/>
          <w:position w:val="0"/>
          <w:szCs w:val="32"/>
          <w:highlight w:val="none"/>
          <w:lang w:val="en-US" w:eastAsia="zh-CN"/>
        </w:rPr>
        <w:t>轻工</w:t>
      </w:r>
      <w:r>
        <w:rPr>
          <w:rFonts w:hint="default" w:ascii="Times New Roman" w:hAnsi="Times New Roman" w:eastAsia="宋体" w:cs="Times New Roman"/>
          <w:caps w:val="0"/>
          <w:snapToGrid/>
          <w:color w:val="auto"/>
          <w:spacing w:val="0"/>
          <w:w w:val="100"/>
          <w:kern w:val="21"/>
          <w:position w:val="0"/>
          <w:szCs w:val="32"/>
          <w:highlight w:val="none"/>
          <w:lang w:val="en-US" w:eastAsia="zh-CN"/>
        </w:rPr>
        <w:t>--</w:t>
      </w:r>
      <w:r>
        <w:rPr>
          <w:rFonts w:hint="eastAsia" w:cs="Times New Roman"/>
          <w:caps w:val="0"/>
          <w:snapToGrid/>
          <w:color w:val="auto"/>
          <w:spacing w:val="0"/>
          <w:w w:val="100"/>
          <w:kern w:val="21"/>
          <w:position w:val="0"/>
          <w:szCs w:val="32"/>
          <w:highlight w:val="none"/>
          <w:lang w:val="en-US" w:eastAsia="zh-CN"/>
        </w:rPr>
        <w:t>116</w:t>
      </w:r>
      <w:r>
        <w:rPr>
          <w:rFonts w:hint="default" w:ascii="Times New Roman" w:hAnsi="Times New Roman" w:eastAsia="宋体" w:cs="Times New Roman"/>
          <w:caps w:val="0"/>
          <w:snapToGrid/>
          <w:color w:val="auto"/>
          <w:spacing w:val="0"/>
          <w:w w:val="100"/>
          <w:kern w:val="21"/>
          <w:position w:val="0"/>
          <w:szCs w:val="32"/>
          <w:highlight w:val="none"/>
          <w:lang w:val="en-US" w:eastAsia="zh-CN"/>
        </w:rPr>
        <w:t>、</w:t>
      </w:r>
      <w:r>
        <w:rPr>
          <w:rFonts w:hint="eastAsia" w:cs="Times New Roman"/>
          <w:caps w:val="0"/>
          <w:snapToGrid/>
          <w:color w:val="auto"/>
          <w:spacing w:val="0"/>
          <w:w w:val="100"/>
          <w:kern w:val="21"/>
          <w:position w:val="0"/>
          <w:szCs w:val="32"/>
          <w:highlight w:val="none"/>
          <w:lang w:val="en-US" w:eastAsia="zh-CN"/>
        </w:rPr>
        <w:t>塑料制品</w:t>
      </w:r>
      <w:r>
        <w:rPr>
          <w:rFonts w:hint="default" w:ascii="Times New Roman" w:hAnsi="Times New Roman" w:eastAsia="宋体" w:cs="Times New Roman"/>
          <w:caps w:val="0"/>
          <w:snapToGrid/>
          <w:color w:val="auto"/>
          <w:spacing w:val="0"/>
          <w:w w:val="100"/>
          <w:kern w:val="21"/>
          <w:position w:val="0"/>
          <w:szCs w:val="32"/>
          <w:highlight w:val="none"/>
          <w:lang w:val="en-US" w:eastAsia="zh-CN"/>
        </w:rPr>
        <w:t>制造</w:t>
      </w:r>
      <w:r>
        <w:rPr>
          <w:rFonts w:hint="default" w:ascii="Times New Roman" w:hAnsi="Times New Roman" w:eastAsia="宋体" w:cs="Times New Roman"/>
          <w:caps w:val="0"/>
          <w:snapToGrid/>
          <w:color w:val="auto"/>
          <w:spacing w:val="0"/>
          <w:w w:val="100"/>
          <w:kern w:val="21"/>
          <w:position w:val="0"/>
          <w:szCs w:val="32"/>
          <w:highlight w:val="none"/>
          <w:lang w:eastAsia="zh-CN"/>
        </w:rPr>
        <w:t>”</w:t>
      </w:r>
      <w:r>
        <w:rPr>
          <w:rFonts w:hint="default" w:ascii="Times New Roman" w:hAnsi="Times New Roman" w:eastAsia="宋体" w:cs="Times New Roman"/>
          <w:caps w:val="0"/>
          <w:snapToGrid/>
          <w:color w:val="auto"/>
          <w:spacing w:val="0"/>
          <w:w w:val="100"/>
          <w:kern w:val="21"/>
          <w:position w:val="0"/>
          <w:szCs w:val="32"/>
          <w:highlight w:val="none"/>
        </w:rPr>
        <w:t>项目，</w:t>
      </w:r>
      <w:r>
        <w:rPr>
          <w:rFonts w:hint="eastAsia" w:cs="Times New Roman"/>
          <w:caps w:val="0"/>
          <w:snapToGrid/>
          <w:color w:val="auto"/>
          <w:spacing w:val="0"/>
          <w:w w:val="100"/>
          <w:kern w:val="21"/>
          <w:position w:val="0"/>
          <w:szCs w:val="32"/>
          <w:highlight w:val="none"/>
          <w:lang w:val="en-US" w:eastAsia="zh-CN"/>
        </w:rPr>
        <w:t>项目不涉及有毒原材料，无电镀工艺，但是环评类型为报告书，因此</w:t>
      </w:r>
      <w:r>
        <w:rPr>
          <w:rFonts w:hint="default" w:ascii="Times New Roman" w:hAnsi="Times New Roman" w:eastAsia="宋体" w:cs="Times New Roman"/>
          <w:caps w:val="0"/>
          <w:snapToGrid/>
          <w:color w:val="auto"/>
          <w:spacing w:val="0"/>
          <w:w w:val="100"/>
          <w:kern w:val="21"/>
          <w:position w:val="0"/>
          <w:szCs w:val="32"/>
          <w:highlight w:val="none"/>
        </w:rPr>
        <w:t>地下水环境影响评价项目类别为</w:t>
      </w:r>
      <w:r>
        <w:rPr>
          <w:rFonts w:hint="default" w:ascii="Times New Roman" w:hAnsi="Times New Roman" w:eastAsia="宋体" w:cs="Times New Roman"/>
          <w:caps w:val="0"/>
          <w:snapToGrid/>
          <w:color w:val="auto"/>
          <w:spacing w:val="0"/>
          <w:w w:val="100"/>
          <w:kern w:val="21"/>
          <w:position w:val="0"/>
          <w:szCs w:val="32"/>
          <w:highlight w:val="none"/>
          <w:lang w:eastAsia="zh-CN"/>
        </w:rPr>
        <w:t>Ⅱ类</w:t>
      </w:r>
      <w:r>
        <w:rPr>
          <w:rFonts w:hint="default" w:ascii="Times New Roman" w:hAnsi="Times New Roman" w:eastAsia="宋体" w:cs="Times New Roman"/>
          <w:caps w:val="0"/>
          <w:snapToGrid/>
          <w:color w:val="auto"/>
          <w:spacing w:val="0"/>
          <w:w w:val="100"/>
          <w:kern w:val="21"/>
          <w:position w:val="0"/>
          <w:szCs w:val="32"/>
          <w:highlight w:val="none"/>
        </w:rPr>
        <w:t>。建设地点位于</w:t>
      </w:r>
      <w:r>
        <w:rPr>
          <w:rFonts w:hint="eastAsia" w:cs="Times New Roman"/>
          <w:b w:val="0"/>
          <w:color w:val="auto"/>
          <w:spacing w:val="0"/>
          <w:w w:val="100"/>
          <w:kern w:val="0"/>
          <w:position w:val="0"/>
          <w:sz w:val="24"/>
          <w:szCs w:val="24"/>
          <w:highlight w:val="none"/>
          <w:lang w:val="en-US" w:eastAsia="zh-CN" w:bidi="ar-SA"/>
        </w:rPr>
        <w:t>甘泉堡工业园区中小微企业创新区</w:t>
      </w:r>
      <w:r>
        <w:rPr>
          <w:rFonts w:hint="default" w:ascii="Times New Roman" w:hAnsi="Times New Roman" w:eastAsia="宋体" w:cs="Times New Roman"/>
          <w:caps w:val="0"/>
          <w:snapToGrid/>
          <w:color w:val="auto"/>
          <w:spacing w:val="0"/>
          <w:w w:val="100"/>
          <w:kern w:val="21"/>
          <w:position w:val="0"/>
          <w:szCs w:val="32"/>
          <w:highlight w:val="none"/>
        </w:rPr>
        <w:t>，所在区域内无集中饮用水水源准保护区、补给径流区、与地下水环境相关的其它保护区等，无分散式饮用水水源井，参照表</w:t>
      </w:r>
      <w:r>
        <w:rPr>
          <w:rFonts w:hint="default" w:ascii="Times New Roman" w:hAnsi="Times New Roman" w:eastAsia="宋体" w:cs="Times New Roman"/>
          <w:caps w:val="0"/>
          <w:snapToGrid/>
          <w:color w:val="auto"/>
          <w:spacing w:val="0"/>
          <w:w w:val="100"/>
          <w:kern w:val="21"/>
          <w:position w:val="0"/>
          <w:szCs w:val="32"/>
          <w:highlight w:val="none"/>
          <w:lang w:eastAsia="zh-CN"/>
        </w:rPr>
        <w:t>2.3</w:t>
      </w:r>
      <w:r>
        <w:rPr>
          <w:rFonts w:hint="default" w:ascii="Times New Roman" w:hAnsi="Times New Roman" w:eastAsia="宋体" w:cs="Times New Roman"/>
          <w:caps w:val="0"/>
          <w:snapToGrid/>
          <w:color w:val="auto"/>
          <w:spacing w:val="0"/>
          <w:w w:val="100"/>
          <w:kern w:val="21"/>
          <w:position w:val="0"/>
          <w:szCs w:val="32"/>
          <w:highlight w:val="none"/>
        </w:rPr>
        <w:t>-</w:t>
      </w:r>
      <w:r>
        <w:rPr>
          <w:rFonts w:hint="default" w:ascii="Times New Roman" w:hAnsi="Times New Roman" w:eastAsia="宋体" w:cs="Times New Roman"/>
          <w:caps w:val="0"/>
          <w:snapToGrid/>
          <w:color w:val="auto"/>
          <w:spacing w:val="0"/>
          <w:w w:val="100"/>
          <w:kern w:val="21"/>
          <w:position w:val="0"/>
          <w:szCs w:val="32"/>
          <w:highlight w:val="none"/>
          <w:lang w:val="en-US" w:eastAsia="zh-CN"/>
        </w:rPr>
        <w:t>7</w:t>
      </w:r>
      <w:r>
        <w:rPr>
          <w:rFonts w:hint="default" w:ascii="Times New Roman" w:hAnsi="Times New Roman" w:eastAsia="宋体" w:cs="Times New Roman"/>
          <w:caps w:val="0"/>
          <w:snapToGrid/>
          <w:color w:val="auto"/>
          <w:spacing w:val="0"/>
          <w:w w:val="100"/>
          <w:kern w:val="21"/>
          <w:position w:val="0"/>
          <w:szCs w:val="32"/>
          <w:highlight w:val="none"/>
        </w:rPr>
        <w:t>中对地下水环境敏感程度分级表，该地区地下水环境敏感程度为“不敏感</w:t>
      </w:r>
      <w:r>
        <w:rPr>
          <w:rFonts w:hint="default" w:ascii="Times New Roman" w:hAnsi="Times New Roman" w:eastAsia="宋体" w:cs="Times New Roman"/>
          <w:caps w:val="0"/>
          <w:snapToGrid/>
          <w:color w:val="auto"/>
          <w:spacing w:val="0"/>
          <w:w w:val="100"/>
          <w:kern w:val="21"/>
          <w:position w:val="0"/>
          <w:szCs w:val="32"/>
          <w:highlight w:val="none"/>
          <w:lang w:eastAsia="zh-CN"/>
        </w:rPr>
        <w:t>”</w:t>
      </w:r>
      <w:r>
        <w:rPr>
          <w:rFonts w:hint="default" w:ascii="Times New Roman" w:hAnsi="Times New Roman" w:eastAsia="宋体" w:cs="Times New Roman"/>
          <w:caps w:val="0"/>
          <w:snapToGrid/>
          <w:color w:val="auto"/>
          <w:spacing w:val="0"/>
          <w:w w:val="100"/>
          <w:kern w:val="21"/>
          <w:position w:val="0"/>
          <w:szCs w:val="32"/>
          <w:highlight w:val="none"/>
        </w:rPr>
        <w:t>。</w:t>
      </w:r>
    </w:p>
    <w:p w14:paraId="16837FBA">
      <w:pPr>
        <w:keepNext w:val="0"/>
        <w:keepLines w:val="0"/>
        <w:pageBreakBefore w:val="0"/>
        <w:widowControl w:val="0"/>
        <w:tabs>
          <w:tab w:val="left" w:pos="1021"/>
        </w:tabs>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caps w:val="0"/>
          <w:snapToGrid/>
          <w:color w:val="auto"/>
          <w:spacing w:val="0"/>
          <w:w w:val="100"/>
          <w:kern w:val="21"/>
          <w:position w:val="0"/>
          <w:sz w:val="21"/>
          <w:szCs w:val="21"/>
          <w:highlight w:val="none"/>
          <w:lang w:val="zh-CN"/>
        </w:rPr>
      </w:pPr>
      <w:r>
        <w:rPr>
          <w:rFonts w:hint="default" w:ascii="Times New Roman" w:hAnsi="Times New Roman" w:eastAsia="宋体" w:cs="Times New Roman"/>
          <w:b/>
          <w:caps w:val="0"/>
          <w:snapToGrid/>
          <w:color w:val="auto"/>
          <w:spacing w:val="0"/>
          <w:w w:val="100"/>
          <w:kern w:val="21"/>
          <w:position w:val="0"/>
          <w:sz w:val="21"/>
          <w:szCs w:val="21"/>
          <w:highlight w:val="none"/>
          <w:lang w:val="zh-CN"/>
        </w:rPr>
        <w:t>表2.3</w:t>
      </w:r>
      <w:r>
        <w:rPr>
          <w:rFonts w:hint="eastAsia" w:cs="Times New Roman"/>
          <w:b/>
          <w:caps w:val="0"/>
          <w:snapToGrid/>
          <w:color w:val="auto"/>
          <w:spacing w:val="0"/>
          <w:w w:val="100"/>
          <w:kern w:val="21"/>
          <w:position w:val="0"/>
          <w:sz w:val="21"/>
          <w:szCs w:val="21"/>
          <w:highlight w:val="none"/>
          <w:lang w:val="en-US" w:eastAsia="zh-CN"/>
        </w:rPr>
        <w:t>.2-2</w:t>
      </w:r>
      <w:r>
        <w:rPr>
          <w:rFonts w:hint="default" w:ascii="Times New Roman" w:hAnsi="Times New Roman" w:eastAsia="宋体" w:cs="Times New Roman"/>
          <w:b/>
          <w:caps w:val="0"/>
          <w:snapToGrid/>
          <w:color w:val="auto"/>
          <w:spacing w:val="0"/>
          <w:w w:val="100"/>
          <w:kern w:val="21"/>
          <w:position w:val="0"/>
          <w:sz w:val="21"/>
          <w:szCs w:val="21"/>
          <w:highlight w:val="none"/>
          <w:lang w:val="en-US" w:eastAsia="zh-CN"/>
        </w:rPr>
        <w:t xml:space="preserve">  </w:t>
      </w:r>
      <w:r>
        <w:rPr>
          <w:rFonts w:hint="default" w:ascii="Times New Roman" w:hAnsi="Times New Roman" w:eastAsia="宋体" w:cs="Times New Roman"/>
          <w:b/>
          <w:caps w:val="0"/>
          <w:snapToGrid/>
          <w:color w:val="auto"/>
          <w:spacing w:val="0"/>
          <w:w w:val="100"/>
          <w:kern w:val="21"/>
          <w:position w:val="0"/>
          <w:sz w:val="21"/>
          <w:szCs w:val="21"/>
          <w:highlight w:val="none"/>
          <w:lang w:val="zh-CN"/>
        </w:rPr>
        <w:t>地下水环境敏感程度分级表</w:t>
      </w:r>
    </w:p>
    <w:tbl>
      <w:tblPr>
        <w:tblStyle w:val="25"/>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1452"/>
        <w:gridCol w:w="7500"/>
      </w:tblGrid>
      <w:tr w14:paraId="646218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811" w:type="pct"/>
            <w:tcBorders>
              <w:tl2br w:val="nil"/>
              <w:tr2bl w:val="nil"/>
            </w:tcBorders>
            <w:noWrap w:val="0"/>
            <w:vAlign w:val="center"/>
          </w:tcPr>
          <w:p w14:paraId="0393C313">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bidi="ar-SA"/>
              </w:rPr>
            </w:pPr>
            <w:r>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bidi="ar-SA"/>
              </w:rPr>
              <w:t>敏感程度</w:t>
            </w:r>
          </w:p>
        </w:tc>
        <w:tc>
          <w:tcPr>
            <w:tcW w:w="4188" w:type="pct"/>
            <w:tcBorders>
              <w:tl2br w:val="nil"/>
              <w:tr2bl w:val="nil"/>
            </w:tcBorders>
            <w:noWrap w:val="0"/>
            <w:vAlign w:val="center"/>
          </w:tcPr>
          <w:p w14:paraId="1F7E1699">
            <w:pPr>
              <w:pStyle w:val="3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bidi="ar-SA"/>
              </w:rPr>
            </w:pPr>
            <w:r>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bidi="ar-SA"/>
              </w:rPr>
              <w:t>地下水环境敏感特征</w:t>
            </w:r>
          </w:p>
        </w:tc>
      </w:tr>
      <w:tr w14:paraId="68E1BC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811" w:type="pct"/>
            <w:tcBorders>
              <w:tl2br w:val="nil"/>
              <w:tr2bl w:val="nil"/>
            </w:tcBorders>
            <w:noWrap w:val="0"/>
            <w:vAlign w:val="center"/>
          </w:tcPr>
          <w:p w14:paraId="00D7D2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敏感</w:t>
            </w:r>
          </w:p>
        </w:tc>
        <w:tc>
          <w:tcPr>
            <w:tcW w:w="4188" w:type="pct"/>
            <w:tcBorders>
              <w:tl2br w:val="nil"/>
              <w:tr2bl w:val="nil"/>
            </w:tcBorders>
            <w:noWrap w:val="0"/>
            <w:vAlign w:val="center"/>
          </w:tcPr>
          <w:p w14:paraId="6BB4A0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集中式饮用水水源（包括已建成的在用、备用、应急水源，在建和规划的饮用水水源）准保护区；除集中式饮用水水源以外的国家或地方政府设定的与地下水环境相关的其他保护区，如热水、矿泉水、温泉等特殊地下水资源保护区。</w:t>
            </w:r>
          </w:p>
        </w:tc>
      </w:tr>
      <w:tr w14:paraId="06A2CB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811" w:type="pct"/>
            <w:tcBorders>
              <w:tl2br w:val="nil"/>
              <w:tr2bl w:val="nil"/>
            </w:tcBorders>
            <w:noWrap w:val="0"/>
            <w:vAlign w:val="center"/>
          </w:tcPr>
          <w:p w14:paraId="08080F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较敏感</w:t>
            </w:r>
          </w:p>
        </w:tc>
        <w:tc>
          <w:tcPr>
            <w:tcW w:w="4188" w:type="pct"/>
            <w:tcBorders>
              <w:tl2br w:val="nil"/>
              <w:tr2bl w:val="nil"/>
            </w:tcBorders>
            <w:noWrap w:val="0"/>
            <w:vAlign w:val="center"/>
          </w:tcPr>
          <w:p w14:paraId="4444A0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集中式饮用水水源（包括已建成的在用、备用、应急水源，在建和规划的饮用水水源）准保护区以外的补给径流区；未划定准保护区的集中式饮用水水源，其保护区以外的补给径流区；分散式饮用水水源地；特殊地下水资源（如矿泉水、温泉等）保护区以外的分布区等其他未列入上述敏感分级的环境敏感区</w:t>
            </w:r>
            <w:r>
              <w:rPr>
                <w:rFonts w:hint="default" w:ascii="Times New Roman" w:hAnsi="Times New Roman" w:eastAsia="宋体" w:cs="Times New Roman"/>
                <w:caps w:val="0"/>
                <w:snapToGrid/>
                <w:color w:val="auto"/>
                <w:spacing w:val="0"/>
                <w:w w:val="100"/>
                <w:kern w:val="21"/>
                <w:position w:val="0"/>
                <w:sz w:val="21"/>
                <w:szCs w:val="21"/>
                <w:highlight w:val="none"/>
                <w:vertAlign w:val="superscript"/>
              </w:rPr>
              <w:t>a</w:t>
            </w:r>
            <w:r>
              <w:rPr>
                <w:rFonts w:hint="default" w:ascii="Times New Roman" w:hAnsi="Times New Roman" w:eastAsia="宋体" w:cs="Times New Roman"/>
                <w:caps w:val="0"/>
                <w:snapToGrid/>
                <w:color w:val="auto"/>
                <w:spacing w:val="0"/>
                <w:w w:val="100"/>
                <w:kern w:val="21"/>
                <w:position w:val="0"/>
                <w:sz w:val="21"/>
                <w:szCs w:val="21"/>
                <w:highlight w:val="none"/>
              </w:rPr>
              <w:t>。</w:t>
            </w:r>
          </w:p>
        </w:tc>
      </w:tr>
      <w:tr w14:paraId="401C69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811" w:type="pct"/>
            <w:tcBorders>
              <w:tl2br w:val="nil"/>
              <w:tr2bl w:val="nil"/>
            </w:tcBorders>
            <w:noWrap w:val="0"/>
            <w:vAlign w:val="center"/>
          </w:tcPr>
          <w:p w14:paraId="150BB6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不敏感</w:t>
            </w:r>
          </w:p>
        </w:tc>
        <w:tc>
          <w:tcPr>
            <w:tcW w:w="4188" w:type="pct"/>
            <w:tcBorders>
              <w:tl2br w:val="nil"/>
              <w:tr2bl w:val="nil"/>
            </w:tcBorders>
            <w:noWrap w:val="0"/>
            <w:vAlign w:val="center"/>
          </w:tcPr>
          <w:p w14:paraId="504B29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上述地区之外的其他地区。</w:t>
            </w:r>
          </w:p>
        </w:tc>
      </w:tr>
      <w:tr w14:paraId="78B232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5000" w:type="pct"/>
            <w:gridSpan w:val="2"/>
            <w:tcBorders>
              <w:tl2br w:val="nil"/>
              <w:tr2bl w:val="nil"/>
            </w:tcBorders>
            <w:noWrap w:val="0"/>
            <w:vAlign w:val="center"/>
          </w:tcPr>
          <w:p w14:paraId="3EE48E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18"/>
                <w:szCs w:val="18"/>
                <w:highlight w:val="none"/>
              </w:rPr>
              <w:t>注：a“环境敏感区</w:t>
            </w:r>
            <w:r>
              <w:rPr>
                <w:rFonts w:hint="default" w:ascii="Times New Roman" w:hAnsi="Times New Roman" w:eastAsia="宋体" w:cs="Times New Roman"/>
                <w:b/>
                <w:bCs/>
                <w:caps w:val="0"/>
                <w:snapToGrid/>
                <w:color w:val="auto"/>
                <w:spacing w:val="0"/>
                <w:w w:val="100"/>
                <w:kern w:val="21"/>
                <w:position w:val="0"/>
                <w:sz w:val="18"/>
                <w:szCs w:val="18"/>
                <w:highlight w:val="none"/>
                <w:lang w:eastAsia="zh-CN"/>
              </w:rPr>
              <w:t>”</w:t>
            </w:r>
            <w:r>
              <w:rPr>
                <w:rFonts w:hint="default" w:ascii="Times New Roman" w:hAnsi="Times New Roman" w:eastAsia="宋体" w:cs="Times New Roman"/>
                <w:b/>
                <w:bCs/>
                <w:caps w:val="0"/>
                <w:snapToGrid/>
                <w:color w:val="auto"/>
                <w:spacing w:val="0"/>
                <w:w w:val="100"/>
                <w:kern w:val="21"/>
                <w:position w:val="0"/>
                <w:sz w:val="18"/>
                <w:szCs w:val="18"/>
                <w:highlight w:val="none"/>
              </w:rPr>
              <w:t>是指《建设项目环境影响评价分类管理名录》中所界定的涉及地下水的环境敏感区。</w:t>
            </w:r>
          </w:p>
        </w:tc>
      </w:tr>
    </w:tbl>
    <w:p w14:paraId="400F63A2">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综上，本项目地下水环境影响评价等级的判定可见表</w:t>
      </w:r>
      <w:r>
        <w:rPr>
          <w:rFonts w:hint="default" w:ascii="Times New Roman" w:hAnsi="Times New Roman" w:eastAsia="宋体" w:cs="Times New Roman"/>
          <w:caps w:val="0"/>
          <w:snapToGrid/>
          <w:color w:val="auto"/>
          <w:spacing w:val="0"/>
          <w:w w:val="100"/>
          <w:kern w:val="21"/>
          <w:position w:val="0"/>
          <w:highlight w:val="none"/>
          <w:lang w:eastAsia="zh-CN"/>
        </w:rPr>
        <w:t>2.3</w:t>
      </w:r>
      <w:r>
        <w:rPr>
          <w:rFonts w:hint="eastAsia" w:cs="Times New Roman"/>
          <w:caps w:val="0"/>
          <w:snapToGrid/>
          <w:color w:val="auto"/>
          <w:spacing w:val="0"/>
          <w:w w:val="100"/>
          <w:kern w:val="21"/>
          <w:position w:val="0"/>
          <w:highlight w:val="none"/>
          <w:lang w:val="en-US" w:eastAsia="zh-CN"/>
        </w:rPr>
        <w:t>.2-3</w:t>
      </w:r>
      <w:r>
        <w:rPr>
          <w:rFonts w:hint="default" w:ascii="Times New Roman" w:hAnsi="Times New Roman" w:eastAsia="宋体" w:cs="Times New Roman"/>
          <w:caps w:val="0"/>
          <w:snapToGrid/>
          <w:color w:val="auto"/>
          <w:spacing w:val="0"/>
          <w:w w:val="100"/>
          <w:kern w:val="21"/>
          <w:position w:val="0"/>
          <w:highlight w:val="none"/>
        </w:rPr>
        <w:t>。确定本项目地下水环境评价等级为三级。</w:t>
      </w:r>
    </w:p>
    <w:p w14:paraId="36ED82FB">
      <w:pPr>
        <w:keepNext w:val="0"/>
        <w:keepLines w:val="0"/>
        <w:pageBreakBefore w:val="0"/>
        <w:widowControl w:val="0"/>
        <w:tabs>
          <w:tab w:val="left" w:pos="1021"/>
        </w:tabs>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caps w:val="0"/>
          <w:snapToGrid/>
          <w:color w:val="auto"/>
          <w:spacing w:val="0"/>
          <w:w w:val="100"/>
          <w:kern w:val="21"/>
          <w:position w:val="0"/>
          <w:sz w:val="21"/>
          <w:szCs w:val="21"/>
          <w:highlight w:val="none"/>
          <w:lang w:val="zh-CN"/>
        </w:rPr>
      </w:pPr>
      <w:r>
        <w:rPr>
          <w:rFonts w:hint="default" w:ascii="Times New Roman" w:hAnsi="Times New Roman" w:eastAsia="宋体" w:cs="Times New Roman"/>
          <w:b/>
          <w:caps w:val="0"/>
          <w:snapToGrid/>
          <w:color w:val="auto"/>
          <w:spacing w:val="0"/>
          <w:w w:val="100"/>
          <w:kern w:val="21"/>
          <w:position w:val="0"/>
          <w:sz w:val="21"/>
          <w:szCs w:val="21"/>
          <w:highlight w:val="none"/>
          <w:lang w:val="zh-CN"/>
        </w:rPr>
        <w:t>表2.3</w:t>
      </w:r>
      <w:r>
        <w:rPr>
          <w:rFonts w:hint="eastAsia" w:cs="Times New Roman"/>
          <w:b/>
          <w:caps w:val="0"/>
          <w:snapToGrid/>
          <w:color w:val="auto"/>
          <w:spacing w:val="0"/>
          <w:w w:val="100"/>
          <w:kern w:val="21"/>
          <w:position w:val="0"/>
          <w:sz w:val="21"/>
          <w:szCs w:val="21"/>
          <w:highlight w:val="none"/>
          <w:lang w:val="en-US" w:eastAsia="zh-CN"/>
        </w:rPr>
        <w:t>.2-3</w:t>
      </w:r>
      <w:r>
        <w:rPr>
          <w:rFonts w:hint="default" w:ascii="Times New Roman" w:hAnsi="Times New Roman" w:eastAsia="宋体" w:cs="Times New Roman"/>
          <w:b/>
          <w:caps w:val="0"/>
          <w:snapToGrid/>
          <w:color w:val="auto"/>
          <w:spacing w:val="0"/>
          <w:w w:val="100"/>
          <w:kern w:val="21"/>
          <w:position w:val="0"/>
          <w:sz w:val="21"/>
          <w:szCs w:val="21"/>
          <w:highlight w:val="none"/>
          <w:lang w:val="zh-CN"/>
        </w:rPr>
        <w:t xml:space="preserve">  评价工作等级分级表</w:t>
      </w:r>
    </w:p>
    <w:tbl>
      <w:tblPr>
        <w:tblStyle w:val="25"/>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3135"/>
        <w:gridCol w:w="1551"/>
        <w:gridCol w:w="2235"/>
        <w:gridCol w:w="2031"/>
      </w:tblGrid>
      <w:tr w14:paraId="60C7A3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750" w:type="pct"/>
            <w:tcBorders>
              <w:tl2br w:val="nil"/>
              <w:tr2bl w:val="nil"/>
            </w:tcBorders>
            <w:noWrap w:val="0"/>
            <w:vAlign w:val="center"/>
          </w:tcPr>
          <w:p w14:paraId="6D8572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环境敏感程度项目类别</w:t>
            </w:r>
          </w:p>
        </w:tc>
        <w:tc>
          <w:tcPr>
            <w:tcW w:w="866" w:type="pct"/>
            <w:tcBorders>
              <w:tl2br w:val="nil"/>
              <w:tr2bl w:val="nil"/>
            </w:tcBorders>
            <w:noWrap w:val="0"/>
            <w:vAlign w:val="center"/>
          </w:tcPr>
          <w:p w14:paraId="50CC47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Ⅰ类项目</w:t>
            </w:r>
          </w:p>
        </w:tc>
        <w:tc>
          <w:tcPr>
            <w:tcW w:w="1248" w:type="pct"/>
            <w:tcBorders>
              <w:tl2br w:val="nil"/>
              <w:tr2bl w:val="nil"/>
            </w:tcBorders>
            <w:noWrap w:val="0"/>
            <w:vAlign w:val="center"/>
          </w:tcPr>
          <w:p w14:paraId="541839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Ⅱ类项目</w:t>
            </w:r>
          </w:p>
        </w:tc>
        <w:tc>
          <w:tcPr>
            <w:tcW w:w="1134" w:type="pct"/>
            <w:tcBorders>
              <w:tl2br w:val="nil"/>
              <w:tr2bl w:val="nil"/>
            </w:tcBorders>
            <w:noWrap w:val="0"/>
            <w:vAlign w:val="center"/>
          </w:tcPr>
          <w:p w14:paraId="07F806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Ⅲ类项目</w:t>
            </w:r>
          </w:p>
        </w:tc>
      </w:tr>
      <w:tr w14:paraId="463C8B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750" w:type="pct"/>
            <w:tcBorders>
              <w:tl2br w:val="nil"/>
              <w:tr2bl w:val="nil"/>
            </w:tcBorders>
            <w:noWrap w:val="0"/>
            <w:vAlign w:val="center"/>
          </w:tcPr>
          <w:p w14:paraId="24E2AD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敏感</w:t>
            </w:r>
          </w:p>
        </w:tc>
        <w:tc>
          <w:tcPr>
            <w:tcW w:w="866" w:type="pct"/>
            <w:tcBorders>
              <w:tl2br w:val="nil"/>
              <w:tr2bl w:val="nil"/>
            </w:tcBorders>
            <w:noWrap w:val="0"/>
            <w:vAlign w:val="center"/>
          </w:tcPr>
          <w:p w14:paraId="27B6FA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一</w:t>
            </w:r>
          </w:p>
        </w:tc>
        <w:tc>
          <w:tcPr>
            <w:tcW w:w="1248" w:type="pct"/>
            <w:tcBorders>
              <w:tl2br w:val="nil"/>
              <w:tr2bl w:val="nil"/>
            </w:tcBorders>
            <w:noWrap w:val="0"/>
            <w:vAlign w:val="center"/>
          </w:tcPr>
          <w:p w14:paraId="53A225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一</w:t>
            </w:r>
          </w:p>
        </w:tc>
        <w:tc>
          <w:tcPr>
            <w:tcW w:w="1134" w:type="pct"/>
            <w:tcBorders>
              <w:tl2br w:val="nil"/>
              <w:tr2bl w:val="nil"/>
            </w:tcBorders>
            <w:noWrap w:val="0"/>
            <w:vAlign w:val="center"/>
          </w:tcPr>
          <w:p w14:paraId="3609EE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二</w:t>
            </w:r>
          </w:p>
        </w:tc>
      </w:tr>
      <w:tr w14:paraId="0B2E98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750" w:type="pct"/>
            <w:tcBorders>
              <w:tl2br w:val="nil"/>
              <w:tr2bl w:val="nil"/>
            </w:tcBorders>
            <w:noWrap w:val="0"/>
            <w:vAlign w:val="center"/>
          </w:tcPr>
          <w:p w14:paraId="6CDE6F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较敏感</w:t>
            </w:r>
          </w:p>
        </w:tc>
        <w:tc>
          <w:tcPr>
            <w:tcW w:w="866" w:type="pct"/>
            <w:tcBorders>
              <w:tl2br w:val="nil"/>
              <w:tr2bl w:val="nil"/>
            </w:tcBorders>
            <w:noWrap w:val="0"/>
            <w:vAlign w:val="center"/>
          </w:tcPr>
          <w:p w14:paraId="2E932D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一</w:t>
            </w:r>
          </w:p>
        </w:tc>
        <w:tc>
          <w:tcPr>
            <w:tcW w:w="1248" w:type="pct"/>
            <w:tcBorders>
              <w:tl2br w:val="nil"/>
              <w:tr2bl w:val="nil"/>
            </w:tcBorders>
            <w:noWrap w:val="0"/>
            <w:vAlign w:val="center"/>
          </w:tcPr>
          <w:p w14:paraId="669A67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二</w:t>
            </w:r>
          </w:p>
        </w:tc>
        <w:tc>
          <w:tcPr>
            <w:tcW w:w="1134" w:type="pct"/>
            <w:tcBorders>
              <w:tl2br w:val="nil"/>
              <w:tr2bl w:val="nil"/>
            </w:tcBorders>
            <w:noWrap w:val="0"/>
            <w:vAlign w:val="center"/>
          </w:tcPr>
          <w:p w14:paraId="7154C8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三</w:t>
            </w:r>
          </w:p>
        </w:tc>
      </w:tr>
      <w:tr w14:paraId="2A2315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750" w:type="pct"/>
            <w:tcBorders>
              <w:tl2br w:val="nil"/>
              <w:tr2bl w:val="nil"/>
            </w:tcBorders>
            <w:shd w:val="clear" w:color="auto" w:fill="auto"/>
            <w:noWrap w:val="0"/>
            <w:vAlign w:val="center"/>
          </w:tcPr>
          <w:p w14:paraId="00D9FF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不敏感</w:t>
            </w:r>
          </w:p>
        </w:tc>
        <w:tc>
          <w:tcPr>
            <w:tcW w:w="866" w:type="pct"/>
            <w:tcBorders>
              <w:tl2br w:val="nil"/>
              <w:tr2bl w:val="nil"/>
            </w:tcBorders>
            <w:shd w:val="clear" w:color="auto" w:fill="auto"/>
            <w:noWrap w:val="0"/>
            <w:vAlign w:val="center"/>
          </w:tcPr>
          <w:p w14:paraId="1837C5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二</w:t>
            </w:r>
          </w:p>
        </w:tc>
        <w:tc>
          <w:tcPr>
            <w:tcW w:w="1248" w:type="pct"/>
            <w:tcBorders>
              <w:tl2br w:val="nil"/>
              <w:tr2bl w:val="nil"/>
            </w:tcBorders>
            <w:shd w:val="clear" w:color="auto" w:fill="D7D7D7" w:themeFill="background1" w:themeFillShade="D8"/>
            <w:noWrap w:val="0"/>
            <w:vAlign w:val="center"/>
          </w:tcPr>
          <w:p w14:paraId="6511DC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三</w:t>
            </w:r>
          </w:p>
        </w:tc>
        <w:tc>
          <w:tcPr>
            <w:tcW w:w="1134" w:type="pct"/>
            <w:tcBorders>
              <w:tl2br w:val="nil"/>
              <w:tr2bl w:val="nil"/>
            </w:tcBorders>
            <w:shd w:val="clear" w:color="auto" w:fill="auto"/>
            <w:noWrap w:val="0"/>
            <w:vAlign w:val="center"/>
          </w:tcPr>
          <w:p w14:paraId="54AAFC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三</w:t>
            </w:r>
          </w:p>
        </w:tc>
      </w:tr>
    </w:tbl>
    <w:p w14:paraId="2E1788FC">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81" w:name="_Toc21274"/>
      <w:bookmarkStart w:id="82" w:name="_Toc12190"/>
      <w:bookmarkStart w:id="83" w:name="_Toc11615"/>
      <w:bookmarkStart w:id="84" w:name="_Toc14192"/>
      <w:bookmarkStart w:id="85" w:name="_Toc7489"/>
      <w:bookmarkStart w:id="86" w:name="_Toc5896"/>
      <w:bookmarkStart w:id="87" w:name="_Toc30230"/>
      <w:bookmarkStart w:id="88" w:name="_Toc14709"/>
      <w:bookmarkStart w:id="89" w:name="_Toc11898"/>
      <w:r>
        <w:rPr>
          <w:rFonts w:hint="default"/>
          <w:color w:val="auto"/>
          <w:spacing w:val="0"/>
          <w:w w:val="100"/>
          <w:position w:val="0"/>
          <w:highlight w:val="none"/>
          <w:lang w:val="en-US" w:eastAsia="zh-CN"/>
        </w:rPr>
        <w:t>2.3.3声环境</w:t>
      </w:r>
      <w:bookmarkEnd w:id="81"/>
      <w:bookmarkEnd w:id="82"/>
      <w:bookmarkEnd w:id="83"/>
      <w:bookmarkEnd w:id="84"/>
      <w:bookmarkEnd w:id="85"/>
      <w:bookmarkEnd w:id="86"/>
      <w:bookmarkEnd w:id="87"/>
      <w:bookmarkEnd w:id="88"/>
      <w:bookmarkEnd w:id="89"/>
    </w:p>
    <w:p w14:paraId="23505077">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r>
        <w:rPr>
          <w:rFonts w:hint="default"/>
          <w:color w:val="auto"/>
          <w:spacing w:val="0"/>
          <w:w w:val="100"/>
          <w:position w:val="0"/>
          <w:highlight w:val="none"/>
        </w:rPr>
        <w:t>本项目所处的声环境功能区为《声环境质量标准》（GB3096-2008）规定的3类区，建设项目200m范围内没有声环境保护目标。根据《环境影响评价技术导则 声环境》（HJ2.4-2021）中评价等级划分规定，确定声环境影响评价工作等级为三级，评价范围为厂界外</w:t>
      </w:r>
      <w:r>
        <w:rPr>
          <w:rFonts w:hint="eastAsia"/>
          <w:color w:val="auto"/>
          <w:spacing w:val="0"/>
          <w:w w:val="100"/>
          <w:position w:val="0"/>
          <w:highlight w:val="none"/>
          <w:lang w:val="en-US" w:eastAsia="zh-CN"/>
        </w:rPr>
        <w:t>200</w:t>
      </w:r>
      <w:r>
        <w:rPr>
          <w:rFonts w:hint="default"/>
          <w:color w:val="auto"/>
          <w:spacing w:val="0"/>
          <w:w w:val="100"/>
          <w:position w:val="0"/>
          <w:highlight w:val="none"/>
          <w:lang w:val="en-US" w:eastAsia="zh-CN"/>
        </w:rPr>
        <w:t>m</w:t>
      </w:r>
      <w:r>
        <w:rPr>
          <w:rFonts w:hint="default"/>
          <w:color w:val="auto"/>
          <w:spacing w:val="0"/>
          <w:w w:val="100"/>
          <w:position w:val="0"/>
          <w:highlight w:val="none"/>
          <w:lang w:eastAsia="zh-CN"/>
        </w:rPr>
        <w:t>范围内</w:t>
      </w:r>
      <w:r>
        <w:rPr>
          <w:rFonts w:hint="default"/>
          <w:color w:val="auto"/>
          <w:spacing w:val="0"/>
          <w:w w:val="100"/>
          <w:position w:val="0"/>
          <w:highlight w:val="none"/>
        </w:rPr>
        <w:t>。</w:t>
      </w:r>
    </w:p>
    <w:p w14:paraId="5E70A854">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90" w:name="_Toc22457"/>
      <w:bookmarkStart w:id="91" w:name="_Toc16052"/>
      <w:bookmarkStart w:id="92" w:name="_Toc24988"/>
      <w:bookmarkStart w:id="93" w:name="_Toc23227"/>
      <w:bookmarkStart w:id="94" w:name="_Toc14682"/>
      <w:bookmarkStart w:id="95" w:name="_Toc18806"/>
      <w:bookmarkStart w:id="96" w:name="_Toc6796"/>
      <w:bookmarkStart w:id="97" w:name="_Toc21790"/>
      <w:bookmarkStart w:id="98" w:name="_Toc19558"/>
      <w:r>
        <w:rPr>
          <w:rFonts w:hint="default"/>
          <w:color w:val="auto"/>
          <w:spacing w:val="0"/>
          <w:w w:val="100"/>
          <w:position w:val="0"/>
          <w:highlight w:val="none"/>
          <w:lang w:val="en-US" w:eastAsia="zh-CN"/>
        </w:rPr>
        <w:t>2.3.4土壤环境</w:t>
      </w:r>
      <w:bookmarkEnd w:id="90"/>
      <w:bookmarkEnd w:id="91"/>
      <w:bookmarkEnd w:id="92"/>
      <w:bookmarkEnd w:id="93"/>
      <w:bookmarkEnd w:id="94"/>
      <w:bookmarkEnd w:id="95"/>
      <w:bookmarkEnd w:id="96"/>
      <w:bookmarkEnd w:id="97"/>
      <w:bookmarkEnd w:id="98"/>
    </w:p>
    <w:p w14:paraId="0FE8CA7A">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r>
        <w:rPr>
          <w:rFonts w:hint="default"/>
          <w:color w:val="auto"/>
          <w:spacing w:val="0"/>
          <w:w w:val="100"/>
          <w:position w:val="0"/>
          <w:highlight w:val="none"/>
        </w:rPr>
        <w:t>按照《环境影响评价技术导则</w:t>
      </w:r>
      <w:r>
        <w:rPr>
          <w:rFonts w:hint="default"/>
          <w:color w:val="auto"/>
          <w:spacing w:val="0"/>
          <w:w w:val="100"/>
          <w:position w:val="0"/>
          <w:highlight w:val="none"/>
          <w:lang w:val="en-US" w:eastAsia="zh-CN"/>
        </w:rPr>
        <w:t xml:space="preserve"> </w:t>
      </w:r>
      <w:r>
        <w:rPr>
          <w:rFonts w:hint="default"/>
          <w:color w:val="auto"/>
          <w:spacing w:val="0"/>
          <w:w w:val="100"/>
          <w:position w:val="0"/>
          <w:highlight w:val="none"/>
        </w:rPr>
        <w:t>土壤环境</w:t>
      </w:r>
      <w:r>
        <w:rPr>
          <w:rFonts w:hint="default"/>
          <w:color w:val="auto"/>
          <w:spacing w:val="0"/>
          <w:w w:val="100"/>
          <w:position w:val="0"/>
          <w:highlight w:val="none"/>
          <w:lang w:val="en-US" w:eastAsia="zh-CN"/>
        </w:rPr>
        <w:t>（试行）</w:t>
      </w:r>
      <w:r>
        <w:rPr>
          <w:rFonts w:hint="default"/>
          <w:color w:val="auto"/>
          <w:spacing w:val="0"/>
          <w:w w:val="100"/>
          <w:position w:val="0"/>
          <w:highlight w:val="none"/>
        </w:rPr>
        <w:t>》（HJ964-2018）要求，本项目对土壤环境可能产生污染影响，土壤环境污染影响型划分应依据土壤环境影响评价项目类别、占地规模与土壤环境敏感程度分级进行判定。</w:t>
      </w:r>
    </w:p>
    <w:p w14:paraId="7CEFC5AE">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r>
        <w:rPr>
          <w:rFonts w:hint="default"/>
          <w:color w:val="auto"/>
          <w:spacing w:val="0"/>
          <w:w w:val="100"/>
          <w:position w:val="0"/>
          <w:highlight w:val="none"/>
        </w:rPr>
        <w:t>本项目属于污染型项目，</w:t>
      </w:r>
      <w:bookmarkStart w:id="99" w:name="OLE_LINK79"/>
      <w:r>
        <w:rPr>
          <w:rFonts w:hint="default"/>
          <w:color w:val="auto"/>
          <w:spacing w:val="0"/>
          <w:w w:val="100"/>
          <w:position w:val="0"/>
          <w:highlight w:val="none"/>
        </w:rPr>
        <w:t>根据《环境影响评价技术导则</w:t>
      </w:r>
      <w:r>
        <w:rPr>
          <w:rFonts w:hint="default"/>
          <w:color w:val="auto"/>
          <w:spacing w:val="0"/>
          <w:w w:val="100"/>
          <w:position w:val="0"/>
          <w:highlight w:val="none"/>
          <w:lang w:val="en-US" w:eastAsia="zh-CN"/>
        </w:rPr>
        <w:t xml:space="preserve"> </w:t>
      </w:r>
      <w:r>
        <w:rPr>
          <w:rFonts w:hint="default"/>
          <w:color w:val="auto"/>
          <w:spacing w:val="0"/>
          <w:w w:val="100"/>
          <w:position w:val="0"/>
          <w:highlight w:val="none"/>
        </w:rPr>
        <w:t>土壤环境</w:t>
      </w:r>
      <w:r>
        <w:rPr>
          <w:rFonts w:hint="default"/>
          <w:color w:val="auto"/>
          <w:spacing w:val="0"/>
          <w:w w:val="100"/>
          <w:position w:val="0"/>
          <w:highlight w:val="none"/>
          <w:lang w:val="en-US" w:eastAsia="zh-CN"/>
        </w:rPr>
        <w:t>（试行）</w:t>
      </w:r>
      <w:r>
        <w:rPr>
          <w:rFonts w:hint="default"/>
          <w:color w:val="auto"/>
          <w:spacing w:val="0"/>
          <w:w w:val="100"/>
          <w:position w:val="0"/>
          <w:highlight w:val="none"/>
        </w:rPr>
        <w:t>》</w:t>
      </w:r>
      <w:bookmarkEnd w:id="99"/>
      <w:r>
        <w:rPr>
          <w:rFonts w:hint="default"/>
          <w:color w:val="auto"/>
          <w:spacing w:val="0"/>
          <w:w w:val="100"/>
          <w:position w:val="0"/>
          <w:highlight w:val="none"/>
        </w:rPr>
        <w:t>（HJ964-2018）附录A（土壤环境影响评价项目类别）判定，本项目项目类别</w:t>
      </w:r>
      <w:r>
        <w:rPr>
          <w:rFonts w:hint="eastAsia"/>
          <w:color w:val="auto"/>
          <w:spacing w:val="0"/>
          <w:w w:val="100"/>
          <w:position w:val="0"/>
          <w:highlight w:val="none"/>
          <w:lang w:val="en-US" w:eastAsia="zh-CN"/>
        </w:rPr>
        <w:t>见下表</w:t>
      </w:r>
      <w:r>
        <w:rPr>
          <w:rFonts w:hint="default"/>
          <w:color w:val="auto"/>
          <w:spacing w:val="0"/>
          <w:w w:val="100"/>
          <w:position w:val="0"/>
          <w:highlight w:val="none"/>
        </w:rPr>
        <w:t>。</w:t>
      </w:r>
    </w:p>
    <w:p w14:paraId="65BDB094">
      <w:pPr>
        <w:pStyle w:val="3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zh-CN"/>
        </w:rPr>
      </w:pPr>
      <w:r>
        <w:rPr>
          <w:rFonts w:hint="default"/>
          <w:color w:val="auto"/>
          <w:spacing w:val="0"/>
          <w:w w:val="100"/>
          <w:position w:val="0"/>
          <w:highlight w:val="none"/>
          <w:lang w:val="zh-CN"/>
        </w:rPr>
        <w:t>表2.3</w:t>
      </w:r>
      <w:r>
        <w:rPr>
          <w:rFonts w:hint="eastAsia"/>
          <w:color w:val="auto"/>
          <w:spacing w:val="0"/>
          <w:w w:val="100"/>
          <w:position w:val="0"/>
          <w:highlight w:val="none"/>
          <w:lang w:val="en-US" w:eastAsia="zh-CN"/>
        </w:rPr>
        <w:t>.4-1</w:t>
      </w:r>
      <w:r>
        <w:rPr>
          <w:rFonts w:hint="default"/>
          <w:color w:val="auto"/>
          <w:spacing w:val="0"/>
          <w:w w:val="100"/>
          <w:position w:val="0"/>
          <w:highlight w:val="none"/>
          <w:lang w:val="zh-CN"/>
        </w:rPr>
        <w:t xml:space="preserve">  土壤环境影响评价项目类别</w:t>
      </w:r>
    </w:p>
    <w:tbl>
      <w:tblPr>
        <w:tblStyle w:val="2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1062"/>
        <w:gridCol w:w="848"/>
        <w:gridCol w:w="2906"/>
        <w:gridCol w:w="3496"/>
        <w:gridCol w:w="645"/>
      </w:tblGrid>
      <w:tr w14:paraId="1DA44C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593" w:type="pct"/>
            <w:vMerge w:val="restart"/>
            <w:tcBorders>
              <w:tl2br w:val="nil"/>
              <w:tr2bl w:val="nil"/>
            </w:tcBorders>
            <w:noWrap w:val="0"/>
            <w:vAlign w:val="center"/>
          </w:tcPr>
          <w:p w14:paraId="66D692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行业类别</w:t>
            </w:r>
          </w:p>
        </w:tc>
        <w:tc>
          <w:tcPr>
            <w:tcW w:w="4406" w:type="pct"/>
            <w:gridSpan w:val="4"/>
            <w:tcBorders>
              <w:tl2br w:val="nil"/>
              <w:tr2bl w:val="nil"/>
            </w:tcBorders>
            <w:noWrap w:val="0"/>
            <w:vAlign w:val="center"/>
          </w:tcPr>
          <w:p w14:paraId="211C47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项目类别</w:t>
            </w:r>
          </w:p>
        </w:tc>
      </w:tr>
      <w:tr w14:paraId="39E29A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593" w:type="pct"/>
            <w:vMerge w:val="continue"/>
            <w:tcBorders>
              <w:tl2br w:val="nil"/>
              <w:tr2bl w:val="nil"/>
            </w:tcBorders>
            <w:noWrap w:val="0"/>
            <w:vAlign w:val="center"/>
          </w:tcPr>
          <w:p w14:paraId="5CF927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p>
        </w:tc>
        <w:tc>
          <w:tcPr>
            <w:tcW w:w="473" w:type="pct"/>
            <w:tcBorders>
              <w:tl2br w:val="nil"/>
              <w:tr2bl w:val="nil"/>
            </w:tcBorders>
            <w:noWrap w:val="0"/>
            <w:vAlign w:val="center"/>
          </w:tcPr>
          <w:p w14:paraId="2BB8F2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Ⅰ类</w:t>
            </w:r>
          </w:p>
        </w:tc>
        <w:tc>
          <w:tcPr>
            <w:tcW w:w="1622" w:type="pct"/>
            <w:tcBorders>
              <w:tl2br w:val="nil"/>
              <w:tr2bl w:val="nil"/>
            </w:tcBorders>
            <w:noWrap w:val="0"/>
            <w:vAlign w:val="center"/>
          </w:tcPr>
          <w:p w14:paraId="7DB4F0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Ⅱ类</w:t>
            </w:r>
          </w:p>
        </w:tc>
        <w:tc>
          <w:tcPr>
            <w:tcW w:w="1951" w:type="pct"/>
            <w:tcBorders>
              <w:tl2br w:val="nil"/>
              <w:tr2bl w:val="nil"/>
            </w:tcBorders>
            <w:noWrap w:val="0"/>
            <w:vAlign w:val="center"/>
          </w:tcPr>
          <w:p w14:paraId="3B5B80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Ⅲ类</w:t>
            </w:r>
          </w:p>
        </w:tc>
        <w:tc>
          <w:tcPr>
            <w:tcW w:w="359" w:type="pct"/>
            <w:tcBorders>
              <w:tl2br w:val="nil"/>
              <w:tr2bl w:val="nil"/>
            </w:tcBorders>
            <w:noWrap w:val="0"/>
            <w:vAlign w:val="center"/>
          </w:tcPr>
          <w:p w14:paraId="6BF7FA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Ⅳ类</w:t>
            </w:r>
          </w:p>
        </w:tc>
      </w:tr>
      <w:tr w14:paraId="71B2F6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593" w:type="pct"/>
            <w:tcBorders>
              <w:tl2br w:val="nil"/>
              <w:tr2bl w:val="nil"/>
            </w:tcBorders>
            <w:noWrap w:val="0"/>
            <w:vAlign w:val="center"/>
          </w:tcPr>
          <w:p w14:paraId="2B180C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其他行业</w:t>
            </w:r>
          </w:p>
        </w:tc>
        <w:tc>
          <w:tcPr>
            <w:tcW w:w="473" w:type="pct"/>
            <w:tcBorders>
              <w:tl2br w:val="nil"/>
              <w:tr2bl w:val="nil"/>
            </w:tcBorders>
            <w:noWrap w:val="0"/>
            <w:vAlign w:val="center"/>
          </w:tcPr>
          <w:p w14:paraId="658E31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21"/>
                <w:position w:val="0"/>
                <w:sz w:val="21"/>
                <w:szCs w:val="21"/>
                <w:highlight w:val="none"/>
                <w:lang w:eastAsia="zh-CN"/>
              </w:rPr>
            </w:pPr>
            <w:r>
              <w:rPr>
                <w:rFonts w:hint="eastAsia" w:cs="Times New Roman"/>
                <w:caps w:val="0"/>
                <w:snapToGrid/>
                <w:color w:val="auto"/>
                <w:spacing w:val="0"/>
                <w:w w:val="100"/>
                <w:kern w:val="21"/>
                <w:position w:val="0"/>
                <w:sz w:val="21"/>
                <w:szCs w:val="21"/>
                <w:highlight w:val="none"/>
                <w:lang w:val="en-US" w:eastAsia="zh-CN"/>
              </w:rPr>
              <w:t>/</w:t>
            </w:r>
          </w:p>
        </w:tc>
        <w:tc>
          <w:tcPr>
            <w:tcW w:w="1622" w:type="pct"/>
            <w:tcBorders>
              <w:tl2br w:val="nil"/>
              <w:tr2bl w:val="nil"/>
            </w:tcBorders>
            <w:noWrap w:val="0"/>
            <w:vAlign w:val="center"/>
          </w:tcPr>
          <w:p w14:paraId="14C14F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21"/>
                <w:position w:val="0"/>
                <w:sz w:val="21"/>
                <w:szCs w:val="21"/>
                <w:highlight w:val="none"/>
                <w:lang w:eastAsia="zh-CN"/>
              </w:rPr>
            </w:pPr>
            <w:r>
              <w:rPr>
                <w:rFonts w:hint="eastAsia" w:cs="Times New Roman"/>
                <w:caps w:val="0"/>
                <w:snapToGrid/>
                <w:color w:val="auto"/>
                <w:spacing w:val="0"/>
                <w:w w:val="100"/>
                <w:kern w:val="21"/>
                <w:position w:val="0"/>
                <w:sz w:val="21"/>
                <w:szCs w:val="21"/>
                <w:highlight w:val="none"/>
                <w:lang w:val="en-US" w:eastAsia="zh-CN"/>
              </w:rPr>
              <w:t>/</w:t>
            </w:r>
          </w:p>
        </w:tc>
        <w:tc>
          <w:tcPr>
            <w:tcW w:w="1951" w:type="pct"/>
            <w:tcBorders>
              <w:tl2br w:val="nil"/>
              <w:tr2bl w:val="nil"/>
            </w:tcBorders>
            <w:noWrap w:val="0"/>
            <w:vAlign w:val="center"/>
          </w:tcPr>
          <w:p w14:paraId="5D594E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21"/>
                <w:position w:val="0"/>
                <w:sz w:val="21"/>
                <w:szCs w:val="21"/>
                <w:highlight w:val="none"/>
                <w:lang w:eastAsia="zh-CN"/>
              </w:rPr>
            </w:pPr>
            <w:r>
              <w:rPr>
                <w:rFonts w:hint="eastAsia" w:cs="Times New Roman"/>
                <w:caps w:val="0"/>
                <w:snapToGrid/>
                <w:color w:val="auto"/>
                <w:spacing w:val="0"/>
                <w:w w:val="100"/>
                <w:kern w:val="21"/>
                <w:position w:val="0"/>
                <w:sz w:val="21"/>
                <w:szCs w:val="21"/>
                <w:highlight w:val="none"/>
                <w:lang w:val="en-US" w:eastAsia="zh-CN"/>
              </w:rPr>
              <w:t>/</w:t>
            </w:r>
          </w:p>
        </w:tc>
        <w:tc>
          <w:tcPr>
            <w:tcW w:w="359" w:type="pct"/>
            <w:tcBorders>
              <w:tl2br w:val="nil"/>
              <w:tr2bl w:val="nil"/>
            </w:tcBorders>
            <w:shd w:val="clear" w:color="auto" w:fill="D7D7D7" w:themeFill="background1" w:themeFillShade="D8"/>
            <w:noWrap w:val="0"/>
            <w:vAlign w:val="center"/>
          </w:tcPr>
          <w:p w14:paraId="136793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全部</w:t>
            </w:r>
          </w:p>
        </w:tc>
      </w:tr>
    </w:tbl>
    <w:p w14:paraId="599FE3AB">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根据《环境影响评价技术导则 土壤环境（试行）》（HJ964-2018）</w:t>
      </w:r>
      <w:r>
        <w:rPr>
          <w:rFonts w:hint="eastAsia" w:cs="Times New Roman"/>
          <w:caps w:val="0"/>
          <w:snapToGrid/>
          <w:color w:val="auto"/>
          <w:spacing w:val="0"/>
          <w:w w:val="100"/>
          <w:kern w:val="21"/>
          <w:position w:val="0"/>
          <w:highlight w:val="none"/>
          <w:lang w:eastAsia="zh-CN"/>
        </w:rPr>
        <w:t>，Ⅳ类建设项目可不开展土壤环境影响评价，</w:t>
      </w:r>
      <w:r>
        <w:rPr>
          <w:rFonts w:hint="eastAsia" w:cs="Times New Roman"/>
          <w:caps w:val="0"/>
          <w:snapToGrid/>
          <w:color w:val="auto"/>
          <w:spacing w:val="0"/>
          <w:w w:val="100"/>
          <w:kern w:val="21"/>
          <w:position w:val="0"/>
          <w:highlight w:val="none"/>
          <w:lang w:val="en-US" w:eastAsia="zh-CN"/>
        </w:rPr>
        <w:t>因此，</w:t>
      </w:r>
      <w:r>
        <w:rPr>
          <w:rFonts w:hint="default" w:ascii="Times New Roman" w:hAnsi="Times New Roman" w:eastAsia="宋体" w:cs="Times New Roman"/>
          <w:caps w:val="0"/>
          <w:snapToGrid/>
          <w:color w:val="auto"/>
          <w:spacing w:val="0"/>
          <w:w w:val="100"/>
          <w:kern w:val="21"/>
          <w:position w:val="0"/>
          <w:highlight w:val="none"/>
        </w:rPr>
        <w:t>本项目可不开展土壤环境影响评价工作。</w:t>
      </w:r>
    </w:p>
    <w:p w14:paraId="3CC9636C">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00" w:name="_Toc7591"/>
      <w:bookmarkStart w:id="101" w:name="_Toc21474"/>
      <w:bookmarkStart w:id="102" w:name="_Toc15864"/>
      <w:bookmarkStart w:id="103" w:name="_Toc11811"/>
      <w:bookmarkStart w:id="104" w:name="_Toc6565"/>
      <w:bookmarkStart w:id="105" w:name="_Toc23757"/>
      <w:bookmarkStart w:id="106" w:name="_Toc23934"/>
      <w:bookmarkStart w:id="107" w:name="_Toc18196"/>
      <w:bookmarkStart w:id="108" w:name="_Toc31574"/>
      <w:r>
        <w:rPr>
          <w:rFonts w:hint="default"/>
          <w:color w:val="auto"/>
          <w:spacing w:val="0"/>
          <w:w w:val="100"/>
          <w:position w:val="0"/>
          <w:highlight w:val="none"/>
          <w:lang w:val="en-US" w:eastAsia="zh-CN"/>
        </w:rPr>
        <w:t>2.3.5环境风险</w:t>
      </w:r>
      <w:bookmarkEnd w:id="100"/>
      <w:bookmarkEnd w:id="101"/>
      <w:bookmarkEnd w:id="102"/>
      <w:bookmarkEnd w:id="103"/>
      <w:bookmarkEnd w:id="104"/>
      <w:bookmarkEnd w:id="105"/>
      <w:bookmarkEnd w:id="106"/>
      <w:bookmarkEnd w:id="107"/>
      <w:bookmarkEnd w:id="108"/>
    </w:p>
    <w:p w14:paraId="780FEFFC">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bookmarkStart w:id="109" w:name="_Toc26196"/>
      <w:bookmarkStart w:id="110" w:name="_Toc22669_WPSOffice_Level3"/>
      <w:bookmarkStart w:id="111" w:name="_Toc6170"/>
      <w:bookmarkStart w:id="112" w:name="_Toc14441"/>
      <w:bookmarkStart w:id="113" w:name="_Toc32195"/>
      <w:bookmarkStart w:id="114" w:name="_Toc6067632"/>
      <w:r>
        <w:rPr>
          <w:rFonts w:hint="eastAsia"/>
          <w:color w:val="auto"/>
          <w:spacing w:val="0"/>
          <w:w w:val="100"/>
          <w:position w:val="0"/>
          <w:highlight w:val="none"/>
          <w:lang w:val="en-US" w:eastAsia="zh-CN"/>
        </w:rPr>
        <w:t>2.3.5.1</w:t>
      </w:r>
      <w:r>
        <w:rPr>
          <w:rFonts w:hint="default"/>
          <w:color w:val="auto"/>
          <w:spacing w:val="0"/>
          <w:w w:val="100"/>
          <w:position w:val="0"/>
          <w:highlight w:val="none"/>
        </w:rPr>
        <w:t>评价等级</w:t>
      </w:r>
    </w:p>
    <w:p w14:paraId="2E2D1664">
      <w:pPr>
        <w:keepNext w:val="0"/>
        <w:keepLines w:val="0"/>
        <w:pageBreakBefore w:val="0"/>
        <w:widowControl w:val="0"/>
        <w:kinsoku/>
        <w:wordWrap/>
        <w:overflowPunct/>
        <w:topLinePunct w:val="0"/>
        <w:autoSpaceDE/>
        <w:autoSpaceDN/>
        <w:bidi w:val="0"/>
        <w:adjustRightInd/>
        <w:snapToGrid/>
        <w:spacing w:after="0"/>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依据《建设项目环境风险评价技术导则》（HJ169-2018）中关于风险评价工作等级的判定依据，评价工作级别按表</w:t>
      </w:r>
      <w:r>
        <w:rPr>
          <w:rFonts w:hint="default" w:ascii="Times New Roman" w:hAnsi="Times New Roman" w:eastAsia="宋体" w:cs="Times New Roman"/>
          <w:caps w:val="0"/>
          <w:snapToGrid/>
          <w:color w:val="auto"/>
          <w:spacing w:val="0"/>
          <w:w w:val="100"/>
          <w:kern w:val="21"/>
          <w:position w:val="0"/>
          <w:highlight w:val="none"/>
          <w:lang w:eastAsia="zh-CN"/>
        </w:rPr>
        <w:t>2.3</w:t>
      </w:r>
      <w:r>
        <w:rPr>
          <w:rFonts w:hint="eastAsia" w:cs="Times New Roman"/>
          <w:caps w:val="0"/>
          <w:snapToGrid/>
          <w:color w:val="auto"/>
          <w:spacing w:val="0"/>
          <w:w w:val="100"/>
          <w:kern w:val="21"/>
          <w:position w:val="0"/>
          <w:highlight w:val="none"/>
          <w:lang w:val="en-US" w:eastAsia="zh-CN"/>
        </w:rPr>
        <w:t>.5-1</w:t>
      </w:r>
      <w:r>
        <w:rPr>
          <w:rFonts w:hint="default" w:ascii="Times New Roman" w:hAnsi="Times New Roman" w:eastAsia="宋体" w:cs="Times New Roman"/>
          <w:caps w:val="0"/>
          <w:snapToGrid/>
          <w:color w:val="auto"/>
          <w:spacing w:val="0"/>
          <w:w w:val="100"/>
          <w:kern w:val="21"/>
          <w:position w:val="0"/>
          <w:highlight w:val="none"/>
        </w:rPr>
        <w:t>划分。</w:t>
      </w:r>
    </w:p>
    <w:p w14:paraId="0220B0FE">
      <w:pPr>
        <w:pStyle w:val="3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zh-CN"/>
        </w:rPr>
      </w:pPr>
      <w:r>
        <w:rPr>
          <w:rFonts w:hint="default"/>
          <w:color w:val="auto"/>
          <w:spacing w:val="0"/>
          <w:w w:val="100"/>
          <w:position w:val="0"/>
          <w:highlight w:val="none"/>
          <w:lang w:val="zh-CN"/>
        </w:rPr>
        <w:t>表2.3</w:t>
      </w:r>
      <w:r>
        <w:rPr>
          <w:rFonts w:hint="eastAsia"/>
          <w:color w:val="auto"/>
          <w:spacing w:val="0"/>
          <w:w w:val="100"/>
          <w:position w:val="0"/>
          <w:highlight w:val="none"/>
          <w:lang w:val="en-US" w:eastAsia="zh-CN"/>
        </w:rPr>
        <w:t>.5-1</w:t>
      </w:r>
      <w:r>
        <w:rPr>
          <w:rFonts w:hint="default"/>
          <w:color w:val="auto"/>
          <w:spacing w:val="0"/>
          <w:w w:val="100"/>
          <w:position w:val="0"/>
          <w:highlight w:val="none"/>
          <w:lang w:val="zh-CN"/>
        </w:rPr>
        <w:t xml:space="preserve">  环境风险评价工作等级划分</w:t>
      </w:r>
    </w:p>
    <w:tbl>
      <w:tblPr>
        <w:tblStyle w:val="25"/>
        <w:tblW w:w="5216"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57" w:type="dxa"/>
          <w:left w:w="57" w:type="dxa"/>
          <w:bottom w:w="57" w:type="dxa"/>
          <w:right w:w="57" w:type="dxa"/>
        </w:tblCellMar>
      </w:tblPr>
      <w:tblGrid>
        <w:gridCol w:w="1603"/>
        <w:gridCol w:w="1465"/>
        <w:gridCol w:w="1889"/>
        <w:gridCol w:w="2362"/>
        <w:gridCol w:w="2025"/>
      </w:tblGrid>
      <w:tr w14:paraId="3D2D113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858" w:type="pct"/>
            <w:tcBorders>
              <w:tl2br w:val="nil"/>
              <w:tr2bl w:val="nil"/>
            </w:tcBorders>
            <w:noWrap w:val="0"/>
            <w:vAlign w:val="center"/>
          </w:tcPr>
          <w:p w14:paraId="0F9BF2E0">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环境风险潜势</w:t>
            </w:r>
          </w:p>
        </w:tc>
        <w:tc>
          <w:tcPr>
            <w:tcW w:w="784" w:type="pct"/>
            <w:tcBorders>
              <w:tl2br w:val="nil"/>
              <w:tr2bl w:val="nil"/>
            </w:tcBorders>
            <w:noWrap w:val="0"/>
            <w:vAlign w:val="center"/>
          </w:tcPr>
          <w:p w14:paraId="13831239">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lang w:eastAsia="zh-CN"/>
              </w:rPr>
              <w:t>Ⅳ</w:t>
            </w:r>
            <w:r>
              <w:rPr>
                <w:rFonts w:hint="default" w:ascii="Times New Roman" w:hAnsi="Times New Roman" w:eastAsia="宋体" w:cs="Times New Roman"/>
                <w:b/>
                <w:bCs/>
                <w:caps w:val="0"/>
                <w:snapToGrid/>
                <w:color w:val="auto"/>
                <w:spacing w:val="0"/>
                <w:w w:val="100"/>
                <w:kern w:val="21"/>
                <w:position w:val="0"/>
                <w:sz w:val="21"/>
                <w:szCs w:val="21"/>
                <w:highlight w:val="none"/>
              </w:rPr>
              <w:t>、</w:t>
            </w:r>
            <w:r>
              <w:rPr>
                <w:rFonts w:hint="default" w:ascii="Times New Roman" w:hAnsi="Times New Roman" w:eastAsia="宋体" w:cs="Times New Roman"/>
                <w:b/>
                <w:bCs/>
                <w:caps w:val="0"/>
                <w:snapToGrid/>
                <w:color w:val="auto"/>
                <w:spacing w:val="0"/>
                <w:w w:val="100"/>
                <w:kern w:val="21"/>
                <w:position w:val="0"/>
                <w:sz w:val="21"/>
                <w:szCs w:val="21"/>
                <w:highlight w:val="none"/>
                <w:lang w:eastAsia="zh-CN"/>
              </w:rPr>
              <w:t>Ⅳ</w:t>
            </w:r>
            <w:r>
              <w:rPr>
                <w:rFonts w:hint="default" w:ascii="Times New Roman" w:hAnsi="Times New Roman" w:eastAsia="宋体" w:cs="Times New Roman"/>
                <w:b/>
                <w:bCs/>
                <w:caps w:val="0"/>
                <w:snapToGrid/>
                <w:color w:val="auto"/>
                <w:spacing w:val="0"/>
                <w:w w:val="100"/>
                <w:kern w:val="21"/>
                <w:position w:val="0"/>
                <w:sz w:val="21"/>
                <w:szCs w:val="21"/>
                <w:highlight w:val="none"/>
                <w:vertAlign w:val="superscript"/>
              </w:rPr>
              <w:t>+</w:t>
            </w:r>
          </w:p>
        </w:tc>
        <w:tc>
          <w:tcPr>
            <w:tcW w:w="1011" w:type="pct"/>
            <w:tcBorders>
              <w:tl2br w:val="nil"/>
              <w:tr2bl w:val="nil"/>
            </w:tcBorders>
            <w:noWrap w:val="0"/>
            <w:vAlign w:val="center"/>
          </w:tcPr>
          <w:p w14:paraId="1F0568AC">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Ⅲ</w:t>
            </w:r>
          </w:p>
        </w:tc>
        <w:tc>
          <w:tcPr>
            <w:tcW w:w="1264" w:type="pct"/>
            <w:tcBorders>
              <w:tl2br w:val="nil"/>
              <w:tr2bl w:val="nil"/>
            </w:tcBorders>
            <w:noWrap w:val="0"/>
            <w:vAlign w:val="center"/>
          </w:tcPr>
          <w:p w14:paraId="7E096E2D">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Ⅱ</w:t>
            </w:r>
          </w:p>
        </w:tc>
        <w:tc>
          <w:tcPr>
            <w:tcW w:w="1080" w:type="pct"/>
            <w:tcBorders>
              <w:tl2br w:val="nil"/>
              <w:tr2bl w:val="nil"/>
            </w:tcBorders>
            <w:noWrap w:val="0"/>
            <w:vAlign w:val="center"/>
          </w:tcPr>
          <w:p w14:paraId="6E893B52">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Ⅰ</w:t>
            </w:r>
          </w:p>
        </w:tc>
      </w:tr>
      <w:tr w14:paraId="68EB293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858" w:type="pct"/>
            <w:tcBorders>
              <w:tl2br w:val="nil"/>
              <w:tr2bl w:val="nil"/>
            </w:tcBorders>
            <w:noWrap w:val="0"/>
            <w:vAlign w:val="center"/>
          </w:tcPr>
          <w:p w14:paraId="065F320F">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评价工作等级</w:t>
            </w:r>
          </w:p>
        </w:tc>
        <w:tc>
          <w:tcPr>
            <w:tcW w:w="784" w:type="pct"/>
            <w:tcBorders>
              <w:tl2br w:val="nil"/>
              <w:tr2bl w:val="nil"/>
            </w:tcBorders>
            <w:noWrap w:val="0"/>
            <w:vAlign w:val="center"/>
          </w:tcPr>
          <w:p w14:paraId="46479361">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一</w:t>
            </w:r>
          </w:p>
        </w:tc>
        <w:tc>
          <w:tcPr>
            <w:tcW w:w="1011" w:type="pct"/>
            <w:tcBorders>
              <w:tl2br w:val="nil"/>
              <w:tr2bl w:val="nil"/>
            </w:tcBorders>
            <w:noWrap w:val="0"/>
            <w:vAlign w:val="center"/>
          </w:tcPr>
          <w:p w14:paraId="7B1ACD42">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二</w:t>
            </w:r>
          </w:p>
        </w:tc>
        <w:tc>
          <w:tcPr>
            <w:tcW w:w="1264" w:type="pct"/>
            <w:tcBorders>
              <w:tl2br w:val="nil"/>
              <w:tr2bl w:val="nil"/>
            </w:tcBorders>
            <w:noWrap w:val="0"/>
            <w:vAlign w:val="center"/>
          </w:tcPr>
          <w:p w14:paraId="26531D46">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三</w:t>
            </w:r>
          </w:p>
        </w:tc>
        <w:tc>
          <w:tcPr>
            <w:tcW w:w="1080" w:type="pct"/>
            <w:tcBorders>
              <w:tl2br w:val="nil"/>
              <w:tr2bl w:val="nil"/>
            </w:tcBorders>
            <w:noWrap w:val="0"/>
            <w:vAlign w:val="center"/>
          </w:tcPr>
          <w:p w14:paraId="1F499BBE">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简单分析</w:t>
            </w:r>
            <w:r>
              <w:rPr>
                <w:rFonts w:hint="default" w:ascii="Times New Roman" w:hAnsi="Times New Roman" w:eastAsia="宋体" w:cs="Times New Roman"/>
                <w:caps w:val="0"/>
                <w:snapToGrid/>
                <w:color w:val="auto"/>
                <w:spacing w:val="0"/>
                <w:w w:val="100"/>
                <w:kern w:val="21"/>
                <w:position w:val="0"/>
                <w:sz w:val="21"/>
                <w:szCs w:val="21"/>
                <w:highlight w:val="none"/>
                <w:vertAlign w:val="superscript"/>
              </w:rPr>
              <w:t>a</w:t>
            </w:r>
          </w:p>
        </w:tc>
      </w:tr>
      <w:tr w14:paraId="5F5033C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5000" w:type="pct"/>
            <w:gridSpan w:val="5"/>
            <w:tcBorders>
              <w:tl2br w:val="nil"/>
              <w:tr2bl w:val="nil"/>
            </w:tcBorders>
            <w:noWrap w:val="0"/>
            <w:vAlign w:val="center"/>
          </w:tcPr>
          <w:p w14:paraId="573CD937">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18"/>
                <w:szCs w:val="18"/>
                <w:highlight w:val="none"/>
              </w:rPr>
              <w:t>a是相对于详细评价工作内容而言，在描述危险物质、环境影响途径、环境危害后果、风险防范措施等方面给出定性的说明。见《建设项目环境风险评价技术导则》（HJ169-2018）附录A。</w:t>
            </w:r>
          </w:p>
        </w:tc>
      </w:tr>
    </w:tbl>
    <w:p w14:paraId="47FB795C">
      <w:pPr>
        <w:pStyle w:val="5"/>
        <w:keepNext w:val="0"/>
        <w:keepLines w:val="0"/>
        <w:pageBreakBefore w:val="0"/>
        <w:widowControl w:val="0"/>
        <w:kinsoku/>
        <w:wordWrap/>
        <w:overflowPunct/>
        <w:topLinePunct w:val="0"/>
        <w:autoSpaceDE/>
        <w:autoSpaceDN/>
        <w:bidi w:val="0"/>
        <w:adjustRightInd/>
        <w:snapToGrid/>
        <w:textAlignment w:val="auto"/>
        <w:rPr>
          <w:rFonts w:hint="default"/>
          <w:color w:val="auto"/>
          <w:spacing w:val="0"/>
          <w:w w:val="100"/>
          <w:position w:val="0"/>
          <w:highlight w:val="none"/>
        </w:rPr>
      </w:pPr>
      <w:r>
        <w:rPr>
          <w:rFonts w:hint="eastAsia"/>
          <w:color w:val="auto"/>
          <w:spacing w:val="0"/>
          <w:w w:val="100"/>
          <w:position w:val="0"/>
          <w:highlight w:val="none"/>
          <w:lang w:val="en-US" w:eastAsia="zh-CN"/>
        </w:rPr>
        <w:t>2.3.5.2</w:t>
      </w:r>
      <w:r>
        <w:rPr>
          <w:rFonts w:hint="default"/>
          <w:color w:val="auto"/>
          <w:spacing w:val="0"/>
          <w:w w:val="100"/>
          <w:position w:val="0"/>
          <w:highlight w:val="none"/>
        </w:rPr>
        <w:t>环境风险潜势初判</w:t>
      </w:r>
    </w:p>
    <w:p w14:paraId="61CE59F6">
      <w:pPr>
        <w:keepNext w:val="0"/>
        <w:keepLines w:val="0"/>
        <w:pageBreakBefore w:val="0"/>
        <w:widowControl w:val="0"/>
        <w:kinsoku/>
        <w:wordWrap/>
        <w:overflowPunct/>
        <w:topLinePunct w:val="0"/>
        <w:autoSpaceDE/>
        <w:autoSpaceDN/>
        <w:bidi w:val="0"/>
        <w:adjustRightInd/>
        <w:snapToGrid/>
        <w:spacing w:after="0"/>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①环境风险潜势划分</w:t>
      </w:r>
    </w:p>
    <w:p w14:paraId="200140A5">
      <w:pPr>
        <w:keepNext w:val="0"/>
        <w:keepLines w:val="0"/>
        <w:pageBreakBefore w:val="0"/>
        <w:widowControl w:val="0"/>
        <w:kinsoku/>
        <w:wordWrap/>
        <w:overflowPunct/>
        <w:topLinePunct w:val="0"/>
        <w:autoSpaceDE/>
        <w:autoSpaceDN/>
        <w:bidi w:val="0"/>
        <w:adjustRightInd/>
        <w:snapToGrid/>
        <w:spacing w:after="0"/>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建设项目环境风险潜势划分为Ⅰ、Ⅱ、Ⅲ、</w:t>
      </w:r>
      <w:r>
        <w:rPr>
          <w:rFonts w:hint="default" w:ascii="Times New Roman" w:hAnsi="Times New Roman" w:eastAsia="宋体" w:cs="Times New Roman"/>
          <w:caps w:val="0"/>
          <w:snapToGrid/>
          <w:color w:val="auto"/>
          <w:spacing w:val="0"/>
          <w:w w:val="100"/>
          <w:kern w:val="21"/>
          <w:position w:val="0"/>
          <w:highlight w:val="none"/>
          <w:lang w:eastAsia="zh-CN"/>
        </w:rPr>
        <w:t>Ⅳ</w:t>
      </w:r>
      <w:r>
        <w:rPr>
          <w:rFonts w:hint="default" w:ascii="Times New Roman" w:hAnsi="Times New Roman" w:eastAsia="宋体" w:cs="Times New Roman"/>
          <w:caps w:val="0"/>
          <w:snapToGrid/>
          <w:color w:val="auto"/>
          <w:spacing w:val="0"/>
          <w:w w:val="100"/>
          <w:kern w:val="21"/>
          <w:position w:val="0"/>
          <w:highlight w:val="none"/>
        </w:rPr>
        <w:t>/</w:t>
      </w:r>
      <w:r>
        <w:rPr>
          <w:rFonts w:hint="default" w:ascii="Times New Roman" w:hAnsi="Times New Roman" w:eastAsia="宋体" w:cs="Times New Roman"/>
          <w:caps w:val="0"/>
          <w:snapToGrid/>
          <w:color w:val="auto"/>
          <w:spacing w:val="0"/>
          <w:w w:val="100"/>
          <w:kern w:val="21"/>
          <w:position w:val="0"/>
          <w:highlight w:val="none"/>
          <w:lang w:eastAsia="zh-CN"/>
        </w:rPr>
        <w:t>Ⅳ</w:t>
      </w:r>
      <w:r>
        <w:rPr>
          <w:rFonts w:hint="default" w:ascii="Times New Roman" w:hAnsi="Times New Roman" w:eastAsia="宋体" w:cs="Times New Roman"/>
          <w:caps w:val="0"/>
          <w:snapToGrid/>
          <w:color w:val="auto"/>
          <w:spacing w:val="0"/>
          <w:w w:val="100"/>
          <w:kern w:val="21"/>
          <w:position w:val="0"/>
          <w:highlight w:val="none"/>
          <w:vertAlign w:val="superscript"/>
        </w:rPr>
        <w:t>+</w:t>
      </w:r>
      <w:r>
        <w:rPr>
          <w:rFonts w:hint="default" w:ascii="Times New Roman" w:hAnsi="Times New Roman" w:eastAsia="宋体" w:cs="Times New Roman"/>
          <w:caps w:val="0"/>
          <w:snapToGrid/>
          <w:color w:val="auto"/>
          <w:spacing w:val="0"/>
          <w:w w:val="100"/>
          <w:kern w:val="21"/>
          <w:position w:val="0"/>
          <w:highlight w:val="none"/>
        </w:rPr>
        <w:t>级。</w:t>
      </w:r>
    </w:p>
    <w:p w14:paraId="7DBD68AB">
      <w:pPr>
        <w:keepNext w:val="0"/>
        <w:keepLines w:val="0"/>
        <w:pageBreakBefore w:val="0"/>
        <w:widowControl w:val="0"/>
        <w:kinsoku/>
        <w:wordWrap/>
        <w:overflowPunct/>
        <w:topLinePunct w:val="0"/>
        <w:autoSpaceDE/>
        <w:autoSpaceDN/>
        <w:bidi w:val="0"/>
        <w:adjustRightInd/>
        <w:snapToGrid/>
        <w:spacing w:after="0"/>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highlight w:val="none"/>
        </w:rPr>
      </w:pPr>
      <w:r>
        <w:rPr>
          <w:rFonts w:hint="default" w:ascii="Times New Roman" w:hAnsi="Times New Roman" w:eastAsia="宋体" w:cs="Times New Roman"/>
          <w:caps w:val="0"/>
          <w:snapToGrid/>
          <w:color w:val="auto"/>
          <w:spacing w:val="0"/>
          <w:w w:val="100"/>
          <w:kern w:val="21"/>
          <w:position w:val="0"/>
          <w:sz w:val="24"/>
          <w:highlight w:val="none"/>
        </w:rPr>
        <w:t>②危险物质及工艺系统危险性（P）的分级确定危险物质数量与临界量比值（Q）：</w:t>
      </w:r>
    </w:p>
    <w:p w14:paraId="6689278E">
      <w:pPr>
        <w:keepNext w:val="0"/>
        <w:keepLines w:val="0"/>
        <w:pageBreakBefore w:val="0"/>
        <w:widowControl w:val="0"/>
        <w:kinsoku/>
        <w:wordWrap/>
        <w:overflowPunct/>
        <w:topLinePunct w:val="0"/>
        <w:autoSpaceDE/>
        <w:autoSpaceDN/>
        <w:bidi w:val="0"/>
        <w:adjustRightInd/>
        <w:snapToGrid/>
        <w:spacing w:after="0"/>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根据下式计算危险物质及临界量的比值Q：</w:t>
      </w:r>
    </w:p>
    <w:p w14:paraId="21C700D9">
      <w:pPr>
        <w:keepNext w:val="0"/>
        <w:keepLines w:val="0"/>
        <w:pageBreakBefore w:val="0"/>
        <w:widowControl w:val="0"/>
        <w:kinsoku/>
        <w:wordWrap/>
        <w:overflowPunct/>
        <w:topLinePunct w:val="0"/>
        <w:autoSpaceDE/>
        <w:autoSpaceDN/>
        <w:bidi w:val="0"/>
        <w:adjustRightInd/>
        <w:snapToGrid/>
        <w:spacing w:after="0"/>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drawing>
          <wp:inline distT="0" distB="0" distL="114300" distR="114300">
            <wp:extent cx="1981835" cy="533400"/>
            <wp:effectExtent l="0" t="0" r="18415" b="0"/>
            <wp:docPr id="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jpeg"/>
                    <pic:cNvPicPr>
                      <a:picLocks noChangeAspect="1"/>
                    </pic:cNvPicPr>
                  </pic:nvPicPr>
                  <pic:blipFill>
                    <a:blip r:embed="rId18"/>
                    <a:stretch>
                      <a:fillRect/>
                    </a:stretch>
                  </pic:blipFill>
                  <pic:spPr>
                    <a:xfrm>
                      <a:off x="0" y="0"/>
                      <a:ext cx="1981835" cy="533400"/>
                    </a:xfrm>
                    <a:prstGeom prst="rect">
                      <a:avLst/>
                    </a:prstGeom>
                    <a:noFill/>
                    <a:ln>
                      <a:noFill/>
                    </a:ln>
                  </pic:spPr>
                </pic:pic>
              </a:graphicData>
            </a:graphic>
          </wp:inline>
        </w:drawing>
      </w:r>
    </w:p>
    <w:p w14:paraId="6828350B">
      <w:pPr>
        <w:keepNext w:val="0"/>
        <w:keepLines w:val="0"/>
        <w:pageBreakBefore w:val="0"/>
        <w:widowControl w:val="0"/>
        <w:kinsoku/>
        <w:wordWrap/>
        <w:overflowPunct/>
        <w:topLinePunct w:val="0"/>
        <w:autoSpaceDE/>
        <w:autoSpaceDN/>
        <w:bidi w:val="0"/>
        <w:adjustRightInd/>
        <w:snapToGrid/>
        <w:spacing w:after="0"/>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式中：q</w:t>
      </w:r>
      <w:r>
        <w:rPr>
          <w:rFonts w:hint="default" w:ascii="Times New Roman" w:hAnsi="Times New Roman" w:eastAsia="宋体" w:cs="Times New Roman"/>
          <w:caps w:val="0"/>
          <w:snapToGrid/>
          <w:color w:val="auto"/>
          <w:spacing w:val="0"/>
          <w:w w:val="100"/>
          <w:kern w:val="21"/>
          <w:position w:val="0"/>
          <w:sz w:val="15"/>
          <w:highlight w:val="none"/>
        </w:rPr>
        <w:t>1</w:t>
      </w:r>
      <w:r>
        <w:rPr>
          <w:rFonts w:hint="default" w:ascii="Times New Roman" w:hAnsi="Times New Roman" w:eastAsia="宋体" w:cs="Times New Roman"/>
          <w:caps w:val="0"/>
          <w:snapToGrid/>
          <w:color w:val="auto"/>
          <w:spacing w:val="0"/>
          <w:w w:val="100"/>
          <w:kern w:val="21"/>
          <w:position w:val="0"/>
          <w:highlight w:val="none"/>
        </w:rPr>
        <w:t>，q</w:t>
      </w:r>
      <w:r>
        <w:rPr>
          <w:rFonts w:hint="default" w:ascii="Times New Roman" w:hAnsi="Times New Roman" w:eastAsia="宋体" w:cs="Times New Roman"/>
          <w:caps w:val="0"/>
          <w:snapToGrid/>
          <w:color w:val="auto"/>
          <w:spacing w:val="0"/>
          <w:w w:val="100"/>
          <w:kern w:val="21"/>
          <w:position w:val="0"/>
          <w:sz w:val="15"/>
          <w:highlight w:val="none"/>
        </w:rPr>
        <w:t>2</w:t>
      </w:r>
      <w:r>
        <w:rPr>
          <w:rFonts w:hint="default" w:ascii="Times New Roman" w:hAnsi="Times New Roman" w:eastAsia="宋体" w:cs="Times New Roman"/>
          <w:caps w:val="0"/>
          <w:snapToGrid/>
          <w:color w:val="auto"/>
          <w:spacing w:val="0"/>
          <w:w w:val="100"/>
          <w:kern w:val="21"/>
          <w:position w:val="0"/>
          <w:highlight w:val="none"/>
        </w:rPr>
        <w:t>，...，q</w:t>
      </w:r>
      <w:r>
        <w:rPr>
          <w:rFonts w:hint="default" w:ascii="Times New Roman" w:hAnsi="Times New Roman" w:eastAsia="宋体" w:cs="Times New Roman"/>
          <w:caps w:val="0"/>
          <w:snapToGrid/>
          <w:color w:val="auto"/>
          <w:spacing w:val="0"/>
          <w:w w:val="100"/>
          <w:kern w:val="21"/>
          <w:position w:val="0"/>
          <w:sz w:val="15"/>
          <w:highlight w:val="none"/>
        </w:rPr>
        <w:t>n</w:t>
      </w:r>
      <w:r>
        <w:rPr>
          <w:rFonts w:hint="default" w:ascii="Times New Roman" w:hAnsi="Times New Roman" w:eastAsia="宋体" w:cs="Times New Roman"/>
          <w:caps w:val="0"/>
          <w:snapToGrid/>
          <w:color w:val="auto"/>
          <w:spacing w:val="0"/>
          <w:w w:val="100"/>
          <w:kern w:val="21"/>
          <w:position w:val="0"/>
          <w:highlight w:val="none"/>
        </w:rPr>
        <w:t>—每种危险物质的最大存在总量，t；</w:t>
      </w:r>
    </w:p>
    <w:p w14:paraId="45141B0E">
      <w:pPr>
        <w:keepNext w:val="0"/>
        <w:keepLines w:val="0"/>
        <w:pageBreakBefore w:val="0"/>
        <w:widowControl w:val="0"/>
        <w:kinsoku/>
        <w:wordWrap/>
        <w:overflowPunct/>
        <w:topLinePunct w:val="0"/>
        <w:autoSpaceDE/>
        <w:autoSpaceDN/>
        <w:bidi w:val="0"/>
        <w:adjustRightInd/>
        <w:snapToGrid/>
        <w:spacing w:after="0"/>
        <w:ind w:left="0" w:leftChars="0" w:right="0" w:rightChars="0" w:firstLine="1200" w:firstLineChars="5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Q</w:t>
      </w:r>
      <w:r>
        <w:rPr>
          <w:rFonts w:hint="default" w:ascii="Times New Roman" w:hAnsi="Times New Roman" w:eastAsia="宋体" w:cs="Times New Roman"/>
          <w:caps w:val="0"/>
          <w:snapToGrid/>
          <w:color w:val="auto"/>
          <w:spacing w:val="0"/>
          <w:w w:val="100"/>
          <w:kern w:val="21"/>
          <w:position w:val="0"/>
          <w:sz w:val="15"/>
          <w:highlight w:val="none"/>
        </w:rPr>
        <w:t>1</w:t>
      </w:r>
      <w:r>
        <w:rPr>
          <w:rFonts w:hint="default" w:ascii="Times New Roman" w:hAnsi="Times New Roman" w:eastAsia="宋体" w:cs="Times New Roman"/>
          <w:caps w:val="0"/>
          <w:snapToGrid/>
          <w:color w:val="auto"/>
          <w:spacing w:val="0"/>
          <w:w w:val="100"/>
          <w:kern w:val="21"/>
          <w:position w:val="0"/>
          <w:highlight w:val="none"/>
        </w:rPr>
        <w:t>，Q</w:t>
      </w:r>
      <w:r>
        <w:rPr>
          <w:rFonts w:hint="default" w:ascii="Times New Roman" w:hAnsi="Times New Roman" w:eastAsia="宋体" w:cs="Times New Roman"/>
          <w:caps w:val="0"/>
          <w:snapToGrid/>
          <w:color w:val="auto"/>
          <w:spacing w:val="0"/>
          <w:w w:val="100"/>
          <w:kern w:val="21"/>
          <w:position w:val="0"/>
          <w:sz w:val="15"/>
          <w:highlight w:val="none"/>
        </w:rPr>
        <w:t>2</w:t>
      </w:r>
      <w:r>
        <w:rPr>
          <w:rFonts w:hint="default" w:ascii="Times New Roman" w:hAnsi="Times New Roman" w:eastAsia="宋体" w:cs="Times New Roman"/>
          <w:caps w:val="0"/>
          <w:snapToGrid/>
          <w:color w:val="auto"/>
          <w:spacing w:val="0"/>
          <w:w w:val="100"/>
          <w:kern w:val="21"/>
          <w:position w:val="0"/>
          <w:highlight w:val="none"/>
        </w:rPr>
        <w:t>，...，Qn—每种危险物质的临界量，t。</w:t>
      </w:r>
      <w:bookmarkStart w:id="115" w:name="OLE_LINK88"/>
      <w:r>
        <w:rPr>
          <w:rFonts w:hint="default" w:ascii="Times New Roman" w:hAnsi="Times New Roman" w:eastAsia="宋体" w:cs="Times New Roman"/>
          <w:caps w:val="0"/>
          <w:snapToGrid/>
          <w:color w:val="auto"/>
          <w:spacing w:val="0"/>
          <w:w w:val="100"/>
          <w:kern w:val="21"/>
          <w:position w:val="0"/>
          <w:highlight w:val="none"/>
        </w:rPr>
        <w:t>当Q&lt;1时，</w:t>
      </w:r>
      <w:r>
        <w:rPr>
          <w:rFonts w:hint="default" w:ascii="Times New Roman" w:hAnsi="Times New Roman" w:eastAsia="宋体" w:cs="Times New Roman"/>
          <w:caps w:val="0"/>
          <w:snapToGrid/>
          <w:color w:val="auto"/>
          <w:spacing w:val="0"/>
          <w:w w:val="100"/>
          <w:kern w:val="21"/>
          <w:position w:val="0"/>
          <w:highlight w:val="none"/>
          <w:lang w:eastAsia="zh-CN"/>
        </w:rPr>
        <w:t>本</w:t>
      </w:r>
      <w:r>
        <w:rPr>
          <w:rFonts w:hint="default" w:ascii="Times New Roman" w:hAnsi="Times New Roman" w:eastAsia="宋体" w:cs="Times New Roman"/>
          <w:caps w:val="0"/>
          <w:snapToGrid/>
          <w:color w:val="auto"/>
          <w:spacing w:val="0"/>
          <w:w w:val="100"/>
          <w:kern w:val="21"/>
          <w:position w:val="0"/>
          <w:highlight w:val="none"/>
        </w:rPr>
        <w:t>项目环境风险潜势为</w:t>
      </w:r>
      <w:bookmarkStart w:id="116" w:name="OLE_LINK90"/>
      <w:r>
        <w:rPr>
          <w:rFonts w:hint="default" w:ascii="Times New Roman" w:hAnsi="Times New Roman" w:eastAsia="宋体" w:cs="Times New Roman"/>
          <w:caps w:val="0"/>
          <w:snapToGrid/>
          <w:color w:val="auto"/>
          <w:spacing w:val="0"/>
          <w:w w:val="100"/>
          <w:kern w:val="21"/>
          <w:position w:val="0"/>
          <w:highlight w:val="none"/>
        </w:rPr>
        <w:t>Ⅰ</w:t>
      </w:r>
      <w:bookmarkEnd w:id="116"/>
      <w:r>
        <w:rPr>
          <w:rFonts w:hint="default" w:ascii="Times New Roman" w:hAnsi="Times New Roman" w:eastAsia="宋体" w:cs="Times New Roman"/>
          <w:caps w:val="0"/>
          <w:snapToGrid/>
          <w:color w:val="auto"/>
          <w:spacing w:val="0"/>
          <w:w w:val="100"/>
          <w:kern w:val="21"/>
          <w:position w:val="0"/>
          <w:highlight w:val="none"/>
        </w:rPr>
        <w:t>。</w:t>
      </w:r>
      <w:bookmarkEnd w:id="115"/>
    </w:p>
    <w:p w14:paraId="6BFDDECD">
      <w:pPr>
        <w:keepNext w:val="0"/>
        <w:keepLines w:val="0"/>
        <w:pageBreakBefore w:val="0"/>
        <w:widowControl w:val="0"/>
        <w:kinsoku/>
        <w:wordWrap/>
        <w:overflowPunct/>
        <w:topLinePunct w:val="0"/>
        <w:autoSpaceDE/>
        <w:autoSpaceDN/>
        <w:bidi w:val="0"/>
        <w:adjustRightInd/>
        <w:snapToGrid/>
        <w:spacing w:after="0"/>
        <w:ind w:left="0" w:leftChars="0" w:right="0" w:rightChars="0" w:firstLine="1200" w:firstLineChars="500"/>
        <w:outlineLvl w:val="9"/>
        <w:rPr>
          <w:rFonts w:hint="default" w:ascii="Times New Roman" w:hAnsi="Times New Roman" w:eastAsia="宋体" w:cs="Times New Roman"/>
          <w:caps w:val="0"/>
          <w:snapToGrid/>
          <w:color w:val="auto"/>
          <w:spacing w:val="0"/>
          <w:w w:val="100"/>
          <w:kern w:val="21"/>
          <w:position w:val="0"/>
          <w:sz w:val="24"/>
          <w:highlight w:val="none"/>
        </w:rPr>
      </w:pPr>
      <w:r>
        <w:rPr>
          <w:rFonts w:hint="default" w:ascii="Times New Roman" w:hAnsi="Times New Roman" w:eastAsia="宋体" w:cs="Times New Roman"/>
          <w:caps w:val="0"/>
          <w:snapToGrid/>
          <w:color w:val="auto"/>
          <w:spacing w:val="0"/>
          <w:w w:val="100"/>
          <w:kern w:val="21"/>
          <w:position w:val="0"/>
          <w:sz w:val="24"/>
          <w:highlight w:val="none"/>
        </w:rPr>
        <w:t>当Q≥1时，将Q值划分为：（1）1≤Q&lt;10，（2）10≤Q&lt;100，（3）Q≥100。</w:t>
      </w:r>
    </w:p>
    <w:p w14:paraId="26A1F6E5">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rPr>
        <w:t>根据后文表</w:t>
      </w:r>
      <w:r>
        <w:rPr>
          <w:rFonts w:hint="default" w:ascii="Times New Roman" w:hAnsi="Times New Roman" w:eastAsia="宋体" w:cs="Times New Roman"/>
          <w:caps w:val="0"/>
          <w:snapToGrid/>
          <w:color w:val="auto"/>
          <w:spacing w:val="0"/>
          <w:w w:val="100"/>
          <w:kern w:val="21"/>
          <w:position w:val="0"/>
          <w:szCs w:val="24"/>
          <w:highlight w:val="none"/>
          <w:lang w:val="en-US" w:eastAsia="zh-CN"/>
        </w:rPr>
        <w:t>5.2</w:t>
      </w:r>
      <w:r>
        <w:rPr>
          <w:rFonts w:hint="eastAsia" w:ascii="Times New Roman" w:hAnsi="Times New Roman" w:eastAsia="宋体" w:cs="Times New Roman"/>
          <w:caps w:val="0"/>
          <w:snapToGrid/>
          <w:color w:val="auto"/>
          <w:spacing w:val="0"/>
          <w:w w:val="100"/>
          <w:kern w:val="21"/>
          <w:position w:val="0"/>
          <w:szCs w:val="24"/>
          <w:highlight w:val="none"/>
          <w:lang w:val="en-US" w:eastAsia="zh-CN"/>
        </w:rPr>
        <w:t>.6-3</w:t>
      </w:r>
      <w:r>
        <w:rPr>
          <w:rFonts w:hint="default" w:ascii="Times New Roman" w:hAnsi="Times New Roman" w:eastAsia="宋体" w:cs="Times New Roman"/>
          <w:caps w:val="0"/>
          <w:snapToGrid/>
          <w:color w:val="auto"/>
          <w:spacing w:val="0"/>
          <w:w w:val="100"/>
          <w:kern w:val="21"/>
          <w:position w:val="0"/>
          <w:szCs w:val="24"/>
          <w:highlight w:val="none"/>
        </w:rPr>
        <w:t>中对项目</w:t>
      </w:r>
      <w:r>
        <w:rPr>
          <w:rFonts w:hint="default" w:ascii="Times New Roman" w:hAnsi="Times New Roman" w:eastAsia="宋体" w:cs="Times New Roman"/>
          <w:caps w:val="0"/>
          <w:snapToGrid/>
          <w:color w:val="auto"/>
          <w:spacing w:val="0"/>
          <w:w w:val="100"/>
          <w:kern w:val="21"/>
          <w:position w:val="0"/>
          <w:highlight w:val="none"/>
          <w:lang w:val="en-US" w:eastAsia="zh-CN"/>
        </w:rPr>
        <w:t>风险物质的Q值的统计，</w:t>
      </w:r>
      <w:bookmarkStart w:id="117" w:name="OLE_LINK92"/>
      <w:bookmarkStart w:id="118" w:name="OLE_LINK91"/>
      <w:r>
        <w:rPr>
          <w:rFonts w:hint="default" w:ascii="Times New Roman" w:hAnsi="Times New Roman" w:eastAsia="宋体" w:cs="Times New Roman"/>
          <w:caps w:val="0"/>
          <w:snapToGrid/>
          <w:color w:val="auto"/>
          <w:spacing w:val="0"/>
          <w:w w:val="100"/>
          <w:kern w:val="21"/>
          <w:position w:val="0"/>
          <w:highlight w:val="none"/>
          <w:lang w:val="en-US" w:eastAsia="zh-CN"/>
        </w:rPr>
        <w:t>本项目危险物质及临界量的比值Q值为</w:t>
      </w:r>
      <w:r>
        <w:rPr>
          <w:rFonts w:hint="eastAsia" w:cs="Times New Roman"/>
          <w:caps w:val="0"/>
          <w:snapToGrid/>
          <w:color w:val="auto"/>
          <w:spacing w:val="0"/>
          <w:w w:val="100"/>
          <w:kern w:val="21"/>
          <w:position w:val="0"/>
          <w:highlight w:val="none"/>
          <w:lang w:val="en-US" w:eastAsia="zh-CN"/>
        </w:rPr>
        <w:t>0.00004</w:t>
      </w:r>
      <w:r>
        <w:rPr>
          <w:rFonts w:hint="default" w:ascii="Times New Roman" w:hAnsi="Times New Roman" w:eastAsia="宋体" w:cs="Times New Roman"/>
          <w:caps w:val="0"/>
          <w:snapToGrid/>
          <w:color w:val="auto"/>
          <w:spacing w:val="0"/>
          <w:w w:val="100"/>
          <w:kern w:val="21"/>
          <w:position w:val="0"/>
          <w:highlight w:val="none"/>
          <w:lang w:val="en-US" w:eastAsia="zh-CN"/>
        </w:rPr>
        <w:t>&lt;1</w:t>
      </w:r>
      <w:bookmarkEnd w:id="117"/>
      <w:bookmarkEnd w:id="118"/>
      <w:r>
        <w:rPr>
          <w:rFonts w:hint="default" w:ascii="Times New Roman" w:hAnsi="Times New Roman" w:eastAsia="宋体" w:cs="Times New Roman"/>
          <w:caps w:val="0"/>
          <w:snapToGrid/>
          <w:color w:val="auto"/>
          <w:spacing w:val="0"/>
          <w:w w:val="100"/>
          <w:kern w:val="21"/>
          <w:position w:val="0"/>
          <w:highlight w:val="none"/>
          <w:lang w:val="en-US" w:eastAsia="zh-CN"/>
        </w:rPr>
        <w:t>。</w:t>
      </w:r>
    </w:p>
    <w:p w14:paraId="276B421F">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szCs w:val="24"/>
          <w:highlight w:val="none"/>
          <w:lang w:eastAsia="zh-CN"/>
        </w:rPr>
      </w:pPr>
      <w:r>
        <w:rPr>
          <w:rFonts w:hint="default" w:ascii="Times New Roman" w:hAnsi="Times New Roman" w:eastAsia="宋体" w:cs="Times New Roman"/>
          <w:caps w:val="0"/>
          <w:snapToGrid/>
          <w:color w:val="auto"/>
          <w:spacing w:val="0"/>
          <w:w w:val="100"/>
          <w:kern w:val="21"/>
          <w:position w:val="0"/>
          <w:szCs w:val="24"/>
          <w:highlight w:val="none"/>
        </w:rPr>
        <w:t>根据以上分析，确定大气环境风险潜势为Ⅰ</w:t>
      </w:r>
      <w:r>
        <w:rPr>
          <w:rFonts w:hint="default" w:ascii="Times New Roman" w:hAnsi="Times New Roman" w:eastAsia="宋体" w:cs="Times New Roman"/>
          <w:caps w:val="0"/>
          <w:snapToGrid/>
          <w:color w:val="auto"/>
          <w:spacing w:val="0"/>
          <w:w w:val="100"/>
          <w:kern w:val="21"/>
          <w:position w:val="0"/>
          <w:sz w:val="21"/>
          <w:highlight w:val="none"/>
        </w:rPr>
        <w:t>，</w:t>
      </w:r>
      <w:r>
        <w:rPr>
          <w:rFonts w:hint="default" w:ascii="Times New Roman" w:hAnsi="Times New Roman" w:eastAsia="宋体" w:cs="Times New Roman"/>
          <w:caps w:val="0"/>
          <w:snapToGrid/>
          <w:color w:val="auto"/>
          <w:spacing w:val="0"/>
          <w:w w:val="100"/>
          <w:kern w:val="21"/>
          <w:position w:val="0"/>
          <w:szCs w:val="24"/>
          <w:highlight w:val="none"/>
        </w:rPr>
        <w:t>地下水环境风险潜势为Ⅰ，</w:t>
      </w:r>
      <w:r>
        <w:rPr>
          <w:rFonts w:hint="default" w:ascii="Times New Roman" w:hAnsi="Times New Roman" w:eastAsia="宋体" w:cs="Times New Roman"/>
          <w:caps w:val="0"/>
          <w:snapToGrid/>
          <w:color w:val="auto"/>
          <w:spacing w:val="0"/>
          <w:w w:val="100"/>
          <w:kern w:val="21"/>
          <w:position w:val="0"/>
          <w:highlight w:val="none"/>
        </w:rPr>
        <w:t>综合确定环境风险潜势为Ⅰ</w:t>
      </w:r>
      <w:r>
        <w:rPr>
          <w:rFonts w:hint="default" w:ascii="Times New Roman" w:hAnsi="Times New Roman" w:eastAsia="宋体" w:cs="Times New Roman"/>
          <w:caps w:val="0"/>
          <w:snapToGrid/>
          <w:color w:val="auto"/>
          <w:spacing w:val="0"/>
          <w:w w:val="100"/>
          <w:kern w:val="21"/>
          <w:position w:val="0"/>
          <w:highlight w:val="none"/>
          <w:lang w:eastAsia="zh-CN"/>
        </w:rPr>
        <w:t>，</w:t>
      </w:r>
      <w:r>
        <w:rPr>
          <w:rFonts w:hint="default" w:ascii="Times New Roman" w:hAnsi="Times New Roman" w:eastAsia="宋体" w:cs="Times New Roman"/>
          <w:caps w:val="0"/>
          <w:snapToGrid/>
          <w:color w:val="auto"/>
          <w:spacing w:val="0"/>
          <w:w w:val="100"/>
          <w:kern w:val="21"/>
          <w:position w:val="0"/>
          <w:szCs w:val="24"/>
          <w:highlight w:val="none"/>
        </w:rPr>
        <w:t>最终</w:t>
      </w:r>
      <w:bookmarkStart w:id="119" w:name="OLE_LINK94"/>
      <w:r>
        <w:rPr>
          <w:rFonts w:hint="default" w:ascii="Times New Roman" w:hAnsi="Times New Roman" w:eastAsia="宋体" w:cs="Times New Roman"/>
          <w:caps w:val="0"/>
          <w:snapToGrid/>
          <w:color w:val="auto"/>
          <w:spacing w:val="0"/>
          <w:w w:val="100"/>
          <w:kern w:val="21"/>
          <w:position w:val="0"/>
          <w:szCs w:val="24"/>
          <w:highlight w:val="none"/>
        </w:rPr>
        <w:t>确定项目</w:t>
      </w:r>
      <w:r>
        <w:rPr>
          <w:rFonts w:hint="default" w:ascii="Times New Roman" w:hAnsi="Times New Roman" w:eastAsia="宋体" w:cs="Times New Roman"/>
          <w:caps w:val="0"/>
          <w:snapToGrid/>
          <w:color w:val="auto"/>
          <w:spacing w:val="0"/>
          <w:w w:val="100"/>
          <w:kern w:val="21"/>
          <w:position w:val="0"/>
          <w:szCs w:val="24"/>
          <w:highlight w:val="none"/>
          <w:lang w:eastAsia="zh-CN"/>
        </w:rPr>
        <w:t>环境</w:t>
      </w:r>
      <w:r>
        <w:rPr>
          <w:rFonts w:hint="default" w:ascii="Times New Roman" w:hAnsi="Times New Roman" w:eastAsia="宋体" w:cs="Times New Roman"/>
          <w:caps w:val="0"/>
          <w:snapToGrid/>
          <w:color w:val="auto"/>
          <w:spacing w:val="0"/>
          <w:w w:val="100"/>
          <w:kern w:val="21"/>
          <w:position w:val="0"/>
          <w:szCs w:val="24"/>
          <w:highlight w:val="none"/>
        </w:rPr>
        <w:t>风险评价工作等级为简单分析</w:t>
      </w:r>
      <w:bookmarkEnd w:id="119"/>
      <w:r>
        <w:rPr>
          <w:rFonts w:hint="default" w:ascii="Times New Roman" w:hAnsi="Times New Roman" w:eastAsia="宋体" w:cs="Times New Roman"/>
          <w:caps w:val="0"/>
          <w:snapToGrid/>
          <w:color w:val="auto"/>
          <w:spacing w:val="0"/>
          <w:w w:val="100"/>
          <w:kern w:val="21"/>
          <w:position w:val="0"/>
          <w:szCs w:val="24"/>
          <w:highlight w:val="none"/>
        </w:rPr>
        <w:t>。</w:t>
      </w:r>
    </w:p>
    <w:p w14:paraId="026F9AAF">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20" w:name="_Toc1576"/>
      <w:bookmarkStart w:id="121" w:name="_Toc21034"/>
      <w:bookmarkStart w:id="122" w:name="_Toc25292"/>
      <w:bookmarkStart w:id="123" w:name="_Toc12082"/>
      <w:bookmarkStart w:id="124" w:name="_Toc29716"/>
      <w:bookmarkStart w:id="125" w:name="_Toc26627"/>
      <w:bookmarkStart w:id="126" w:name="_Toc6594"/>
      <w:bookmarkStart w:id="127" w:name="_Toc4567"/>
      <w:bookmarkStart w:id="128" w:name="_Toc13327"/>
      <w:r>
        <w:rPr>
          <w:rFonts w:hint="default"/>
          <w:color w:val="auto"/>
          <w:spacing w:val="0"/>
          <w:w w:val="100"/>
          <w:position w:val="0"/>
          <w:highlight w:val="none"/>
          <w:lang w:val="en-US" w:eastAsia="zh-CN"/>
        </w:rPr>
        <w:t>2.3.6生态</w:t>
      </w:r>
      <w:bookmarkEnd w:id="120"/>
      <w:bookmarkEnd w:id="121"/>
      <w:bookmarkEnd w:id="122"/>
      <w:bookmarkEnd w:id="123"/>
      <w:bookmarkEnd w:id="124"/>
      <w:bookmarkEnd w:id="125"/>
      <w:r>
        <w:rPr>
          <w:rFonts w:hint="default"/>
          <w:color w:val="auto"/>
          <w:spacing w:val="0"/>
          <w:w w:val="100"/>
          <w:position w:val="0"/>
          <w:highlight w:val="none"/>
          <w:lang w:val="en-US" w:eastAsia="zh-CN"/>
        </w:rPr>
        <w:t>影响</w:t>
      </w:r>
      <w:bookmarkEnd w:id="126"/>
      <w:bookmarkEnd w:id="127"/>
      <w:bookmarkEnd w:id="128"/>
    </w:p>
    <w:p w14:paraId="2D34536F">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szCs w:val="24"/>
          <w:highlight w:val="none"/>
          <w:lang w:bidi="ar"/>
        </w:rPr>
      </w:pPr>
      <w:bookmarkStart w:id="129" w:name="_Toc27576099"/>
      <w:bookmarkStart w:id="130" w:name="_Toc12025"/>
      <w:bookmarkStart w:id="131" w:name="_Toc5948"/>
      <w:bookmarkStart w:id="132" w:name="_Toc13564"/>
      <w:bookmarkStart w:id="133" w:name="_Toc10696"/>
      <w:r>
        <w:rPr>
          <w:rFonts w:hint="default" w:ascii="Times New Roman" w:hAnsi="Times New Roman" w:eastAsia="宋体" w:cs="Times New Roman"/>
          <w:caps w:val="0"/>
          <w:snapToGrid/>
          <w:color w:val="auto"/>
          <w:spacing w:val="0"/>
          <w:w w:val="100"/>
          <w:kern w:val="21"/>
          <w:position w:val="0"/>
          <w:sz w:val="24"/>
          <w:szCs w:val="24"/>
          <w:highlight w:val="none"/>
          <w:lang w:bidi="ar"/>
        </w:rPr>
        <w:t>依据《环境影响评价技术导则 生态影响》（HJ19-2022）“符合生态环境分区管控要求且位于原厂界（或永久用地）范围内的污染影响类改扩建项目，位于已批准规划环评的产业园区内且符合规划环评要求、不涉及生态敏感区的污染影响类建设项目，可不确定评价等级，直接进行生态影响简单分析”，本项目位于</w:t>
      </w:r>
      <w:r>
        <w:rPr>
          <w:rFonts w:hint="eastAsia" w:cs="Times New Roman"/>
          <w:caps w:val="0"/>
          <w:snapToGrid/>
          <w:color w:val="auto"/>
          <w:spacing w:val="0"/>
          <w:w w:val="100"/>
          <w:kern w:val="21"/>
          <w:position w:val="0"/>
          <w:sz w:val="24"/>
          <w:szCs w:val="24"/>
          <w:highlight w:val="none"/>
          <w:lang w:eastAsia="zh-CN" w:bidi="ar"/>
        </w:rPr>
        <w:t>甘泉堡工业园区中小微企业创新区</w:t>
      </w:r>
      <w:r>
        <w:rPr>
          <w:rFonts w:hint="default" w:ascii="Times New Roman" w:hAnsi="Times New Roman" w:eastAsia="宋体" w:cs="Times New Roman"/>
          <w:caps w:val="0"/>
          <w:snapToGrid/>
          <w:color w:val="auto"/>
          <w:spacing w:val="0"/>
          <w:w w:val="100"/>
          <w:kern w:val="21"/>
          <w:position w:val="0"/>
          <w:sz w:val="24"/>
          <w:szCs w:val="24"/>
          <w:highlight w:val="none"/>
          <w:lang w:bidi="ar"/>
        </w:rPr>
        <w:t>，属于位于已批准规划环评的产业园区内且符合规划环评要求、不涉及生态敏感区的污染影响类建设项目，因此本次环评针对生态环境不再确定评价等级，进行生态影响简单分析。</w:t>
      </w:r>
    </w:p>
    <w:bookmarkEnd w:id="129"/>
    <w:p w14:paraId="756A3E0D">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34" w:name="_Toc8909"/>
      <w:bookmarkStart w:id="135" w:name="_Toc28844"/>
      <w:bookmarkStart w:id="136" w:name="_Toc7233"/>
      <w:bookmarkStart w:id="137" w:name="_Toc14771"/>
      <w:bookmarkStart w:id="138" w:name="_Toc22328"/>
      <w:r>
        <w:rPr>
          <w:rFonts w:hint="default"/>
          <w:color w:val="auto"/>
          <w:spacing w:val="0"/>
          <w:w w:val="100"/>
          <w:position w:val="0"/>
          <w:highlight w:val="none"/>
          <w:lang w:val="en-US" w:eastAsia="zh-CN"/>
        </w:rPr>
        <w:t>2.4环境影响评价范围</w:t>
      </w:r>
      <w:bookmarkEnd w:id="109"/>
      <w:bookmarkEnd w:id="110"/>
      <w:bookmarkEnd w:id="111"/>
      <w:bookmarkEnd w:id="112"/>
      <w:bookmarkEnd w:id="113"/>
      <w:r>
        <w:rPr>
          <w:rFonts w:hint="default"/>
          <w:color w:val="auto"/>
          <w:spacing w:val="0"/>
          <w:w w:val="100"/>
          <w:position w:val="0"/>
          <w:highlight w:val="none"/>
          <w:lang w:val="en-US" w:eastAsia="zh-CN"/>
        </w:rPr>
        <w:t>及环境敏感目标</w:t>
      </w:r>
      <w:bookmarkEnd w:id="114"/>
      <w:bookmarkEnd w:id="130"/>
      <w:bookmarkEnd w:id="131"/>
      <w:bookmarkEnd w:id="132"/>
      <w:bookmarkEnd w:id="133"/>
      <w:bookmarkEnd w:id="134"/>
      <w:bookmarkEnd w:id="135"/>
      <w:bookmarkEnd w:id="136"/>
      <w:bookmarkEnd w:id="137"/>
      <w:bookmarkEnd w:id="138"/>
    </w:p>
    <w:p w14:paraId="359B3917">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39" w:name="_Toc29653"/>
      <w:bookmarkStart w:id="140" w:name="_Toc12786"/>
      <w:bookmarkStart w:id="141" w:name="_Toc6481"/>
      <w:bookmarkStart w:id="142" w:name="_Toc534766182"/>
      <w:bookmarkStart w:id="143" w:name="_Toc24567"/>
      <w:bookmarkStart w:id="144" w:name="_Toc8828"/>
      <w:bookmarkStart w:id="145" w:name="_Toc24724"/>
      <w:bookmarkStart w:id="146" w:name="_Toc6067633"/>
      <w:bookmarkStart w:id="147" w:name="_Toc9452"/>
      <w:bookmarkStart w:id="148" w:name="_Toc20995"/>
      <w:bookmarkStart w:id="149" w:name="_Toc17204"/>
      <w:r>
        <w:rPr>
          <w:rFonts w:hint="default"/>
          <w:color w:val="auto"/>
          <w:spacing w:val="0"/>
          <w:w w:val="100"/>
          <w:position w:val="0"/>
          <w:highlight w:val="none"/>
          <w:lang w:val="en-US" w:eastAsia="zh-CN"/>
        </w:rPr>
        <w:t>2.4.1环境影响评价范围</w:t>
      </w:r>
      <w:bookmarkEnd w:id="139"/>
      <w:bookmarkEnd w:id="140"/>
      <w:bookmarkEnd w:id="141"/>
      <w:bookmarkEnd w:id="142"/>
      <w:bookmarkEnd w:id="143"/>
      <w:bookmarkEnd w:id="144"/>
      <w:bookmarkEnd w:id="145"/>
      <w:bookmarkEnd w:id="146"/>
      <w:bookmarkEnd w:id="147"/>
      <w:bookmarkEnd w:id="148"/>
      <w:bookmarkEnd w:id="149"/>
    </w:p>
    <w:p w14:paraId="01E4C91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highlight w:val="none"/>
        </w:rPr>
      </w:pPr>
      <w:r>
        <w:rPr>
          <w:rFonts w:hint="default" w:ascii="Times New Roman" w:hAnsi="Times New Roman" w:eastAsia="宋体" w:cs="Times New Roman"/>
          <w:caps w:val="0"/>
          <w:snapToGrid/>
          <w:color w:val="auto"/>
          <w:spacing w:val="0"/>
          <w:w w:val="100"/>
          <w:kern w:val="21"/>
          <w:position w:val="0"/>
          <w:sz w:val="24"/>
          <w:highlight w:val="none"/>
          <w:lang w:eastAsia="zh-CN"/>
        </w:rPr>
        <w:t>（</w:t>
      </w:r>
      <w:r>
        <w:rPr>
          <w:rFonts w:hint="default" w:ascii="Times New Roman" w:hAnsi="Times New Roman" w:eastAsia="宋体" w:cs="Times New Roman"/>
          <w:caps w:val="0"/>
          <w:snapToGrid/>
          <w:color w:val="auto"/>
          <w:spacing w:val="0"/>
          <w:w w:val="100"/>
          <w:kern w:val="21"/>
          <w:position w:val="0"/>
          <w:sz w:val="24"/>
          <w:highlight w:val="none"/>
          <w:lang w:val="en-US" w:eastAsia="zh-CN"/>
        </w:rPr>
        <w:t>1</w:t>
      </w:r>
      <w:r>
        <w:rPr>
          <w:rFonts w:hint="default" w:ascii="Times New Roman" w:hAnsi="Times New Roman" w:eastAsia="宋体" w:cs="Times New Roman"/>
          <w:caps w:val="0"/>
          <w:snapToGrid/>
          <w:color w:val="auto"/>
          <w:spacing w:val="0"/>
          <w:w w:val="100"/>
          <w:kern w:val="21"/>
          <w:position w:val="0"/>
          <w:sz w:val="24"/>
          <w:highlight w:val="none"/>
          <w:lang w:eastAsia="zh-CN"/>
        </w:rPr>
        <w:t>）</w:t>
      </w:r>
      <w:r>
        <w:rPr>
          <w:rFonts w:hint="default" w:ascii="Times New Roman" w:hAnsi="Times New Roman" w:eastAsia="宋体" w:cs="Times New Roman"/>
          <w:caps w:val="0"/>
          <w:snapToGrid/>
          <w:color w:val="auto"/>
          <w:spacing w:val="0"/>
          <w:w w:val="100"/>
          <w:kern w:val="21"/>
          <w:position w:val="0"/>
          <w:sz w:val="24"/>
          <w:highlight w:val="none"/>
        </w:rPr>
        <w:t>大气环境</w:t>
      </w:r>
    </w:p>
    <w:p w14:paraId="7B5F8F1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highlight w:val="none"/>
        </w:rPr>
      </w:pPr>
      <w:r>
        <w:rPr>
          <w:rFonts w:hint="default" w:ascii="Times New Roman" w:hAnsi="Times New Roman" w:eastAsia="宋体" w:cs="Times New Roman"/>
          <w:caps w:val="0"/>
          <w:snapToGrid/>
          <w:color w:val="auto"/>
          <w:spacing w:val="0"/>
          <w:w w:val="100"/>
          <w:kern w:val="21"/>
          <w:position w:val="0"/>
          <w:sz w:val="24"/>
          <w:highlight w:val="none"/>
        </w:rPr>
        <w:t>本项目大气评价工作等级为</w:t>
      </w:r>
      <w:r>
        <w:rPr>
          <w:rFonts w:hint="eastAsia" w:cs="Times New Roman"/>
          <w:caps w:val="0"/>
          <w:snapToGrid/>
          <w:color w:val="auto"/>
          <w:spacing w:val="0"/>
          <w:w w:val="100"/>
          <w:kern w:val="21"/>
          <w:position w:val="0"/>
          <w:sz w:val="24"/>
          <w:highlight w:val="none"/>
          <w:lang w:val="en-US" w:eastAsia="zh-CN"/>
        </w:rPr>
        <w:t>二</w:t>
      </w:r>
      <w:r>
        <w:rPr>
          <w:rFonts w:hint="default" w:ascii="Times New Roman" w:hAnsi="Times New Roman" w:eastAsia="宋体" w:cs="Times New Roman"/>
          <w:caps w:val="0"/>
          <w:snapToGrid/>
          <w:color w:val="auto"/>
          <w:spacing w:val="0"/>
          <w:w w:val="100"/>
          <w:kern w:val="21"/>
          <w:position w:val="0"/>
          <w:sz w:val="24"/>
          <w:highlight w:val="none"/>
        </w:rPr>
        <w:t>级，根据《环境影响评价技术导则 大气环境》（HJ2.2-2018），本项目大气评价范围</w:t>
      </w:r>
      <w:r>
        <w:rPr>
          <w:rFonts w:hint="default" w:ascii="Times New Roman" w:hAnsi="Times New Roman" w:eastAsia="宋体" w:cs="Times New Roman"/>
          <w:caps w:val="0"/>
          <w:snapToGrid/>
          <w:color w:val="auto"/>
          <w:spacing w:val="0"/>
          <w:w w:val="100"/>
          <w:kern w:val="21"/>
          <w:position w:val="0"/>
          <w:sz w:val="24"/>
          <w:highlight w:val="none"/>
          <w:lang w:val="en-US" w:eastAsia="zh-CN"/>
        </w:rPr>
        <w:t>以项目厂址为中心，边长</w:t>
      </w:r>
      <w:r>
        <w:rPr>
          <w:rFonts w:hint="default" w:ascii="Times New Roman" w:hAnsi="Times New Roman" w:eastAsia="宋体" w:cs="Times New Roman"/>
          <w:caps w:val="0"/>
          <w:snapToGrid/>
          <w:color w:val="auto"/>
          <w:spacing w:val="0"/>
          <w:w w:val="100"/>
          <w:kern w:val="21"/>
          <w:position w:val="0"/>
          <w:sz w:val="24"/>
          <w:highlight w:val="none"/>
        </w:rPr>
        <w:t>为5km的矩形区域。</w:t>
      </w:r>
    </w:p>
    <w:p w14:paraId="75E1A9B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21"/>
          <w:position w:val="0"/>
          <w:sz w:val="24"/>
          <w:highlight w:val="none"/>
          <w:lang w:eastAsia="zh-CN"/>
        </w:rPr>
      </w:pPr>
      <w:r>
        <w:rPr>
          <w:rFonts w:hint="default" w:ascii="Times New Roman" w:hAnsi="Times New Roman" w:eastAsia="宋体" w:cs="Times New Roman"/>
          <w:caps w:val="0"/>
          <w:snapToGrid/>
          <w:color w:val="auto"/>
          <w:spacing w:val="0"/>
          <w:w w:val="100"/>
          <w:kern w:val="21"/>
          <w:position w:val="0"/>
          <w:sz w:val="24"/>
          <w:highlight w:val="none"/>
          <w:lang w:eastAsia="zh-CN"/>
        </w:rPr>
        <w:t>（</w:t>
      </w:r>
      <w:r>
        <w:rPr>
          <w:rFonts w:hint="default" w:ascii="Times New Roman" w:hAnsi="Times New Roman" w:eastAsia="宋体" w:cs="Times New Roman"/>
          <w:caps w:val="0"/>
          <w:snapToGrid/>
          <w:color w:val="auto"/>
          <w:spacing w:val="0"/>
          <w:w w:val="100"/>
          <w:kern w:val="21"/>
          <w:position w:val="0"/>
          <w:sz w:val="24"/>
          <w:highlight w:val="none"/>
          <w:lang w:val="en-US" w:eastAsia="zh-CN"/>
        </w:rPr>
        <w:t>2</w:t>
      </w:r>
      <w:r>
        <w:rPr>
          <w:rFonts w:hint="default" w:ascii="Times New Roman" w:hAnsi="Times New Roman" w:eastAsia="宋体" w:cs="Times New Roman"/>
          <w:caps w:val="0"/>
          <w:snapToGrid/>
          <w:color w:val="auto"/>
          <w:spacing w:val="0"/>
          <w:w w:val="100"/>
          <w:kern w:val="21"/>
          <w:position w:val="0"/>
          <w:sz w:val="24"/>
          <w:highlight w:val="none"/>
          <w:lang w:eastAsia="zh-CN"/>
        </w:rPr>
        <w:t>）地下水环境</w:t>
      </w:r>
    </w:p>
    <w:p w14:paraId="0870035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highlight w:val="none"/>
          <w:lang w:eastAsia="zh-CN"/>
        </w:rPr>
      </w:pPr>
      <w:r>
        <w:rPr>
          <w:rFonts w:hint="default" w:ascii="Times New Roman" w:hAnsi="Times New Roman" w:eastAsia="宋体" w:cs="Times New Roman"/>
          <w:caps w:val="0"/>
          <w:snapToGrid/>
          <w:color w:val="auto"/>
          <w:spacing w:val="0"/>
          <w:w w:val="100"/>
          <w:kern w:val="21"/>
          <w:position w:val="0"/>
          <w:sz w:val="24"/>
          <w:highlight w:val="none"/>
          <w:lang w:eastAsia="zh-CN"/>
        </w:rPr>
        <w:t>本项目地下水环境影响评价等级为三级，根据《环境影响评价技术导则 地下水环境》（HJ610-2016），用查表法确定地下水评价范围为：以厂址为中心，上游延伸1km，下游延伸2km，两侧各1km的范围，评价范围面积为6km</w:t>
      </w:r>
      <w:r>
        <w:rPr>
          <w:rFonts w:hint="default" w:ascii="Times New Roman" w:hAnsi="Times New Roman" w:eastAsia="宋体" w:cs="Times New Roman"/>
          <w:caps w:val="0"/>
          <w:snapToGrid/>
          <w:color w:val="auto"/>
          <w:spacing w:val="0"/>
          <w:w w:val="100"/>
          <w:kern w:val="21"/>
          <w:position w:val="0"/>
          <w:sz w:val="24"/>
          <w:highlight w:val="none"/>
          <w:vertAlign w:val="superscript"/>
          <w:lang w:eastAsia="zh-CN"/>
        </w:rPr>
        <w:t>2</w:t>
      </w:r>
      <w:r>
        <w:rPr>
          <w:rFonts w:hint="default" w:ascii="Times New Roman" w:hAnsi="Times New Roman" w:eastAsia="宋体" w:cs="Times New Roman"/>
          <w:caps w:val="0"/>
          <w:snapToGrid/>
          <w:color w:val="auto"/>
          <w:spacing w:val="0"/>
          <w:w w:val="100"/>
          <w:kern w:val="21"/>
          <w:position w:val="0"/>
          <w:sz w:val="24"/>
          <w:highlight w:val="none"/>
          <w:lang w:eastAsia="zh-CN"/>
        </w:rPr>
        <w:t>。</w:t>
      </w:r>
    </w:p>
    <w:p w14:paraId="2ADB2C4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highlight w:val="none"/>
          <w:lang w:eastAsia="zh-CN"/>
        </w:rPr>
      </w:pPr>
      <w:r>
        <w:rPr>
          <w:rFonts w:hint="default" w:ascii="Times New Roman" w:hAnsi="Times New Roman" w:eastAsia="宋体" w:cs="Times New Roman"/>
          <w:caps w:val="0"/>
          <w:snapToGrid/>
          <w:color w:val="auto"/>
          <w:spacing w:val="0"/>
          <w:w w:val="100"/>
          <w:kern w:val="21"/>
          <w:position w:val="0"/>
          <w:sz w:val="24"/>
          <w:highlight w:val="none"/>
          <w:lang w:eastAsia="zh-CN"/>
        </w:rPr>
        <w:t>（</w:t>
      </w:r>
      <w:r>
        <w:rPr>
          <w:rFonts w:hint="default" w:ascii="Times New Roman" w:hAnsi="Times New Roman" w:eastAsia="宋体" w:cs="Times New Roman"/>
          <w:caps w:val="0"/>
          <w:snapToGrid/>
          <w:color w:val="auto"/>
          <w:spacing w:val="0"/>
          <w:w w:val="100"/>
          <w:kern w:val="21"/>
          <w:position w:val="0"/>
          <w:sz w:val="24"/>
          <w:highlight w:val="none"/>
          <w:lang w:val="en-US" w:eastAsia="zh-CN"/>
        </w:rPr>
        <w:t>3</w:t>
      </w:r>
      <w:r>
        <w:rPr>
          <w:rFonts w:hint="default" w:ascii="Times New Roman" w:hAnsi="Times New Roman" w:eastAsia="宋体" w:cs="Times New Roman"/>
          <w:caps w:val="0"/>
          <w:snapToGrid/>
          <w:color w:val="auto"/>
          <w:spacing w:val="0"/>
          <w:w w:val="100"/>
          <w:kern w:val="21"/>
          <w:position w:val="0"/>
          <w:sz w:val="24"/>
          <w:highlight w:val="none"/>
          <w:lang w:eastAsia="zh-CN"/>
        </w:rPr>
        <w:t>）声环境</w:t>
      </w:r>
    </w:p>
    <w:p w14:paraId="68727463">
      <w:pPr>
        <w:keepNext w:val="0"/>
        <w:keepLines w:val="0"/>
        <w:pageBreakBefore w:val="0"/>
        <w:widowControl w:val="0"/>
        <w:kinsoku/>
        <w:wordWrap/>
        <w:overflowPunct/>
        <w:topLinePunct w:val="0"/>
        <w:autoSpaceDE/>
        <w:autoSpaceDN/>
        <w:bidi w:val="0"/>
        <w:adjustRightInd/>
        <w:snapToGrid/>
        <w:spacing w:beforeLines="0" w:afterLines="0"/>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zh-CN"/>
        </w:rPr>
      </w:pPr>
      <w:r>
        <w:rPr>
          <w:rFonts w:hint="default" w:ascii="Times New Roman" w:hAnsi="Times New Roman" w:eastAsia="宋体" w:cs="Times New Roman"/>
          <w:caps w:val="0"/>
          <w:snapToGrid/>
          <w:color w:val="auto"/>
          <w:spacing w:val="0"/>
          <w:w w:val="100"/>
          <w:kern w:val="21"/>
          <w:position w:val="0"/>
          <w:sz w:val="24"/>
          <w:szCs w:val="24"/>
          <w:highlight w:val="none"/>
          <w:lang w:val="zh-CN"/>
        </w:rPr>
        <w:t>本项目声环境影响评价工作等级为三级，评价范围为厂界外</w:t>
      </w:r>
      <w:r>
        <w:rPr>
          <w:rFonts w:hint="eastAsia" w:ascii="Times New Roman" w:hAnsi="Times New Roman" w:eastAsia="宋体" w:cs="Times New Roman"/>
          <w:caps w:val="0"/>
          <w:snapToGrid/>
          <w:color w:val="auto"/>
          <w:spacing w:val="0"/>
          <w:w w:val="100"/>
          <w:kern w:val="21"/>
          <w:position w:val="0"/>
          <w:sz w:val="24"/>
          <w:szCs w:val="24"/>
          <w:highlight w:val="none"/>
          <w:lang w:val="en-US" w:eastAsia="zh-CN"/>
        </w:rPr>
        <w:t>200</w:t>
      </w:r>
      <w:r>
        <w:rPr>
          <w:rFonts w:hint="default" w:ascii="Times New Roman" w:hAnsi="Times New Roman" w:eastAsia="宋体" w:cs="Times New Roman"/>
          <w:caps w:val="0"/>
          <w:snapToGrid/>
          <w:color w:val="auto"/>
          <w:spacing w:val="0"/>
          <w:w w:val="100"/>
          <w:kern w:val="21"/>
          <w:position w:val="0"/>
          <w:sz w:val="24"/>
          <w:szCs w:val="24"/>
          <w:highlight w:val="none"/>
          <w:lang w:val="zh-CN"/>
        </w:rPr>
        <w:t>m范围内。</w:t>
      </w:r>
    </w:p>
    <w:p w14:paraId="6CD5B6A3">
      <w:pPr>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rPr>
      </w:pPr>
      <w:r>
        <w:rPr>
          <w:rFonts w:hint="default" w:ascii="Times New Roman" w:hAnsi="Times New Roman" w:eastAsia="宋体" w:cs="Times New Roman"/>
          <w:caps w:val="0"/>
          <w:snapToGrid/>
          <w:color w:val="auto"/>
          <w:spacing w:val="0"/>
          <w:w w:val="100"/>
          <w:kern w:val="21"/>
          <w:position w:val="0"/>
          <w:sz w:val="24"/>
          <w:szCs w:val="24"/>
          <w:highlight w:val="none"/>
        </w:rPr>
        <w:t>（</w:t>
      </w:r>
      <w:r>
        <w:rPr>
          <w:rFonts w:hint="default" w:ascii="Times New Roman" w:hAnsi="Times New Roman" w:eastAsia="宋体" w:cs="Times New Roman"/>
          <w:caps w:val="0"/>
          <w:snapToGrid/>
          <w:color w:val="auto"/>
          <w:spacing w:val="0"/>
          <w:w w:val="100"/>
          <w:kern w:val="21"/>
          <w:position w:val="0"/>
          <w:sz w:val="24"/>
          <w:szCs w:val="24"/>
          <w:highlight w:val="none"/>
          <w:lang w:val="en-US" w:eastAsia="zh-CN"/>
        </w:rPr>
        <w:t>4</w:t>
      </w:r>
      <w:r>
        <w:rPr>
          <w:rFonts w:hint="default" w:ascii="Times New Roman" w:hAnsi="Times New Roman" w:eastAsia="宋体" w:cs="Times New Roman"/>
          <w:caps w:val="0"/>
          <w:snapToGrid/>
          <w:color w:val="auto"/>
          <w:spacing w:val="0"/>
          <w:w w:val="100"/>
          <w:kern w:val="21"/>
          <w:position w:val="0"/>
          <w:sz w:val="24"/>
          <w:szCs w:val="24"/>
          <w:highlight w:val="none"/>
        </w:rPr>
        <w:t>）土壤环境</w:t>
      </w:r>
    </w:p>
    <w:p w14:paraId="075BEB8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rPr>
      </w:pPr>
      <w:r>
        <w:rPr>
          <w:rFonts w:hint="default" w:ascii="Times New Roman" w:hAnsi="Times New Roman" w:eastAsia="宋体" w:cs="Times New Roman"/>
          <w:b w:val="0"/>
          <w:caps w:val="0"/>
          <w:snapToGrid/>
          <w:color w:val="auto"/>
          <w:spacing w:val="0"/>
          <w:w w:val="100"/>
          <w:kern w:val="21"/>
          <w:position w:val="0"/>
          <w:sz w:val="24"/>
          <w:szCs w:val="24"/>
          <w:highlight w:val="none"/>
          <w:lang w:val="en-US" w:eastAsia="zh-CN" w:bidi="ar-SA"/>
        </w:rPr>
        <w:t>根据《环境影响评价技术导则 土壤环境（试行）》（HJ964-2018），</w:t>
      </w:r>
      <w:r>
        <w:rPr>
          <w:rFonts w:hint="default" w:ascii="Times New Roman" w:hAnsi="Times New Roman" w:eastAsia="宋体" w:cs="Times New Roman"/>
          <w:caps w:val="0"/>
          <w:snapToGrid/>
          <w:color w:val="auto"/>
          <w:spacing w:val="0"/>
          <w:w w:val="100"/>
          <w:kern w:val="21"/>
          <w:position w:val="0"/>
          <w:highlight w:val="none"/>
        </w:rPr>
        <w:t>确定本项目可不开展土壤环境影响评价工作</w:t>
      </w:r>
      <w:r>
        <w:rPr>
          <w:rFonts w:hint="eastAsia" w:cs="Times New Roman"/>
          <w:caps w:val="0"/>
          <w:snapToGrid/>
          <w:color w:val="auto"/>
          <w:spacing w:val="0"/>
          <w:w w:val="100"/>
          <w:kern w:val="21"/>
          <w:position w:val="0"/>
          <w:highlight w:val="none"/>
          <w:lang w:eastAsia="zh-CN"/>
        </w:rPr>
        <w:t>，</w:t>
      </w:r>
      <w:r>
        <w:rPr>
          <w:rFonts w:hint="eastAsia" w:cs="Times New Roman"/>
          <w:b w:val="0"/>
          <w:caps w:val="0"/>
          <w:snapToGrid/>
          <w:color w:val="auto"/>
          <w:spacing w:val="0"/>
          <w:w w:val="100"/>
          <w:kern w:val="21"/>
          <w:position w:val="0"/>
          <w:sz w:val="24"/>
          <w:szCs w:val="24"/>
          <w:highlight w:val="none"/>
          <w:lang w:val="en-US" w:eastAsia="zh-CN" w:bidi="ar-SA"/>
        </w:rPr>
        <w:t>因此不设置评价范围</w:t>
      </w:r>
      <w:r>
        <w:rPr>
          <w:rFonts w:hint="default" w:ascii="Times New Roman" w:hAnsi="Times New Roman" w:eastAsia="宋体" w:cs="Times New Roman"/>
          <w:b w:val="0"/>
          <w:caps w:val="0"/>
          <w:snapToGrid/>
          <w:color w:val="auto"/>
          <w:spacing w:val="0"/>
          <w:w w:val="100"/>
          <w:kern w:val="21"/>
          <w:position w:val="0"/>
          <w:sz w:val="24"/>
          <w:szCs w:val="24"/>
          <w:highlight w:val="none"/>
          <w:lang w:val="en-US" w:eastAsia="zh-CN" w:bidi="ar-SA"/>
        </w:rPr>
        <w:t>。</w:t>
      </w:r>
    </w:p>
    <w:p w14:paraId="69BADECC">
      <w:pPr>
        <w:keepNext w:val="0"/>
        <w:keepLines w:val="0"/>
        <w:pageBreakBefore w:val="0"/>
        <w:widowControl w:val="0"/>
        <w:numPr>
          <w:ilvl w:val="0"/>
          <w:numId w:val="0"/>
        </w:numPr>
        <w:kinsoku/>
        <w:wordWrap/>
        <w:overflowPunct/>
        <w:topLinePunct w:val="0"/>
        <w:autoSpaceDE/>
        <w:autoSpaceDN/>
        <w:bidi w:val="0"/>
        <w:adjustRightInd/>
        <w:snapToGrid/>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rPr>
      </w:pPr>
      <w:r>
        <w:rPr>
          <w:rFonts w:hint="default" w:ascii="Times New Roman" w:hAnsi="Times New Roman" w:eastAsia="宋体" w:cs="Times New Roman"/>
          <w:caps w:val="0"/>
          <w:snapToGrid/>
          <w:color w:val="auto"/>
          <w:spacing w:val="0"/>
          <w:w w:val="100"/>
          <w:kern w:val="21"/>
          <w:position w:val="0"/>
          <w:sz w:val="24"/>
          <w:szCs w:val="24"/>
          <w:highlight w:val="none"/>
        </w:rPr>
        <w:t>（</w:t>
      </w:r>
      <w:r>
        <w:rPr>
          <w:rFonts w:hint="default" w:ascii="Times New Roman" w:hAnsi="Times New Roman" w:eastAsia="宋体" w:cs="Times New Roman"/>
          <w:caps w:val="0"/>
          <w:snapToGrid/>
          <w:color w:val="auto"/>
          <w:spacing w:val="0"/>
          <w:w w:val="100"/>
          <w:kern w:val="21"/>
          <w:position w:val="0"/>
          <w:sz w:val="24"/>
          <w:szCs w:val="24"/>
          <w:highlight w:val="none"/>
          <w:lang w:val="en-US" w:eastAsia="zh-CN"/>
        </w:rPr>
        <w:t>5</w:t>
      </w:r>
      <w:r>
        <w:rPr>
          <w:rFonts w:hint="default" w:ascii="Times New Roman" w:hAnsi="Times New Roman" w:eastAsia="宋体" w:cs="Times New Roman"/>
          <w:caps w:val="0"/>
          <w:snapToGrid/>
          <w:color w:val="auto"/>
          <w:spacing w:val="0"/>
          <w:w w:val="100"/>
          <w:kern w:val="21"/>
          <w:position w:val="0"/>
          <w:sz w:val="24"/>
          <w:szCs w:val="24"/>
          <w:highlight w:val="none"/>
        </w:rPr>
        <w:t>）生态</w:t>
      </w:r>
    </w:p>
    <w:p w14:paraId="01F6220D">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rPr>
      </w:pPr>
      <w:r>
        <w:rPr>
          <w:rFonts w:hint="default" w:ascii="Times New Roman" w:hAnsi="Times New Roman" w:eastAsia="宋体" w:cs="Times New Roman"/>
          <w:caps w:val="0"/>
          <w:snapToGrid/>
          <w:color w:val="auto"/>
          <w:spacing w:val="0"/>
          <w:w w:val="100"/>
          <w:kern w:val="21"/>
          <w:position w:val="0"/>
          <w:sz w:val="24"/>
          <w:szCs w:val="24"/>
          <w:highlight w:val="none"/>
        </w:rPr>
        <w:t>根据《环境影响评价技术导则 生态影响》（HJ19-2022）</w:t>
      </w:r>
      <w:r>
        <w:rPr>
          <w:rFonts w:hint="eastAsia" w:cs="Times New Roman"/>
          <w:caps w:val="0"/>
          <w:snapToGrid/>
          <w:color w:val="auto"/>
          <w:spacing w:val="0"/>
          <w:w w:val="100"/>
          <w:kern w:val="21"/>
          <w:position w:val="0"/>
          <w:sz w:val="24"/>
          <w:szCs w:val="24"/>
          <w:highlight w:val="none"/>
          <w:lang w:val="en-US" w:eastAsia="zh-CN"/>
        </w:rPr>
        <w:t>对</w:t>
      </w:r>
      <w:r>
        <w:rPr>
          <w:rFonts w:hint="default" w:ascii="Times New Roman" w:hAnsi="Times New Roman" w:eastAsia="宋体" w:cs="Times New Roman"/>
          <w:caps w:val="0"/>
          <w:snapToGrid/>
          <w:color w:val="auto"/>
          <w:spacing w:val="0"/>
          <w:w w:val="100"/>
          <w:kern w:val="21"/>
          <w:position w:val="0"/>
          <w:sz w:val="24"/>
          <w:szCs w:val="24"/>
          <w:highlight w:val="none"/>
        </w:rPr>
        <w:t>生态影响做简要评价，无需设评价范围</w:t>
      </w:r>
      <w:r>
        <w:rPr>
          <w:rFonts w:hint="default" w:ascii="Times New Roman" w:hAnsi="Times New Roman" w:eastAsia="宋体" w:cs="Times New Roman"/>
          <w:caps w:val="0"/>
          <w:snapToGrid/>
          <w:color w:val="auto"/>
          <w:spacing w:val="0"/>
          <w:w w:val="100"/>
          <w:kern w:val="21"/>
          <w:position w:val="0"/>
          <w:highlight w:val="none"/>
          <w:lang w:eastAsia="zh-CN"/>
        </w:rPr>
        <w:t>。</w:t>
      </w:r>
    </w:p>
    <w:p w14:paraId="7D2FA5E8">
      <w:pPr>
        <w:keepNext w:val="0"/>
        <w:keepLines w:val="0"/>
        <w:pageBreakBefore w:val="0"/>
        <w:widowControl w:val="0"/>
        <w:numPr>
          <w:ilvl w:val="0"/>
          <w:numId w:val="0"/>
        </w:numPr>
        <w:kinsoku/>
        <w:wordWrap/>
        <w:overflowPunct/>
        <w:topLinePunct w:val="0"/>
        <w:autoSpaceDE/>
        <w:autoSpaceDN/>
        <w:bidi w:val="0"/>
        <w:adjustRightInd/>
        <w:snapToGrid/>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rPr>
      </w:pPr>
      <w:r>
        <w:rPr>
          <w:rFonts w:hint="default" w:ascii="Times New Roman" w:hAnsi="Times New Roman" w:eastAsia="宋体" w:cs="Times New Roman"/>
          <w:caps w:val="0"/>
          <w:snapToGrid/>
          <w:color w:val="auto"/>
          <w:spacing w:val="0"/>
          <w:w w:val="100"/>
          <w:kern w:val="21"/>
          <w:position w:val="0"/>
          <w:sz w:val="24"/>
          <w:szCs w:val="24"/>
          <w:highlight w:val="none"/>
          <w:lang w:eastAsia="zh-CN"/>
        </w:rPr>
        <w:t>（</w:t>
      </w:r>
      <w:r>
        <w:rPr>
          <w:rFonts w:hint="default" w:ascii="Times New Roman" w:hAnsi="Times New Roman" w:eastAsia="宋体" w:cs="Times New Roman"/>
          <w:caps w:val="0"/>
          <w:snapToGrid/>
          <w:color w:val="auto"/>
          <w:spacing w:val="0"/>
          <w:w w:val="100"/>
          <w:kern w:val="21"/>
          <w:position w:val="0"/>
          <w:sz w:val="24"/>
          <w:szCs w:val="24"/>
          <w:highlight w:val="none"/>
          <w:lang w:val="en-US" w:eastAsia="zh-CN"/>
        </w:rPr>
        <w:t>6</w:t>
      </w:r>
      <w:r>
        <w:rPr>
          <w:rFonts w:hint="default" w:ascii="Times New Roman" w:hAnsi="Times New Roman" w:eastAsia="宋体" w:cs="Times New Roman"/>
          <w:caps w:val="0"/>
          <w:snapToGrid/>
          <w:color w:val="auto"/>
          <w:spacing w:val="0"/>
          <w:w w:val="100"/>
          <w:kern w:val="21"/>
          <w:position w:val="0"/>
          <w:sz w:val="24"/>
          <w:szCs w:val="24"/>
          <w:highlight w:val="none"/>
          <w:lang w:eastAsia="zh-CN"/>
        </w:rPr>
        <w:t>）</w:t>
      </w:r>
      <w:r>
        <w:rPr>
          <w:rFonts w:hint="default" w:ascii="Times New Roman" w:hAnsi="Times New Roman" w:eastAsia="宋体" w:cs="Times New Roman"/>
          <w:caps w:val="0"/>
          <w:snapToGrid/>
          <w:color w:val="auto"/>
          <w:spacing w:val="0"/>
          <w:w w:val="100"/>
          <w:kern w:val="21"/>
          <w:position w:val="0"/>
          <w:sz w:val="24"/>
          <w:szCs w:val="24"/>
          <w:highlight w:val="none"/>
        </w:rPr>
        <w:t>环境风险</w:t>
      </w:r>
    </w:p>
    <w:p w14:paraId="683074D4">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rPr>
      </w:pPr>
      <w:r>
        <w:rPr>
          <w:rFonts w:hint="default" w:ascii="Times New Roman" w:hAnsi="Times New Roman" w:eastAsia="宋体" w:cs="Times New Roman"/>
          <w:caps w:val="0"/>
          <w:snapToGrid/>
          <w:color w:val="auto"/>
          <w:spacing w:val="0"/>
          <w:w w:val="100"/>
          <w:kern w:val="21"/>
          <w:position w:val="0"/>
          <w:highlight w:val="none"/>
        </w:rPr>
        <w:t>本项目环境风险评价工作等级为简单分析，</w:t>
      </w:r>
      <w:r>
        <w:rPr>
          <w:rFonts w:hint="default" w:ascii="Times New Roman" w:hAnsi="Times New Roman" w:eastAsia="宋体" w:cs="Times New Roman"/>
          <w:caps w:val="0"/>
          <w:snapToGrid/>
          <w:color w:val="auto"/>
          <w:spacing w:val="0"/>
          <w:w w:val="100"/>
          <w:kern w:val="21"/>
          <w:position w:val="0"/>
          <w:sz w:val="24"/>
          <w:szCs w:val="24"/>
          <w:highlight w:val="none"/>
        </w:rPr>
        <w:t>根据《建设项目环境风险评价技术导则》</w:t>
      </w:r>
      <w:r>
        <w:rPr>
          <w:rFonts w:hint="eastAsia" w:cs="Times New Roman"/>
          <w:caps w:val="0"/>
          <w:snapToGrid/>
          <w:color w:val="auto"/>
          <w:spacing w:val="0"/>
          <w:w w:val="100"/>
          <w:kern w:val="21"/>
          <w:position w:val="0"/>
          <w:sz w:val="24"/>
          <w:szCs w:val="24"/>
          <w:highlight w:val="none"/>
          <w:lang w:eastAsia="zh-CN"/>
        </w:rPr>
        <w:t>（</w:t>
      </w:r>
      <w:r>
        <w:rPr>
          <w:rFonts w:hint="default" w:ascii="Times New Roman" w:hAnsi="Times New Roman" w:eastAsia="宋体" w:cs="Times New Roman"/>
          <w:caps w:val="0"/>
          <w:snapToGrid/>
          <w:color w:val="auto"/>
          <w:spacing w:val="0"/>
          <w:w w:val="100"/>
          <w:kern w:val="21"/>
          <w:position w:val="0"/>
          <w:sz w:val="24"/>
          <w:szCs w:val="24"/>
          <w:highlight w:val="none"/>
        </w:rPr>
        <w:t>HJ169-2018</w:t>
      </w:r>
      <w:r>
        <w:rPr>
          <w:rFonts w:hint="eastAsia" w:cs="Times New Roman"/>
          <w:caps w:val="0"/>
          <w:snapToGrid/>
          <w:color w:val="auto"/>
          <w:spacing w:val="0"/>
          <w:w w:val="100"/>
          <w:kern w:val="21"/>
          <w:position w:val="0"/>
          <w:sz w:val="24"/>
          <w:szCs w:val="24"/>
          <w:highlight w:val="none"/>
          <w:lang w:eastAsia="zh-CN"/>
        </w:rPr>
        <w:t>）</w:t>
      </w:r>
      <w:r>
        <w:rPr>
          <w:rFonts w:hint="default" w:ascii="Times New Roman" w:hAnsi="Times New Roman" w:eastAsia="宋体" w:cs="Times New Roman"/>
          <w:caps w:val="0"/>
          <w:snapToGrid/>
          <w:color w:val="auto"/>
          <w:spacing w:val="0"/>
          <w:w w:val="100"/>
          <w:kern w:val="21"/>
          <w:position w:val="0"/>
          <w:sz w:val="24"/>
          <w:szCs w:val="24"/>
          <w:highlight w:val="none"/>
        </w:rPr>
        <w:t>，评价等级为简单分析时，可不设评价范围。</w:t>
      </w:r>
    </w:p>
    <w:p w14:paraId="7CD7A945">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rPr>
      </w:pPr>
      <w:r>
        <w:rPr>
          <w:rFonts w:hint="eastAsia"/>
          <w:color w:val="auto"/>
          <w:spacing w:val="0"/>
          <w:w w:val="100"/>
          <w:position w:val="0"/>
          <w:highlight w:val="none"/>
          <w:lang w:val="en-US" w:eastAsia="zh-CN"/>
        </w:rPr>
        <w:t>本项目评价范围图见图2.4.1-1，</w:t>
      </w:r>
      <w:r>
        <w:rPr>
          <w:rFonts w:hint="default"/>
          <w:color w:val="auto"/>
          <w:spacing w:val="0"/>
          <w:w w:val="100"/>
          <w:position w:val="0"/>
          <w:highlight w:val="none"/>
        </w:rPr>
        <w:t>评价工作等级及评价范围一览表</w:t>
      </w:r>
      <w:r>
        <w:rPr>
          <w:rFonts w:hint="eastAsia"/>
          <w:color w:val="auto"/>
          <w:spacing w:val="0"/>
          <w:w w:val="100"/>
          <w:position w:val="0"/>
          <w:highlight w:val="none"/>
          <w:lang w:val="en-US" w:eastAsia="zh-CN"/>
        </w:rPr>
        <w:t>见表2.4.1-1。</w:t>
      </w:r>
    </w:p>
    <w:p w14:paraId="01696786">
      <w:pPr>
        <w:pStyle w:val="3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r>
        <w:rPr>
          <w:rFonts w:hint="default"/>
          <w:color w:val="auto"/>
          <w:spacing w:val="0"/>
          <w:w w:val="100"/>
          <w:position w:val="0"/>
          <w:highlight w:val="none"/>
        </w:rPr>
        <w:t>表</w:t>
      </w:r>
      <w:r>
        <w:rPr>
          <w:rFonts w:hint="eastAsia"/>
          <w:color w:val="auto"/>
          <w:spacing w:val="0"/>
          <w:w w:val="100"/>
          <w:position w:val="0"/>
          <w:highlight w:val="none"/>
          <w:lang w:val="en-US" w:eastAsia="zh-CN"/>
        </w:rPr>
        <w:t xml:space="preserve">2.4.1-1  </w:t>
      </w:r>
      <w:r>
        <w:rPr>
          <w:rFonts w:hint="default"/>
          <w:color w:val="auto"/>
          <w:spacing w:val="0"/>
          <w:w w:val="100"/>
          <w:position w:val="0"/>
          <w:highlight w:val="none"/>
        </w:rPr>
        <w:t>评价工作等级及评价范围一览表</w:t>
      </w:r>
    </w:p>
    <w:tbl>
      <w:tblPr>
        <w:tblStyle w:val="25"/>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95"/>
        <w:gridCol w:w="2126"/>
        <w:gridCol w:w="1985"/>
        <w:gridCol w:w="1191"/>
        <w:gridCol w:w="2408"/>
      </w:tblGrid>
      <w:tr w14:paraId="5117F4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5" w:type="dxa"/>
            <w:tcBorders>
              <w:tl2br w:val="nil"/>
              <w:tr2bl w:val="nil"/>
            </w:tcBorders>
            <w:vAlign w:val="center"/>
          </w:tcPr>
          <w:p w14:paraId="283B2DE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项目</w:t>
            </w:r>
          </w:p>
        </w:tc>
        <w:tc>
          <w:tcPr>
            <w:tcW w:w="4111" w:type="dxa"/>
            <w:gridSpan w:val="2"/>
            <w:tcBorders>
              <w:tl2br w:val="nil"/>
              <w:tr2bl w:val="nil"/>
            </w:tcBorders>
            <w:vAlign w:val="center"/>
          </w:tcPr>
          <w:p w14:paraId="5221922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判  据</w:t>
            </w:r>
          </w:p>
        </w:tc>
        <w:tc>
          <w:tcPr>
            <w:tcW w:w="1191" w:type="dxa"/>
            <w:tcBorders>
              <w:tl2br w:val="nil"/>
              <w:tr2bl w:val="nil"/>
            </w:tcBorders>
            <w:vAlign w:val="center"/>
          </w:tcPr>
          <w:p w14:paraId="19760DC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评价等级</w:t>
            </w:r>
          </w:p>
        </w:tc>
        <w:tc>
          <w:tcPr>
            <w:tcW w:w="2408" w:type="dxa"/>
            <w:tcBorders>
              <w:tl2br w:val="nil"/>
              <w:tr2bl w:val="nil"/>
            </w:tcBorders>
            <w:vAlign w:val="center"/>
          </w:tcPr>
          <w:p w14:paraId="4935346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评价范围</w:t>
            </w:r>
          </w:p>
        </w:tc>
      </w:tr>
      <w:tr w14:paraId="60FD19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5" w:type="dxa"/>
            <w:tcBorders>
              <w:tl2br w:val="nil"/>
              <w:tr2bl w:val="nil"/>
            </w:tcBorders>
            <w:vAlign w:val="center"/>
          </w:tcPr>
          <w:p w14:paraId="6AE4C9D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环境空气</w:t>
            </w:r>
          </w:p>
        </w:tc>
        <w:tc>
          <w:tcPr>
            <w:tcW w:w="4111" w:type="dxa"/>
            <w:gridSpan w:val="2"/>
            <w:tcBorders>
              <w:tl2br w:val="nil"/>
              <w:tr2bl w:val="nil"/>
            </w:tcBorders>
            <w:vAlign w:val="center"/>
          </w:tcPr>
          <w:p w14:paraId="23179C5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ascii="Times New Roman" w:hAnsi="Times New Roman" w:eastAsia="宋体"/>
                <w:color w:val="auto"/>
                <w:spacing w:val="0"/>
                <w:w w:val="100"/>
                <w:position w:val="0"/>
                <w:highlight w:val="none"/>
              </w:rPr>
              <w:t>经预测计算，最大占标率Pmax=</w:t>
            </w:r>
            <w:r>
              <w:rPr>
                <w:rFonts w:hint="eastAsia" w:ascii="Times New Roman" w:hAnsi="Times New Roman" w:eastAsia="宋体"/>
                <w:color w:val="auto"/>
                <w:spacing w:val="0"/>
                <w:w w:val="100"/>
                <w:position w:val="0"/>
                <w:highlight w:val="none"/>
                <w:lang w:val="en-US" w:eastAsia="zh-CN"/>
              </w:rPr>
              <w:t>8.86</w:t>
            </w:r>
            <w:r>
              <w:rPr>
                <w:rFonts w:hint="default" w:ascii="Times New Roman" w:hAnsi="Times New Roman" w:eastAsia="宋体"/>
                <w:color w:val="auto"/>
                <w:spacing w:val="0"/>
                <w:w w:val="100"/>
                <w:position w:val="0"/>
                <w:highlight w:val="none"/>
              </w:rPr>
              <w:t>%</w:t>
            </w:r>
            <w:r>
              <w:rPr>
                <w:rFonts w:hint="eastAsia" w:ascii="Times New Roman" w:hAnsi="Times New Roman" w:eastAsia="宋体"/>
                <w:color w:val="auto"/>
                <w:spacing w:val="0"/>
                <w:w w:val="100"/>
                <w:position w:val="0"/>
                <w:highlight w:val="none"/>
                <w:lang w:eastAsia="zh"/>
              </w:rPr>
              <w:t>&lt;</w:t>
            </w:r>
            <w:r>
              <w:rPr>
                <w:rFonts w:hint="default" w:ascii="Times New Roman" w:hAnsi="Times New Roman" w:eastAsia="宋体"/>
                <w:color w:val="auto"/>
                <w:spacing w:val="0"/>
                <w:w w:val="100"/>
                <w:position w:val="0"/>
                <w:highlight w:val="none"/>
              </w:rPr>
              <w:t>10%，</w:t>
            </w:r>
          </w:p>
        </w:tc>
        <w:tc>
          <w:tcPr>
            <w:tcW w:w="1191" w:type="dxa"/>
            <w:tcBorders>
              <w:tl2br w:val="nil"/>
              <w:tr2bl w:val="nil"/>
            </w:tcBorders>
            <w:vAlign w:val="center"/>
          </w:tcPr>
          <w:p w14:paraId="5A22835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eastAsia" w:eastAsia="宋体"/>
                <w:color w:val="auto"/>
                <w:spacing w:val="0"/>
                <w:w w:val="100"/>
                <w:position w:val="0"/>
                <w:highlight w:val="none"/>
                <w:lang w:eastAsia="zh"/>
              </w:rPr>
            </w:pPr>
            <w:r>
              <w:rPr>
                <w:rFonts w:hint="eastAsia"/>
                <w:color w:val="auto"/>
                <w:spacing w:val="0"/>
                <w:w w:val="100"/>
                <w:position w:val="0"/>
                <w:highlight w:val="none"/>
                <w:lang w:val="en-US" w:eastAsia="zh-CN"/>
              </w:rPr>
              <w:t>二</w:t>
            </w:r>
            <w:r>
              <w:rPr>
                <w:rFonts w:hint="eastAsia"/>
                <w:color w:val="auto"/>
                <w:spacing w:val="0"/>
                <w:w w:val="100"/>
                <w:position w:val="0"/>
                <w:highlight w:val="none"/>
                <w:lang w:eastAsia="zh"/>
              </w:rPr>
              <w:t>级</w:t>
            </w:r>
          </w:p>
        </w:tc>
        <w:tc>
          <w:tcPr>
            <w:tcW w:w="2408" w:type="dxa"/>
            <w:tcBorders>
              <w:tl2br w:val="nil"/>
              <w:tr2bl w:val="nil"/>
            </w:tcBorders>
            <w:vAlign w:val="center"/>
          </w:tcPr>
          <w:p w14:paraId="0599499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以厂址为中心区域，边长为5km的范围</w:t>
            </w:r>
          </w:p>
        </w:tc>
      </w:tr>
      <w:tr w14:paraId="404CE1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5" w:type="dxa"/>
            <w:tcBorders>
              <w:tl2br w:val="nil"/>
              <w:tr2bl w:val="nil"/>
            </w:tcBorders>
            <w:vAlign w:val="center"/>
          </w:tcPr>
          <w:p w14:paraId="6D6D6D2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地表水</w:t>
            </w:r>
          </w:p>
        </w:tc>
        <w:tc>
          <w:tcPr>
            <w:tcW w:w="2126" w:type="dxa"/>
            <w:tcBorders>
              <w:tl2br w:val="nil"/>
              <w:tr2bl w:val="nil"/>
            </w:tcBorders>
            <w:vAlign w:val="center"/>
          </w:tcPr>
          <w:p w14:paraId="47383F0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排放方式</w:t>
            </w:r>
          </w:p>
        </w:tc>
        <w:tc>
          <w:tcPr>
            <w:tcW w:w="1985" w:type="dxa"/>
            <w:tcBorders>
              <w:tl2br w:val="nil"/>
              <w:tr2bl w:val="nil"/>
            </w:tcBorders>
            <w:vAlign w:val="center"/>
          </w:tcPr>
          <w:p w14:paraId="7FE2D8E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间接排放</w:t>
            </w:r>
          </w:p>
        </w:tc>
        <w:tc>
          <w:tcPr>
            <w:tcW w:w="1191" w:type="dxa"/>
            <w:tcBorders>
              <w:tl2br w:val="nil"/>
              <w:tr2bl w:val="nil"/>
            </w:tcBorders>
            <w:vAlign w:val="center"/>
          </w:tcPr>
          <w:p w14:paraId="3600E89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三级B</w:t>
            </w:r>
          </w:p>
        </w:tc>
        <w:tc>
          <w:tcPr>
            <w:tcW w:w="2408" w:type="dxa"/>
            <w:tcBorders>
              <w:tl2br w:val="nil"/>
              <w:tr2bl w:val="nil"/>
            </w:tcBorders>
            <w:vAlign w:val="center"/>
          </w:tcPr>
          <w:p w14:paraId="79E536F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w:t>
            </w:r>
          </w:p>
        </w:tc>
      </w:tr>
      <w:tr w14:paraId="592661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5" w:type="dxa"/>
            <w:vMerge w:val="restart"/>
            <w:tcBorders>
              <w:tl2br w:val="nil"/>
              <w:tr2bl w:val="nil"/>
            </w:tcBorders>
            <w:vAlign w:val="center"/>
          </w:tcPr>
          <w:p w14:paraId="43ABE7B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地下水</w:t>
            </w:r>
          </w:p>
        </w:tc>
        <w:tc>
          <w:tcPr>
            <w:tcW w:w="2126" w:type="dxa"/>
            <w:tcBorders>
              <w:tl2br w:val="nil"/>
              <w:tr2bl w:val="nil"/>
            </w:tcBorders>
            <w:vAlign w:val="center"/>
          </w:tcPr>
          <w:p w14:paraId="1E83F71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项目类别</w:t>
            </w:r>
          </w:p>
        </w:tc>
        <w:tc>
          <w:tcPr>
            <w:tcW w:w="1985" w:type="dxa"/>
            <w:tcBorders>
              <w:tl2br w:val="nil"/>
              <w:tr2bl w:val="nil"/>
            </w:tcBorders>
            <w:vAlign w:val="center"/>
          </w:tcPr>
          <w:p w14:paraId="19DBFCB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eastAsia" w:ascii="宋体" w:hAnsi="宋体" w:eastAsia="宋体" w:cs="宋体"/>
                <w:color w:val="auto"/>
                <w:spacing w:val="0"/>
                <w:w w:val="100"/>
                <w:position w:val="0"/>
                <w:highlight w:val="none"/>
              </w:rPr>
              <w:t>Ⅲ</w:t>
            </w:r>
            <w:r>
              <w:rPr>
                <w:rFonts w:hint="default"/>
                <w:color w:val="auto"/>
                <w:spacing w:val="0"/>
                <w:w w:val="100"/>
                <w:position w:val="0"/>
                <w:highlight w:val="none"/>
              </w:rPr>
              <w:t>类</w:t>
            </w:r>
          </w:p>
        </w:tc>
        <w:tc>
          <w:tcPr>
            <w:tcW w:w="1191" w:type="dxa"/>
            <w:vMerge w:val="restart"/>
            <w:tcBorders>
              <w:tl2br w:val="nil"/>
              <w:tr2bl w:val="nil"/>
            </w:tcBorders>
            <w:vAlign w:val="center"/>
          </w:tcPr>
          <w:p w14:paraId="4C0DC6D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三级</w:t>
            </w:r>
          </w:p>
        </w:tc>
        <w:tc>
          <w:tcPr>
            <w:tcW w:w="2408" w:type="dxa"/>
            <w:vMerge w:val="restart"/>
            <w:tcBorders>
              <w:tl2br w:val="nil"/>
              <w:tr2bl w:val="nil"/>
            </w:tcBorders>
            <w:vAlign w:val="center"/>
          </w:tcPr>
          <w:p w14:paraId="73046D7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项目周围约6km</w:t>
            </w:r>
            <w:r>
              <w:rPr>
                <w:rFonts w:hint="default"/>
                <w:color w:val="auto"/>
                <w:spacing w:val="0"/>
                <w:w w:val="100"/>
                <w:position w:val="0"/>
                <w:highlight w:val="none"/>
                <w:vertAlign w:val="superscript"/>
              </w:rPr>
              <w:t>2</w:t>
            </w:r>
          </w:p>
        </w:tc>
      </w:tr>
      <w:tr w14:paraId="792157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5" w:type="dxa"/>
            <w:vMerge w:val="continue"/>
            <w:tcBorders>
              <w:tl2br w:val="nil"/>
              <w:tr2bl w:val="nil"/>
            </w:tcBorders>
            <w:vAlign w:val="center"/>
          </w:tcPr>
          <w:p w14:paraId="6AEF447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2126" w:type="dxa"/>
            <w:tcBorders>
              <w:tl2br w:val="nil"/>
              <w:tr2bl w:val="nil"/>
            </w:tcBorders>
            <w:vAlign w:val="center"/>
          </w:tcPr>
          <w:p w14:paraId="114016A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地下水环境敏感程度</w:t>
            </w:r>
          </w:p>
        </w:tc>
        <w:tc>
          <w:tcPr>
            <w:tcW w:w="1985" w:type="dxa"/>
            <w:tcBorders>
              <w:tl2br w:val="nil"/>
              <w:tr2bl w:val="nil"/>
            </w:tcBorders>
            <w:vAlign w:val="center"/>
          </w:tcPr>
          <w:p w14:paraId="266F39F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不敏感</w:t>
            </w:r>
          </w:p>
        </w:tc>
        <w:tc>
          <w:tcPr>
            <w:tcW w:w="1191" w:type="dxa"/>
            <w:vMerge w:val="continue"/>
            <w:tcBorders>
              <w:tl2br w:val="nil"/>
              <w:tr2bl w:val="nil"/>
            </w:tcBorders>
            <w:vAlign w:val="center"/>
          </w:tcPr>
          <w:p w14:paraId="2B2C2CF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2408" w:type="dxa"/>
            <w:vMerge w:val="continue"/>
            <w:tcBorders>
              <w:tl2br w:val="nil"/>
              <w:tr2bl w:val="nil"/>
            </w:tcBorders>
            <w:vAlign w:val="center"/>
          </w:tcPr>
          <w:p w14:paraId="1AABA02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r>
      <w:tr w14:paraId="4338E7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5" w:type="dxa"/>
            <w:vMerge w:val="restart"/>
            <w:tcBorders>
              <w:tl2br w:val="nil"/>
              <w:tr2bl w:val="nil"/>
            </w:tcBorders>
            <w:vAlign w:val="center"/>
          </w:tcPr>
          <w:p w14:paraId="3491FC7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声环境</w:t>
            </w:r>
          </w:p>
        </w:tc>
        <w:tc>
          <w:tcPr>
            <w:tcW w:w="2126" w:type="dxa"/>
            <w:tcBorders>
              <w:tl2br w:val="nil"/>
              <w:tr2bl w:val="nil"/>
            </w:tcBorders>
            <w:vAlign w:val="center"/>
          </w:tcPr>
          <w:p w14:paraId="06E6ABF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受影响人口数量变化</w:t>
            </w:r>
          </w:p>
        </w:tc>
        <w:tc>
          <w:tcPr>
            <w:tcW w:w="1985" w:type="dxa"/>
            <w:tcBorders>
              <w:tl2br w:val="nil"/>
              <w:tr2bl w:val="nil"/>
            </w:tcBorders>
            <w:vAlign w:val="center"/>
          </w:tcPr>
          <w:p w14:paraId="7DC2082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不大</w:t>
            </w:r>
          </w:p>
        </w:tc>
        <w:tc>
          <w:tcPr>
            <w:tcW w:w="1191" w:type="dxa"/>
            <w:vMerge w:val="restart"/>
            <w:tcBorders>
              <w:tl2br w:val="nil"/>
              <w:tr2bl w:val="nil"/>
            </w:tcBorders>
            <w:vAlign w:val="center"/>
          </w:tcPr>
          <w:p w14:paraId="73E6FFF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三级</w:t>
            </w:r>
          </w:p>
        </w:tc>
        <w:tc>
          <w:tcPr>
            <w:tcW w:w="2408" w:type="dxa"/>
            <w:vMerge w:val="restart"/>
            <w:tcBorders>
              <w:tl2br w:val="nil"/>
              <w:tr2bl w:val="nil"/>
            </w:tcBorders>
            <w:vAlign w:val="center"/>
          </w:tcPr>
          <w:p w14:paraId="03E605B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厂界外200m</w:t>
            </w:r>
          </w:p>
        </w:tc>
      </w:tr>
      <w:tr w14:paraId="3F130A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5" w:type="dxa"/>
            <w:vMerge w:val="continue"/>
            <w:tcBorders>
              <w:tl2br w:val="nil"/>
              <w:tr2bl w:val="nil"/>
            </w:tcBorders>
            <w:vAlign w:val="center"/>
          </w:tcPr>
          <w:p w14:paraId="7B43E49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2126" w:type="dxa"/>
            <w:tcBorders>
              <w:tl2br w:val="nil"/>
              <w:tr2bl w:val="nil"/>
            </w:tcBorders>
            <w:vAlign w:val="center"/>
          </w:tcPr>
          <w:p w14:paraId="2408007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区域声环境敏感程度</w:t>
            </w:r>
          </w:p>
        </w:tc>
        <w:tc>
          <w:tcPr>
            <w:tcW w:w="1985" w:type="dxa"/>
            <w:tcBorders>
              <w:tl2br w:val="nil"/>
              <w:tr2bl w:val="nil"/>
            </w:tcBorders>
            <w:vAlign w:val="center"/>
          </w:tcPr>
          <w:p w14:paraId="54B8F7E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3类区</w:t>
            </w:r>
          </w:p>
        </w:tc>
        <w:tc>
          <w:tcPr>
            <w:tcW w:w="1191" w:type="dxa"/>
            <w:vMerge w:val="continue"/>
            <w:tcBorders>
              <w:tl2br w:val="nil"/>
              <w:tr2bl w:val="nil"/>
            </w:tcBorders>
            <w:vAlign w:val="center"/>
          </w:tcPr>
          <w:p w14:paraId="3E61CA6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2408" w:type="dxa"/>
            <w:vMerge w:val="continue"/>
            <w:tcBorders>
              <w:tl2br w:val="nil"/>
              <w:tr2bl w:val="nil"/>
            </w:tcBorders>
            <w:vAlign w:val="center"/>
          </w:tcPr>
          <w:p w14:paraId="798E58A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r>
      <w:tr w14:paraId="63E3F4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5" w:type="dxa"/>
            <w:tcBorders>
              <w:tl2br w:val="nil"/>
              <w:tr2bl w:val="nil"/>
            </w:tcBorders>
            <w:vAlign w:val="center"/>
          </w:tcPr>
          <w:p w14:paraId="2F54B6D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环境风险</w:t>
            </w:r>
          </w:p>
        </w:tc>
        <w:tc>
          <w:tcPr>
            <w:tcW w:w="2126" w:type="dxa"/>
            <w:tcBorders>
              <w:tl2br w:val="nil"/>
              <w:tr2bl w:val="nil"/>
            </w:tcBorders>
            <w:vAlign w:val="center"/>
          </w:tcPr>
          <w:p w14:paraId="589BBD7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环境风险潜势</w:t>
            </w:r>
          </w:p>
        </w:tc>
        <w:tc>
          <w:tcPr>
            <w:tcW w:w="1985" w:type="dxa"/>
            <w:tcBorders>
              <w:tl2br w:val="nil"/>
              <w:tr2bl w:val="nil"/>
            </w:tcBorders>
            <w:vAlign w:val="center"/>
          </w:tcPr>
          <w:p w14:paraId="69C3E54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Ⅰ</w:t>
            </w:r>
          </w:p>
        </w:tc>
        <w:tc>
          <w:tcPr>
            <w:tcW w:w="1191" w:type="dxa"/>
            <w:tcBorders>
              <w:tl2br w:val="nil"/>
              <w:tr2bl w:val="nil"/>
            </w:tcBorders>
            <w:vAlign w:val="center"/>
          </w:tcPr>
          <w:p w14:paraId="53F8433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简单分析</w:t>
            </w:r>
          </w:p>
        </w:tc>
        <w:tc>
          <w:tcPr>
            <w:tcW w:w="2408" w:type="dxa"/>
            <w:tcBorders>
              <w:tl2br w:val="nil"/>
              <w:tr2bl w:val="nil"/>
            </w:tcBorders>
            <w:vAlign w:val="center"/>
          </w:tcPr>
          <w:p w14:paraId="6ED88B1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w:t>
            </w:r>
          </w:p>
        </w:tc>
      </w:tr>
      <w:tr w14:paraId="196F56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5" w:type="dxa"/>
            <w:tcBorders>
              <w:tl2br w:val="nil"/>
              <w:tr2bl w:val="nil"/>
            </w:tcBorders>
            <w:vAlign w:val="center"/>
          </w:tcPr>
          <w:p w14:paraId="3FED508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土壤环境</w:t>
            </w:r>
          </w:p>
        </w:tc>
        <w:tc>
          <w:tcPr>
            <w:tcW w:w="2126" w:type="dxa"/>
            <w:tcBorders>
              <w:tl2br w:val="nil"/>
              <w:tr2bl w:val="nil"/>
            </w:tcBorders>
            <w:vAlign w:val="center"/>
          </w:tcPr>
          <w:p w14:paraId="5A59C56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项目类别</w:t>
            </w:r>
            <w:r>
              <w:rPr>
                <w:rFonts w:hint="eastAsia"/>
                <w:color w:val="auto"/>
                <w:spacing w:val="0"/>
                <w:w w:val="100"/>
                <w:position w:val="0"/>
                <w:highlight w:val="none"/>
                <w:lang w:val="en-US" w:eastAsia="zh-CN"/>
              </w:rPr>
              <w:t>涉及</w:t>
            </w:r>
            <w:r>
              <w:rPr>
                <w:rFonts w:hint="default"/>
                <w:color w:val="auto"/>
                <w:spacing w:val="0"/>
                <w:w w:val="100"/>
                <w:position w:val="0"/>
                <w:highlight w:val="none"/>
              </w:rPr>
              <w:t>为Ⅲ类</w:t>
            </w:r>
            <w:r>
              <w:rPr>
                <w:rFonts w:hint="eastAsia"/>
                <w:color w:val="auto"/>
                <w:spacing w:val="0"/>
                <w:w w:val="100"/>
                <w:position w:val="0"/>
                <w:highlight w:val="none"/>
                <w:lang w:val="en-US" w:eastAsia="zh-CN"/>
              </w:rPr>
              <w:t>和Ⅳ类</w:t>
            </w:r>
            <w:r>
              <w:rPr>
                <w:rFonts w:hint="default"/>
                <w:color w:val="auto"/>
                <w:spacing w:val="0"/>
                <w:w w:val="100"/>
                <w:position w:val="0"/>
                <w:highlight w:val="none"/>
              </w:rPr>
              <w:t>，敏感程度为不敏感</w:t>
            </w:r>
          </w:p>
        </w:tc>
        <w:tc>
          <w:tcPr>
            <w:tcW w:w="1985" w:type="dxa"/>
            <w:tcBorders>
              <w:tl2br w:val="nil"/>
              <w:tr2bl w:val="nil"/>
            </w:tcBorders>
            <w:vAlign w:val="center"/>
          </w:tcPr>
          <w:p w14:paraId="6E10045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占地规模为</w:t>
            </w:r>
            <w:r>
              <w:rPr>
                <w:rFonts w:hint="eastAsia"/>
                <w:color w:val="auto"/>
                <w:spacing w:val="0"/>
                <w:w w:val="100"/>
                <w:position w:val="0"/>
                <w:highlight w:val="none"/>
                <w:lang w:val="en-US" w:eastAsia="zh-CN"/>
              </w:rPr>
              <w:t>小</w:t>
            </w:r>
            <w:r>
              <w:rPr>
                <w:rFonts w:hint="default"/>
                <w:color w:val="auto"/>
                <w:spacing w:val="0"/>
                <w:w w:val="100"/>
                <w:position w:val="0"/>
                <w:highlight w:val="none"/>
              </w:rPr>
              <w:t>型</w:t>
            </w:r>
          </w:p>
        </w:tc>
        <w:tc>
          <w:tcPr>
            <w:tcW w:w="1191" w:type="dxa"/>
            <w:tcBorders>
              <w:tl2br w:val="nil"/>
              <w:tr2bl w:val="nil"/>
            </w:tcBorders>
            <w:vAlign w:val="center"/>
          </w:tcPr>
          <w:p w14:paraId="4C016F2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eastAsia" w:eastAsia="宋体"/>
                <w:color w:val="auto"/>
                <w:spacing w:val="0"/>
                <w:w w:val="100"/>
                <w:position w:val="0"/>
                <w:highlight w:val="none"/>
                <w:lang w:eastAsia="zh-CN"/>
              </w:rPr>
            </w:pPr>
            <w:r>
              <w:rPr>
                <w:rFonts w:hint="eastAsia"/>
                <w:color w:val="auto"/>
                <w:spacing w:val="0"/>
                <w:w w:val="100"/>
                <w:position w:val="0"/>
                <w:highlight w:val="none"/>
                <w:lang w:val="en-US" w:eastAsia="zh-CN"/>
              </w:rPr>
              <w:t>可不开展土壤环境影响评价工作</w:t>
            </w:r>
          </w:p>
        </w:tc>
        <w:tc>
          <w:tcPr>
            <w:tcW w:w="2408" w:type="dxa"/>
            <w:tcBorders>
              <w:tl2br w:val="nil"/>
              <w:tr2bl w:val="nil"/>
            </w:tcBorders>
            <w:vAlign w:val="center"/>
          </w:tcPr>
          <w:p w14:paraId="183B981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w:t>
            </w:r>
          </w:p>
        </w:tc>
      </w:tr>
      <w:tr w14:paraId="557F36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95" w:type="dxa"/>
            <w:tcBorders>
              <w:tl2br w:val="nil"/>
              <w:tr2bl w:val="nil"/>
            </w:tcBorders>
            <w:vAlign w:val="center"/>
          </w:tcPr>
          <w:p w14:paraId="2AB8255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rPr>
                <w:rFonts w:hint="eastAsia" w:eastAsia="宋体"/>
                <w:color w:val="auto"/>
                <w:spacing w:val="0"/>
                <w:w w:val="100"/>
                <w:position w:val="0"/>
                <w:highlight w:val="none"/>
                <w:lang w:eastAsia="zh"/>
              </w:rPr>
            </w:pPr>
            <w:bookmarkStart w:id="150" w:name="_Toc30084"/>
            <w:bookmarkStart w:id="151" w:name="_Toc17545"/>
            <w:bookmarkStart w:id="152" w:name="_Toc1437"/>
            <w:bookmarkStart w:id="153" w:name="_Toc16992"/>
            <w:bookmarkStart w:id="154" w:name="_Toc25700"/>
            <w:bookmarkStart w:id="155" w:name="_Toc19793"/>
            <w:bookmarkStart w:id="156" w:name="_Toc24391"/>
            <w:bookmarkStart w:id="157" w:name="_Toc32653"/>
            <w:bookmarkStart w:id="158" w:name="_Toc6067634"/>
            <w:bookmarkStart w:id="159" w:name="_Toc8771"/>
            <w:r>
              <w:rPr>
                <w:rFonts w:hint="eastAsia"/>
                <w:color w:val="auto"/>
                <w:spacing w:val="0"/>
                <w:w w:val="100"/>
                <w:position w:val="0"/>
                <w:highlight w:val="none"/>
                <w:lang w:eastAsia="zh"/>
              </w:rPr>
              <w:t>生态环境</w:t>
            </w:r>
          </w:p>
        </w:tc>
        <w:tc>
          <w:tcPr>
            <w:tcW w:w="4111" w:type="dxa"/>
            <w:gridSpan w:val="2"/>
            <w:tcBorders>
              <w:tl2br w:val="nil"/>
              <w:tr2bl w:val="nil"/>
            </w:tcBorders>
            <w:vAlign w:val="center"/>
          </w:tcPr>
          <w:p w14:paraId="3D2865D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rPr>
                <w:rFonts w:hint="default"/>
                <w:color w:val="auto"/>
                <w:spacing w:val="0"/>
                <w:w w:val="100"/>
                <w:position w:val="0"/>
                <w:highlight w:val="none"/>
              </w:rPr>
            </w:pPr>
            <w:r>
              <w:rPr>
                <w:rFonts w:hint="eastAsia"/>
                <w:color w:val="auto"/>
                <w:spacing w:val="0"/>
                <w:w w:val="100"/>
                <w:position w:val="0"/>
                <w:highlight w:val="none"/>
              </w:rPr>
              <w:t>位于已批准规划环评的产业园区内且符合规划环评要求、不涉及生态敏感区的污染影响类建设项目</w:t>
            </w:r>
          </w:p>
        </w:tc>
        <w:tc>
          <w:tcPr>
            <w:tcW w:w="1191" w:type="dxa"/>
            <w:tcBorders>
              <w:tl2br w:val="nil"/>
              <w:tr2bl w:val="nil"/>
            </w:tcBorders>
            <w:vAlign w:val="center"/>
          </w:tcPr>
          <w:p w14:paraId="40B3D5A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rPr>
                <w:rFonts w:hint="eastAsia" w:eastAsia="宋体"/>
                <w:color w:val="auto"/>
                <w:spacing w:val="0"/>
                <w:w w:val="100"/>
                <w:position w:val="0"/>
                <w:highlight w:val="none"/>
                <w:lang w:eastAsia="zh"/>
              </w:rPr>
            </w:pPr>
            <w:r>
              <w:rPr>
                <w:rFonts w:hint="eastAsia"/>
                <w:color w:val="auto"/>
                <w:spacing w:val="0"/>
                <w:w w:val="100"/>
                <w:position w:val="0"/>
                <w:highlight w:val="none"/>
                <w:lang w:eastAsia="zh"/>
              </w:rPr>
              <w:t>简要评价</w:t>
            </w:r>
          </w:p>
        </w:tc>
        <w:tc>
          <w:tcPr>
            <w:tcW w:w="2408" w:type="dxa"/>
            <w:tcBorders>
              <w:tl2br w:val="nil"/>
              <w:tr2bl w:val="nil"/>
            </w:tcBorders>
            <w:vAlign w:val="center"/>
          </w:tcPr>
          <w:p w14:paraId="5896B8B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rPr>
                <w:rFonts w:hint="default"/>
                <w:color w:val="auto"/>
                <w:spacing w:val="0"/>
                <w:w w:val="100"/>
                <w:position w:val="0"/>
                <w:highlight w:val="none"/>
              </w:rPr>
            </w:pPr>
            <w:r>
              <w:rPr>
                <w:rFonts w:hint="default"/>
                <w:color w:val="auto"/>
                <w:spacing w:val="0"/>
                <w:w w:val="100"/>
                <w:position w:val="0"/>
                <w:highlight w:val="none"/>
              </w:rPr>
              <w:t>——</w:t>
            </w:r>
          </w:p>
        </w:tc>
      </w:tr>
    </w:tbl>
    <w:p w14:paraId="0F405AC2">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2.4.2环境敏感目标调查</w:t>
      </w:r>
      <w:bookmarkEnd w:id="150"/>
      <w:bookmarkEnd w:id="151"/>
      <w:bookmarkEnd w:id="152"/>
      <w:bookmarkEnd w:id="153"/>
      <w:bookmarkEnd w:id="154"/>
      <w:bookmarkEnd w:id="155"/>
      <w:bookmarkEnd w:id="156"/>
      <w:bookmarkEnd w:id="157"/>
      <w:bookmarkEnd w:id="158"/>
      <w:bookmarkEnd w:id="159"/>
    </w:p>
    <w:p w14:paraId="52919700">
      <w:pPr>
        <w:keepNext w:val="0"/>
        <w:keepLines w:val="0"/>
        <w:pageBreakBefore w:val="0"/>
        <w:widowControl w:val="0"/>
        <w:numPr>
          <w:ilvl w:val="0"/>
          <w:numId w:val="0"/>
        </w:numPr>
        <w:kinsoku/>
        <w:wordWrap/>
        <w:overflowPunct/>
        <w:topLinePunct w:val="0"/>
        <w:autoSpaceDE/>
        <w:autoSpaceDN/>
        <w:bidi w:val="0"/>
        <w:adjustRightInd/>
        <w:snapToGrid/>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rPr>
      </w:pPr>
      <w:r>
        <w:rPr>
          <w:rFonts w:hint="default" w:ascii="Times New Roman" w:hAnsi="Times New Roman" w:eastAsia="宋体" w:cs="Times New Roman"/>
          <w:caps w:val="0"/>
          <w:snapToGrid/>
          <w:color w:val="auto"/>
          <w:spacing w:val="0"/>
          <w:w w:val="100"/>
          <w:kern w:val="21"/>
          <w:position w:val="0"/>
          <w:sz w:val="24"/>
          <w:szCs w:val="24"/>
          <w:highlight w:val="none"/>
        </w:rPr>
        <w:t>本项目厂址</w:t>
      </w:r>
      <w:r>
        <w:rPr>
          <w:rFonts w:hint="default" w:ascii="Times New Roman" w:hAnsi="Times New Roman" w:eastAsia="宋体" w:cs="Times New Roman"/>
          <w:caps w:val="0"/>
          <w:snapToGrid/>
          <w:color w:val="auto"/>
          <w:spacing w:val="0"/>
          <w:w w:val="100"/>
          <w:kern w:val="21"/>
          <w:position w:val="0"/>
          <w:sz w:val="24"/>
          <w:szCs w:val="24"/>
          <w:highlight w:val="none"/>
          <w:lang w:eastAsia="zh-CN"/>
        </w:rPr>
        <w:t>位于</w:t>
      </w:r>
      <w:r>
        <w:rPr>
          <w:rFonts w:hint="eastAsia" w:cs="Times New Roman"/>
          <w:caps w:val="0"/>
          <w:snapToGrid/>
          <w:color w:val="auto"/>
          <w:spacing w:val="0"/>
          <w:w w:val="100"/>
          <w:kern w:val="21"/>
          <w:position w:val="0"/>
          <w:sz w:val="24"/>
          <w:szCs w:val="24"/>
          <w:highlight w:val="none"/>
          <w:lang w:eastAsia="zh-CN"/>
        </w:rPr>
        <w:t>甘泉堡工业园区中小微企业创新区</w:t>
      </w:r>
      <w:r>
        <w:rPr>
          <w:rFonts w:hint="default" w:ascii="Times New Roman" w:hAnsi="Times New Roman" w:eastAsia="宋体" w:cs="Times New Roman"/>
          <w:caps w:val="0"/>
          <w:snapToGrid/>
          <w:color w:val="auto"/>
          <w:spacing w:val="0"/>
          <w:w w:val="100"/>
          <w:kern w:val="21"/>
          <w:position w:val="0"/>
          <w:sz w:val="24"/>
          <w:szCs w:val="24"/>
          <w:highlight w:val="none"/>
        </w:rPr>
        <w:t>。根据现场调查，评价</w:t>
      </w:r>
      <w:r>
        <w:rPr>
          <w:rFonts w:hint="default" w:ascii="Times New Roman" w:hAnsi="Times New Roman" w:eastAsia="宋体" w:cs="Times New Roman"/>
          <w:caps w:val="0"/>
          <w:snapToGrid/>
          <w:color w:val="auto"/>
          <w:spacing w:val="0"/>
          <w:w w:val="100"/>
          <w:kern w:val="21"/>
          <w:position w:val="0"/>
          <w:sz w:val="24"/>
          <w:szCs w:val="24"/>
          <w:highlight w:val="none"/>
          <w:lang w:eastAsia="zh-CN"/>
        </w:rPr>
        <w:t>范围内</w:t>
      </w:r>
      <w:r>
        <w:rPr>
          <w:rFonts w:hint="default" w:ascii="Times New Roman" w:hAnsi="Times New Roman" w:eastAsia="宋体" w:cs="Times New Roman"/>
          <w:caps w:val="0"/>
          <w:snapToGrid/>
          <w:color w:val="auto"/>
          <w:spacing w:val="0"/>
          <w:w w:val="100"/>
          <w:kern w:val="21"/>
          <w:position w:val="0"/>
          <w:sz w:val="24"/>
          <w:szCs w:val="24"/>
          <w:highlight w:val="none"/>
        </w:rPr>
        <w:t>无自然保护区、风景名胜区、饮用水源地等需特殊保护区域。环境保护目标见表</w:t>
      </w:r>
      <w:r>
        <w:rPr>
          <w:rFonts w:hint="default" w:ascii="Times New Roman" w:hAnsi="Times New Roman" w:eastAsia="宋体" w:cs="Times New Roman"/>
          <w:caps w:val="0"/>
          <w:snapToGrid/>
          <w:color w:val="auto"/>
          <w:spacing w:val="0"/>
          <w:w w:val="100"/>
          <w:kern w:val="21"/>
          <w:position w:val="0"/>
          <w:sz w:val="24"/>
          <w:szCs w:val="24"/>
          <w:highlight w:val="none"/>
          <w:lang w:val="en-US" w:eastAsia="zh-CN"/>
        </w:rPr>
        <w:t>2.4</w:t>
      </w:r>
      <w:r>
        <w:rPr>
          <w:rFonts w:hint="eastAsia" w:cs="Times New Roman"/>
          <w:caps w:val="0"/>
          <w:snapToGrid/>
          <w:color w:val="auto"/>
          <w:spacing w:val="0"/>
          <w:w w:val="100"/>
          <w:kern w:val="21"/>
          <w:position w:val="0"/>
          <w:sz w:val="24"/>
          <w:szCs w:val="24"/>
          <w:highlight w:val="none"/>
          <w:lang w:val="en-US" w:eastAsia="zh-CN"/>
        </w:rPr>
        <w:t>.2</w:t>
      </w:r>
      <w:r>
        <w:rPr>
          <w:rFonts w:hint="default" w:ascii="Times New Roman" w:hAnsi="Times New Roman" w:eastAsia="宋体" w:cs="Times New Roman"/>
          <w:caps w:val="0"/>
          <w:snapToGrid/>
          <w:color w:val="auto"/>
          <w:spacing w:val="0"/>
          <w:w w:val="100"/>
          <w:kern w:val="21"/>
          <w:position w:val="0"/>
          <w:sz w:val="24"/>
          <w:szCs w:val="24"/>
          <w:highlight w:val="none"/>
          <w:lang w:val="en-US" w:eastAsia="zh-CN"/>
        </w:rPr>
        <w:t>-</w:t>
      </w:r>
      <w:r>
        <w:rPr>
          <w:rFonts w:hint="eastAsia" w:cs="Times New Roman"/>
          <w:caps w:val="0"/>
          <w:snapToGrid/>
          <w:color w:val="auto"/>
          <w:spacing w:val="0"/>
          <w:w w:val="100"/>
          <w:kern w:val="21"/>
          <w:position w:val="0"/>
          <w:sz w:val="24"/>
          <w:szCs w:val="24"/>
          <w:highlight w:val="none"/>
          <w:lang w:val="en-US" w:eastAsia="zh-CN"/>
        </w:rPr>
        <w:t>1</w:t>
      </w:r>
      <w:r>
        <w:rPr>
          <w:rFonts w:hint="default" w:ascii="Times New Roman" w:hAnsi="Times New Roman" w:eastAsia="宋体" w:cs="Times New Roman"/>
          <w:caps w:val="0"/>
          <w:snapToGrid/>
          <w:color w:val="auto"/>
          <w:spacing w:val="0"/>
          <w:w w:val="100"/>
          <w:kern w:val="21"/>
          <w:position w:val="0"/>
          <w:sz w:val="24"/>
          <w:szCs w:val="24"/>
          <w:highlight w:val="none"/>
        </w:rPr>
        <w:t>，环境保护目标分布见图</w:t>
      </w:r>
      <w:r>
        <w:rPr>
          <w:rFonts w:hint="default" w:ascii="Times New Roman" w:hAnsi="Times New Roman" w:eastAsia="宋体" w:cs="Times New Roman"/>
          <w:caps w:val="0"/>
          <w:snapToGrid/>
          <w:color w:val="auto"/>
          <w:spacing w:val="0"/>
          <w:w w:val="100"/>
          <w:kern w:val="21"/>
          <w:position w:val="0"/>
          <w:sz w:val="24"/>
          <w:szCs w:val="24"/>
          <w:highlight w:val="none"/>
          <w:lang w:val="en-US" w:eastAsia="zh-CN"/>
        </w:rPr>
        <w:t>2.4</w:t>
      </w:r>
      <w:r>
        <w:rPr>
          <w:rFonts w:hint="eastAsia" w:cs="Times New Roman"/>
          <w:caps w:val="0"/>
          <w:snapToGrid/>
          <w:color w:val="auto"/>
          <w:spacing w:val="0"/>
          <w:w w:val="100"/>
          <w:kern w:val="21"/>
          <w:position w:val="0"/>
          <w:sz w:val="24"/>
          <w:szCs w:val="24"/>
          <w:highlight w:val="none"/>
          <w:lang w:val="en-US" w:eastAsia="zh-CN"/>
        </w:rPr>
        <w:t>.1</w:t>
      </w:r>
      <w:r>
        <w:rPr>
          <w:rFonts w:hint="default" w:ascii="Times New Roman" w:hAnsi="Times New Roman" w:eastAsia="宋体" w:cs="Times New Roman"/>
          <w:caps w:val="0"/>
          <w:snapToGrid/>
          <w:color w:val="auto"/>
          <w:spacing w:val="0"/>
          <w:w w:val="100"/>
          <w:kern w:val="21"/>
          <w:position w:val="0"/>
          <w:sz w:val="24"/>
          <w:szCs w:val="24"/>
          <w:highlight w:val="none"/>
          <w:lang w:val="en-US" w:eastAsia="zh-CN"/>
        </w:rPr>
        <w:t>-</w:t>
      </w:r>
      <w:r>
        <w:rPr>
          <w:rFonts w:hint="eastAsia" w:cs="Times New Roman"/>
          <w:caps w:val="0"/>
          <w:snapToGrid/>
          <w:color w:val="auto"/>
          <w:spacing w:val="0"/>
          <w:w w:val="100"/>
          <w:kern w:val="21"/>
          <w:position w:val="0"/>
          <w:sz w:val="24"/>
          <w:szCs w:val="24"/>
          <w:highlight w:val="none"/>
          <w:lang w:val="en-US" w:eastAsia="zh-CN"/>
        </w:rPr>
        <w:t>1</w:t>
      </w:r>
      <w:r>
        <w:rPr>
          <w:rFonts w:hint="default" w:ascii="Times New Roman" w:hAnsi="Times New Roman" w:eastAsia="宋体" w:cs="Times New Roman"/>
          <w:caps w:val="0"/>
          <w:snapToGrid/>
          <w:color w:val="auto"/>
          <w:spacing w:val="0"/>
          <w:w w:val="100"/>
          <w:kern w:val="21"/>
          <w:position w:val="0"/>
          <w:sz w:val="24"/>
          <w:szCs w:val="24"/>
          <w:highlight w:val="none"/>
        </w:rPr>
        <w:t>。</w:t>
      </w:r>
    </w:p>
    <w:p w14:paraId="6A506AB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b/>
          <w:bCs/>
          <w:caps w:val="0"/>
          <w:snapToGrid/>
          <w:color w:val="auto"/>
          <w:spacing w:val="0"/>
          <w:w w:val="100"/>
          <w:kern w:val="21"/>
          <w:position w:val="0"/>
          <w:sz w:val="21"/>
          <w:highlight w:val="none"/>
        </w:rPr>
        <w:t>表2.4</w:t>
      </w:r>
      <w:r>
        <w:rPr>
          <w:rFonts w:hint="eastAsia" w:cs="Times New Roman"/>
          <w:b/>
          <w:bCs/>
          <w:caps w:val="0"/>
          <w:snapToGrid/>
          <w:color w:val="auto"/>
          <w:spacing w:val="0"/>
          <w:w w:val="100"/>
          <w:kern w:val="21"/>
          <w:position w:val="0"/>
          <w:sz w:val="21"/>
          <w:highlight w:val="none"/>
          <w:lang w:val="en-US" w:eastAsia="zh-CN"/>
        </w:rPr>
        <w:t>.2-1</w:t>
      </w:r>
      <w:r>
        <w:rPr>
          <w:rFonts w:hint="eastAsia" w:ascii="Times New Roman" w:hAnsi="Times New Roman" w:eastAsia="宋体" w:cs="Times New Roman"/>
          <w:b/>
          <w:bCs/>
          <w:caps w:val="0"/>
          <w:snapToGrid/>
          <w:color w:val="auto"/>
          <w:spacing w:val="0"/>
          <w:w w:val="100"/>
          <w:kern w:val="21"/>
          <w:position w:val="0"/>
          <w:sz w:val="21"/>
          <w:highlight w:val="none"/>
          <w:lang w:val="en-US" w:eastAsia="zh-CN"/>
        </w:rPr>
        <w:t xml:space="preserve"> </w:t>
      </w:r>
      <w:r>
        <w:rPr>
          <w:rFonts w:hint="default" w:ascii="Times New Roman" w:hAnsi="Times New Roman" w:eastAsia="宋体" w:cs="Times New Roman"/>
          <w:b/>
          <w:bCs/>
          <w:caps w:val="0"/>
          <w:snapToGrid/>
          <w:color w:val="auto"/>
          <w:spacing w:val="0"/>
          <w:w w:val="100"/>
          <w:kern w:val="21"/>
          <w:position w:val="0"/>
          <w:sz w:val="21"/>
          <w:highlight w:val="none"/>
        </w:rPr>
        <w:t xml:space="preserve"> 环境保护目标一览表</w:t>
      </w:r>
    </w:p>
    <w:tbl>
      <w:tblPr>
        <w:tblStyle w:val="35"/>
        <w:tblW w:w="501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57" w:type="dxa"/>
          <w:left w:w="57" w:type="dxa"/>
          <w:bottom w:w="57" w:type="dxa"/>
          <w:right w:w="57" w:type="dxa"/>
        </w:tblCellMar>
      </w:tblPr>
      <w:tblGrid>
        <w:gridCol w:w="410"/>
        <w:gridCol w:w="1085"/>
        <w:gridCol w:w="565"/>
        <w:gridCol w:w="646"/>
        <w:gridCol w:w="739"/>
        <w:gridCol w:w="1327"/>
        <w:gridCol w:w="1200"/>
        <w:gridCol w:w="945"/>
        <w:gridCol w:w="684"/>
        <w:gridCol w:w="1375"/>
      </w:tblGrid>
      <w:tr w14:paraId="03F7D4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tblHeader/>
          <w:jc w:val="center"/>
        </w:trPr>
        <w:tc>
          <w:tcPr>
            <w:tcW w:w="228" w:type="pct"/>
            <w:vMerge w:val="restart"/>
            <w:tcBorders>
              <w:tl2br w:val="nil"/>
              <w:tr2bl w:val="nil"/>
            </w:tcBorders>
            <w:noWrap w:val="0"/>
            <w:vAlign w:val="center"/>
          </w:tcPr>
          <w:p w14:paraId="449FC48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shd w:val="clear" w:color="auto" w:fill="auto"/>
              </w:rPr>
            </w:pPr>
            <w:r>
              <w:rPr>
                <w:rFonts w:hint="default" w:ascii="Times New Roman" w:hAnsi="Times New Roman" w:eastAsia="宋体" w:cs="Times New Roman"/>
                <w:b/>
                <w:bCs/>
                <w:caps w:val="0"/>
                <w:snapToGrid/>
                <w:color w:val="auto"/>
                <w:spacing w:val="0"/>
                <w:w w:val="100"/>
                <w:kern w:val="21"/>
                <w:position w:val="0"/>
                <w:sz w:val="21"/>
                <w:szCs w:val="21"/>
                <w:highlight w:val="none"/>
                <w:shd w:val="clear" w:color="auto" w:fill="auto"/>
              </w:rPr>
              <w:t>环境要素</w:t>
            </w:r>
          </w:p>
        </w:tc>
        <w:tc>
          <w:tcPr>
            <w:tcW w:w="604" w:type="pct"/>
            <w:tcBorders>
              <w:tl2br w:val="nil"/>
              <w:tr2bl w:val="nil"/>
            </w:tcBorders>
            <w:noWrap w:val="0"/>
            <w:vAlign w:val="center"/>
          </w:tcPr>
          <w:p w14:paraId="2E40B3D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shd w:val="clear" w:color="auto" w:fill="auto"/>
                <w:lang w:val="en-US" w:eastAsia="zh-CN"/>
              </w:rPr>
            </w:pPr>
            <w:r>
              <w:rPr>
                <w:rFonts w:hint="default" w:ascii="Times New Roman" w:hAnsi="Times New Roman" w:eastAsia="宋体" w:cs="Times New Roman"/>
                <w:b/>
                <w:bCs/>
                <w:caps w:val="0"/>
                <w:snapToGrid/>
                <w:color w:val="auto"/>
                <w:spacing w:val="0"/>
                <w:w w:val="100"/>
                <w:kern w:val="21"/>
                <w:position w:val="0"/>
                <w:sz w:val="21"/>
                <w:szCs w:val="21"/>
                <w:highlight w:val="none"/>
                <w:shd w:val="clear" w:color="auto" w:fill="auto"/>
                <w:lang w:val="en-US" w:eastAsia="zh-CN"/>
              </w:rPr>
              <w:t>敏感</w:t>
            </w:r>
            <w:r>
              <w:rPr>
                <w:rFonts w:hint="default" w:ascii="Times New Roman" w:hAnsi="Times New Roman" w:eastAsia="宋体" w:cs="Times New Roman"/>
                <w:b/>
                <w:bCs/>
                <w:caps w:val="0"/>
                <w:snapToGrid/>
                <w:color w:val="auto"/>
                <w:spacing w:val="0"/>
                <w:w w:val="100"/>
                <w:kern w:val="21"/>
                <w:position w:val="0"/>
                <w:sz w:val="21"/>
                <w:szCs w:val="21"/>
                <w:highlight w:val="none"/>
                <w:shd w:val="clear" w:color="auto" w:fill="auto"/>
              </w:rPr>
              <w:t>目标</w:t>
            </w:r>
          </w:p>
        </w:tc>
        <w:tc>
          <w:tcPr>
            <w:tcW w:w="674" w:type="pct"/>
            <w:gridSpan w:val="2"/>
            <w:tcBorders>
              <w:tl2br w:val="nil"/>
              <w:tr2bl w:val="nil"/>
            </w:tcBorders>
            <w:noWrap w:val="0"/>
            <w:vAlign w:val="center"/>
          </w:tcPr>
          <w:p w14:paraId="3F8EB3D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shd w:val="clear" w:color="auto" w:fill="auto"/>
              </w:rPr>
            </w:pPr>
            <w:r>
              <w:rPr>
                <w:rFonts w:hint="default" w:ascii="Times New Roman" w:hAnsi="Times New Roman" w:eastAsia="宋体" w:cs="Times New Roman"/>
                <w:b/>
                <w:bCs/>
                <w:caps w:val="0"/>
                <w:snapToGrid/>
                <w:color w:val="auto"/>
                <w:spacing w:val="0"/>
                <w:w w:val="100"/>
                <w:kern w:val="21"/>
                <w:position w:val="0"/>
                <w:sz w:val="21"/>
                <w:szCs w:val="21"/>
                <w:highlight w:val="none"/>
                <w:shd w:val="clear" w:color="auto" w:fill="auto"/>
              </w:rPr>
              <w:t>坐标</w:t>
            </w:r>
          </w:p>
        </w:tc>
        <w:tc>
          <w:tcPr>
            <w:tcW w:w="411" w:type="pct"/>
            <w:vMerge w:val="restart"/>
            <w:tcBorders>
              <w:tl2br w:val="nil"/>
              <w:tr2bl w:val="nil"/>
            </w:tcBorders>
            <w:noWrap w:val="0"/>
            <w:vAlign w:val="center"/>
          </w:tcPr>
          <w:p w14:paraId="7078450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shd w:val="clear" w:color="auto" w:fill="auto"/>
              </w:rPr>
            </w:pPr>
            <w:r>
              <w:rPr>
                <w:rFonts w:hint="default" w:ascii="Times New Roman" w:hAnsi="Times New Roman" w:eastAsia="宋体" w:cs="Times New Roman"/>
                <w:b/>
                <w:bCs/>
                <w:caps w:val="0"/>
                <w:snapToGrid/>
                <w:color w:val="auto"/>
                <w:spacing w:val="0"/>
                <w:w w:val="100"/>
                <w:kern w:val="21"/>
                <w:position w:val="0"/>
                <w:sz w:val="21"/>
                <w:szCs w:val="21"/>
                <w:highlight w:val="none"/>
                <w:shd w:val="clear" w:color="auto" w:fill="auto"/>
              </w:rPr>
              <w:t>保护对象</w:t>
            </w:r>
          </w:p>
        </w:tc>
        <w:tc>
          <w:tcPr>
            <w:tcW w:w="739" w:type="pct"/>
            <w:vMerge w:val="restart"/>
            <w:tcBorders>
              <w:tl2br w:val="nil"/>
              <w:tr2bl w:val="nil"/>
            </w:tcBorders>
            <w:noWrap w:val="0"/>
            <w:vAlign w:val="center"/>
          </w:tcPr>
          <w:p w14:paraId="670EC54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shd w:val="clear" w:color="auto" w:fill="auto"/>
              </w:rPr>
            </w:pPr>
            <w:r>
              <w:rPr>
                <w:rFonts w:hint="default" w:ascii="Times New Roman" w:hAnsi="Times New Roman" w:eastAsia="宋体" w:cs="Times New Roman"/>
                <w:b/>
                <w:bCs/>
                <w:caps w:val="0"/>
                <w:snapToGrid/>
                <w:color w:val="auto"/>
                <w:spacing w:val="0"/>
                <w:w w:val="100"/>
                <w:kern w:val="21"/>
                <w:position w:val="0"/>
                <w:sz w:val="21"/>
                <w:szCs w:val="21"/>
                <w:highlight w:val="none"/>
                <w:shd w:val="clear" w:color="auto" w:fill="auto"/>
              </w:rPr>
              <w:t>保护内容</w:t>
            </w:r>
          </w:p>
        </w:tc>
        <w:tc>
          <w:tcPr>
            <w:tcW w:w="668" w:type="pct"/>
            <w:vMerge w:val="restart"/>
            <w:tcBorders>
              <w:tl2br w:val="nil"/>
              <w:tr2bl w:val="nil"/>
            </w:tcBorders>
            <w:noWrap w:val="0"/>
            <w:vAlign w:val="center"/>
          </w:tcPr>
          <w:p w14:paraId="3EEDC19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shd w:val="clear" w:color="auto" w:fill="auto"/>
              </w:rPr>
            </w:pPr>
            <w:r>
              <w:rPr>
                <w:rFonts w:hint="default" w:ascii="Times New Roman" w:hAnsi="Times New Roman" w:eastAsia="宋体" w:cs="Times New Roman"/>
                <w:b/>
                <w:bCs/>
                <w:caps w:val="0"/>
                <w:snapToGrid/>
                <w:color w:val="auto"/>
                <w:spacing w:val="0"/>
                <w:w w:val="100"/>
                <w:kern w:val="21"/>
                <w:position w:val="0"/>
                <w:sz w:val="21"/>
                <w:szCs w:val="21"/>
                <w:highlight w:val="none"/>
                <w:shd w:val="clear" w:color="auto" w:fill="auto"/>
              </w:rPr>
              <w:t>环境功能区</w:t>
            </w:r>
          </w:p>
        </w:tc>
        <w:tc>
          <w:tcPr>
            <w:tcW w:w="526" w:type="pct"/>
            <w:vMerge w:val="restart"/>
            <w:tcBorders>
              <w:tl2br w:val="nil"/>
              <w:tr2bl w:val="nil"/>
            </w:tcBorders>
            <w:noWrap w:val="0"/>
            <w:vAlign w:val="center"/>
          </w:tcPr>
          <w:p w14:paraId="510BEE6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shd w:val="clear" w:color="auto" w:fill="auto"/>
              </w:rPr>
            </w:pPr>
            <w:r>
              <w:rPr>
                <w:rFonts w:hint="default" w:ascii="Times New Roman" w:hAnsi="Times New Roman" w:eastAsia="宋体" w:cs="Times New Roman"/>
                <w:b/>
                <w:bCs/>
                <w:caps w:val="0"/>
                <w:snapToGrid/>
                <w:color w:val="auto"/>
                <w:spacing w:val="0"/>
                <w:w w:val="100"/>
                <w:kern w:val="21"/>
                <w:position w:val="0"/>
                <w:sz w:val="21"/>
                <w:szCs w:val="21"/>
                <w:highlight w:val="none"/>
                <w:shd w:val="clear" w:color="auto" w:fill="auto"/>
              </w:rPr>
              <w:t>相对厂址方位</w:t>
            </w:r>
          </w:p>
        </w:tc>
        <w:tc>
          <w:tcPr>
            <w:tcW w:w="381" w:type="pct"/>
            <w:vMerge w:val="restart"/>
            <w:tcBorders>
              <w:tl2br w:val="nil"/>
              <w:tr2bl w:val="nil"/>
            </w:tcBorders>
            <w:noWrap w:val="0"/>
            <w:vAlign w:val="center"/>
          </w:tcPr>
          <w:p w14:paraId="535DF8A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shd w:val="clear" w:color="auto" w:fill="auto"/>
              </w:rPr>
            </w:pPr>
            <w:r>
              <w:rPr>
                <w:rFonts w:hint="default" w:ascii="Times New Roman" w:hAnsi="Times New Roman" w:eastAsia="宋体" w:cs="Times New Roman"/>
                <w:b/>
                <w:bCs/>
                <w:caps w:val="0"/>
                <w:snapToGrid/>
                <w:color w:val="auto"/>
                <w:spacing w:val="0"/>
                <w:w w:val="100"/>
                <w:kern w:val="21"/>
                <w:position w:val="0"/>
                <w:sz w:val="21"/>
                <w:szCs w:val="21"/>
                <w:highlight w:val="none"/>
                <w:shd w:val="clear" w:color="auto" w:fill="auto"/>
              </w:rPr>
              <w:t>相对厂界距离/km</w:t>
            </w:r>
          </w:p>
        </w:tc>
        <w:tc>
          <w:tcPr>
            <w:tcW w:w="766" w:type="pct"/>
            <w:vMerge w:val="restart"/>
            <w:tcBorders>
              <w:tl2br w:val="nil"/>
              <w:tr2bl w:val="nil"/>
            </w:tcBorders>
            <w:noWrap w:val="0"/>
            <w:vAlign w:val="center"/>
          </w:tcPr>
          <w:p w14:paraId="3EF1FD5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shd w:val="clear" w:color="auto" w:fill="auto"/>
                <w:lang w:val="en-US" w:eastAsia="zh-CN"/>
              </w:rPr>
            </w:pPr>
            <w:r>
              <w:rPr>
                <w:rFonts w:hint="default" w:ascii="Times New Roman" w:hAnsi="Times New Roman" w:eastAsia="宋体" w:cs="Times New Roman"/>
                <w:b/>
                <w:bCs/>
                <w:caps w:val="0"/>
                <w:snapToGrid/>
                <w:color w:val="auto"/>
                <w:spacing w:val="0"/>
                <w:w w:val="100"/>
                <w:kern w:val="21"/>
                <w:position w:val="0"/>
                <w:sz w:val="21"/>
                <w:szCs w:val="21"/>
                <w:highlight w:val="none"/>
                <w:shd w:val="clear" w:color="auto" w:fill="auto"/>
                <w:lang w:val="en-US" w:eastAsia="zh-CN"/>
              </w:rPr>
              <w:t>保护级别</w:t>
            </w:r>
          </w:p>
        </w:tc>
      </w:tr>
      <w:tr w14:paraId="668D79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tblHeader/>
          <w:jc w:val="center"/>
        </w:trPr>
        <w:tc>
          <w:tcPr>
            <w:tcW w:w="228" w:type="pct"/>
            <w:vMerge w:val="continue"/>
            <w:tcBorders>
              <w:tl2br w:val="nil"/>
              <w:tr2bl w:val="nil"/>
            </w:tcBorders>
            <w:noWrap w:val="0"/>
            <w:vAlign w:val="center"/>
          </w:tcPr>
          <w:p w14:paraId="3DB1BB9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shd w:val="clear" w:color="auto" w:fill="auto"/>
              </w:rPr>
            </w:pPr>
          </w:p>
        </w:tc>
        <w:tc>
          <w:tcPr>
            <w:tcW w:w="604" w:type="pct"/>
            <w:tcBorders>
              <w:tl2br w:val="nil"/>
              <w:tr2bl w:val="nil"/>
            </w:tcBorders>
            <w:noWrap w:val="0"/>
            <w:vAlign w:val="center"/>
          </w:tcPr>
          <w:p w14:paraId="23C242C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shd w:val="clear" w:color="auto" w:fill="auto"/>
              </w:rPr>
            </w:pPr>
            <w:r>
              <w:rPr>
                <w:rFonts w:hint="default" w:ascii="Times New Roman" w:hAnsi="Times New Roman" w:eastAsia="宋体" w:cs="Times New Roman"/>
                <w:b/>
                <w:bCs/>
                <w:caps w:val="0"/>
                <w:snapToGrid/>
                <w:color w:val="auto"/>
                <w:spacing w:val="0"/>
                <w:w w:val="100"/>
                <w:kern w:val="21"/>
                <w:position w:val="0"/>
                <w:sz w:val="21"/>
                <w:szCs w:val="21"/>
                <w:highlight w:val="none"/>
                <w:shd w:val="clear" w:color="auto" w:fill="auto"/>
              </w:rPr>
              <w:t>名称</w:t>
            </w:r>
          </w:p>
        </w:tc>
        <w:tc>
          <w:tcPr>
            <w:tcW w:w="314" w:type="pct"/>
            <w:tcBorders>
              <w:tl2br w:val="nil"/>
              <w:tr2bl w:val="nil"/>
            </w:tcBorders>
            <w:noWrap w:val="0"/>
            <w:vAlign w:val="center"/>
          </w:tcPr>
          <w:p w14:paraId="14767B6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shd w:val="clear" w:color="auto" w:fill="auto"/>
                <w:lang w:eastAsia="zh-CN"/>
              </w:rPr>
            </w:pPr>
            <w:r>
              <w:rPr>
                <w:rFonts w:hint="default" w:ascii="Times New Roman" w:hAnsi="Times New Roman" w:eastAsia="宋体" w:cs="Times New Roman"/>
                <w:b/>
                <w:bCs/>
                <w:caps w:val="0"/>
                <w:snapToGrid/>
                <w:color w:val="auto"/>
                <w:spacing w:val="0"/>
                <w:w w:val="100"/>
                <w:kern w:val="21"/>
                <w:position w:val="0"/>
                <w:sz w:val="21"/>
                <w:szCs w:val="21"/>
                <w:highlight w:val="none"/>
                <w:shd w:val="clear" w:color="auto" w:fill="auto"/>
                <w:lang w:val="en-US" w:eastAsia="zh-CN"/>
              </w:rPr>
              <w:t>X</w:t>
            </w:r>
          </w:p>
        </w:tc>
        <w:tc>
          <w:tcPr>
            <w:tcW w:w="359" w:type="pct"/>
            <w:tcBorders>
              <w:tl2br w:val="nil"/>
              <w:tr2bl w:val="nil"/>
            </w:tcBorders>
            <w:noWrap w:val="0"/>
            <w:vAlign w:val="center"/>
          </w:tcPr>
          <w:p w14:paraId="41B71E4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shd w:val="clear" w:color="auto" w:fill="auto"/>
                <w:lang w:val="en-US" w:eastAsia="zh-CN"/>
              </w:rPr>
            </w:pPr>
            <w:r>
              <w:rPr>
                <w:rFonts w:hint="default" w:ascii="Times New Roman" w:hAnsi="Times New Roman" w:eastAsia="宋体" w:cs="Times New Roman"/>
                <w:b/>
                <w:bCs/>
                <w:caps w:val="0"/>
                <w:snapToGrid/>
                <w:color w:val="auto"/>
                <w:spacing w:val="0"/>
                <w:w w:val="100"/>
                <w:kern w:val="21"/>
                <w:position w:val="0"/>
                <w:sz w:val="21"/>
                <w:szCs w:val="21"/>
                <w:highlight w:val="none"/>
                <w:shd w:val="clear" w:color="auto" w:fill="auto"/>
                <w:lang w:val="en-US" w:eastAsia="zh-CN"/>
              </w:rPr>
              <w:t>Y</w:t>
            </w:r>
          </w:p>
        </w:tc>
        <w:tc>
          <w:tcPr>
            <w:tcW w:w="411" w:type="pct"/>
            <w:vMerge w:val="continue"/>
            <w:tcBorders>
              <w:tl2br w:val="nil"/>
              <w:tr2bl w:val="nil"/>
            </w:tcBorders>
            <w:noWrap w:val="0"/>
            <w:vAlign w:val="center"/>
          </w:tcPr>
          <w:p w14:paraId="642C9C9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pPr>
          </w:p>
        </w:tc>
        <w:tc>
          <w:tcPr>
            <w:tcW w:w="739" w:type="pct"/>
            <w:vMerge w:val="continue"/>
            <w:tcBorders>
              <w:tl2br w:val="nil"/>
              <w:tr2bl w:val="nil"/>
            </w:tcBorders>
            <w:noWrap w:val="0"/>
            <w:vAlign w:val="center"/>
          </w:tcPr>
          <w:p w14:paraId="68A48EF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pPr>
          </w:p>
        </w:tc>
        <w:tc>
          <w:tcPr>
            <w:tcW w:w="668" w:type="pct"/>
            <w:vMerge w:val="continue"/>
            <w:tcBorders>
              <w:tl2br w:val="nil"/>
              <w:tr2bl w:val="nil"/>
            </w:tcBorders>
            <w:noWrap w:val="0"/>
            <w:vAlign w:val="center"/>
          </w:tcPr>
          <w:p w14:paraId="57B91F4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pPr>
          </w:p>
        </w:tc>
        <w:tc>
          <w:tcPr>
            <w:tcW w:w="526" w:type="pct"/>
            <w:vMerge w:val="continue"/>
            <w:tcBorders>
              <w:tl2br w:val="nil"/>
              <w:tr2bl w:val="nil"/>
            </w:tcBorders>
            <w:noWrap w:val="0"/>
            <w:vAlign w:val="center"/>
          </w:tcPr>
          <w:p w14:paraId="5AACB15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pPr>
          </w:p>
        </w:tc>
        <w:tc>
          <w:tcPr>
            <w:tcW w:w="381" w:type="pct"/>
            <w:vMerge w:val="continue"/>
            <w:tcBorders>
              <w:tl2br w:val="nil"/>
              <w:tr2bl w:val="nil"/>
            </w:tcBorders>
            <w:noWrap w:val="0"/>
            <w:vAlign w:val="center"/>
          </w:tcPr>
          <w:p w14:paraId="3CC557E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pPr>
          </w:p>
        </w:tc>
        <w:tc>
          <w:tcPr>
            <w:tcW w:w="766" w:type="pct"/>
            <w:vMerge w:val="continue"/>
            <w:tcBorders>
              <w:tl2br w:val="nil"/>
              <w:tr2bl w:val="nil"/>
            </w:tcBorders>
            <w:noWrap w:val="0"/>
            <w:vAlign w:val="center"/>
          </w:tcPr>
          <w:p w14:paraId="20783F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pPr>
          </w:p>
        </w:tc>
      </w:tr>
      <w:tr w14:paraId="43EFEE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228" w:type="pct"/>
            <w:vMerge w:val="restart"/>
            <w:tcBorders>
              <w:tl2br w:val="nil"/>
              <w:tr2bl w:val="nil"/>
            </w:tcBorders>
            <w:noWrap w:val="0"/>
            <w:vAlign w:val="center"/>
          </w:tcPr>
          <w:p w14:paraId="76B8CAD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t>环境空气</w:t>
            </w:r>
          </w:p>
        </w:tc>
        <w:tc>
          <w:tcPr>
            <w:tcW w:w="604" w:type="pct"/>
            <w:tcBorders>
              <w:tl2br w:val="nil"/>
              <w:tr2bl w:val="nil"/>
            </w:tcBorders>
            <w:noWrap w:val="0"/>
            <w:vAlign w:val="center"/>
          </w:tcPr>
          <w:p w14:paraId="134673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aps w:val="0"/>
                <w:snapToGrid/>
                <w:color w:val="auto"/>
                <w:spacing w:val="0"/>
                <w:w w:val="100"/>
                <w:kern w:val="21"/>
                <w:position w:val="0"/>
                <w:sz w:val="21"/>
                <w:szCs w:val="21"/>
                <w:highlight w:val="none"/>
                <w:shd w:val="clear" w:color="FFFFFF" w:fill="D9D9D9"/>
                <w:lang w:val="en-US" w:eastAsia="zh-CN" w:bidi="ar-SA"/>
              </w:rPr>
            </w:pPr>
            <w:r>
              <w:rPr>
                <w:rFonts w:hint="eastAsia"/>
                <w:color w:val="auto"/>
                <w:spacing w:val="0"/>
                <w:w w:val="100"/>
                <w:position w:val="0"/>
                <w:sz w:val="21"/>
                <w:szCs w:val="21"/>
                <w:highlight w:val="none"/>
                <w:lang w:val="en-US" w:eastAsia="zh-CN"/>
              </w:rPr>
              <w:t>西苑小区</w:t>
            </w:r>
          </w:p>
        </w:tc>
        <w:tc>
          <w:tcPr>
            <w:tcW w:w="314" w:type="pct"/>
            <w:tcBorders>
              <w:tl2br w:val="nil"/>
              <w:tr2bl w:val="nil"/>
            </w:tcBorders>
            <w:noWrap w:val="0"/>
            <w:vAlign w:val="center"/>
          </w:tcPr>
          <w:p w14:paraId="4DF5305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bidi="ar-SA"/>
              </w:rPr>
            </w:pPr>
            <w:r>
              <w:rPr>
                <w:rFonts w:hint="eastAsia" w:cs="Times New Roman"/>
                <w:caps w:val="0"/>
                <w:snapToGrid/>
                <w:color w:val="auto"/>
                <w:spacing w:val="0"/>
                <w:w w:val="100"/>
                <w:kern w:val="21"/>
                <w:position w:val="0"/>
                <w:sz w:val="21"/>
                <w:szCs w:val="21"/>
                <w:highlight w:val="none"/>
                <w:shd w:val="clear" w:color="auto" w:fill="auto"/>
                <w:lang w:val="en-US" w:eastAsia="zh-CN" w:bidi="ar-SA"/>
              </w:rPr>
              <w:t>1700</w:t>
            </w:r>
          </w:p>
        </w:tc>
        <w:tc>
          <w:tcPr>
            <w:tcW w:w="359" w:type="pct"/>
            <w:tcBorders>
              <w:tl2br w:val="nil"/>
              <w:tr2bl w:val="nil"/>
            </w:tcBorders>
            <w:noWrap w:val="0"/>
            <w:vAlign w:val="center"/>
          </w:tcPr>
          <w:p w14:paraId="75DD039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bidi="ar-SA"/>
              </w:rPr>
            </w:pPr>
            <w:r>
              <w:rPr>
                <w:rFonts w:hint="eastAsia" w:cs="Times New Roman"/>
                <w:caps w:val="0"/>
                <w:snapToGrid/>
                <w:color w:val="auto"/>
                <w:spacing w:val="0"/>
                <w:w w:val="100"/>
                <w:kern w:val="21"/>
                <w:position w:val="0"/>
                <w:sz w:val="21"/>
                <w:szCs w:val="21"/>
                <w:highlight w:val="none"/>
                <w:shd w:val="clear" w:color="auto" w:fill="auto"/>
                <w:lang w:val="en-US" w:eastAsia="zh-CN" w:bidi="ar-SA"/>
              </w:rPr>
              <w:t>-1400</w:t>
            </w:r>
          </w:p>
        </w:tc>
        <w:tc>
          <w:tcPr>
            <w:tcW w:w="411" w:type="pct"/>
            <w:tcBorders>
              <w:tl2br w:val="nil"/>
              <w:tr2bl w:val="nil"/>
            </w:tcBorders>
            <w:noWrap w:val="0"/>
            <w:vAlign w:val="center"/>
          </w:tcPr>
          <w:p w14:paraId="436B3FB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bidi="ar-SA"/>
              </w:rPr>
              <w:t>居民</w:t>
            </w:r>
          </w:p>
        </w:tc>
        <w:tc>
          <w:tcPr>
            <w:tcW w:w="739" w:type="pct"/>
            <w:tcBorders>
              <w:tl2br w:val="nil"/>
              <w:tr2bl w:val="nil"/>
            </w:tcBorders>
            <w:noWrap w:val="0"/>
            <w:vAlign w:val="center"/>
          </w:tcPr>
          <w:p w14:paraId="14E6852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contextualSpacing/>
              <w:jc w:val="center"/>
              <w:textAlignment w:val="auto"/>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bidi="ar-SA"/>
              </w:rPr>
            </w:pPr>
            <w:r>
              <w:rPr>
                <w:rFonts w:hint="default" w:ascii="Times New Roman" w:hAnsi="Times New Roman" w:eastAsia="宋体" w:cs="Times New Roman"/>
                <w:caps w:val="0"/>
                <w:smallCaps w:val="0"/>
                <w:snapToGrid/>
                <w:color w:val="auto"/>
                <w:spacing w:val="0"/>
                <w:w w:val="100"/>
                <w:kern w:val="21"/>
                <w:position w:val="0"/>
                <w:sz w:val="21"/>
                <w:szCs w:val="21"/>
                <w:highlight w:val="none"/>
              </w:rPr>
              <w:t>约</w:t>
            </w:r>
            <w:r>
              <w:rPr>
                <w:rFonts w:hint="eastAsia" w:cs="Times New Roman"/>
                <w:caps w:val="0"/>
                <w:smallCaps w:val="0"/>
                <w:snapToGrid/>
                <w:color w:val="auto"/>
                <w:spacing w:val="0"/>
                <w:w w:val="100"/>
                <w:kern w:val="21"/>
                <w:position w:val="0"/>
                <w:sz w:val="21"/>
                <w:szCs w:val="21"/>
                <w:highlight w:val="none"/>
                <w:lang w:val="en-US" w:eastAsia="zh-CN"/>
              </w:rPr>
              <w:t>5</w:t>
            </w:r>
            <w:r>
              <w:rPr>
                <w:rFonts w:hint="default" w:ascii="Times New Roman" w:hAnsi="Times New Roman" w:eastAsia="宋体" w:cs="Times New Roman"/>
                <w:caps w:val="0"/>
                <w:smallCaps w:val="0"/>
                <w:snapToGrid/>
                <w:color w:val="auto"/>
                <w:spacing w:val="0"/>
                <w:w w:val="100"/>
                <w:kern w:val="21"/>
                <w:position w:val="0"/>
                <w:sz w:val="21"/>
                <w:szCs w:val="21"/>
                <w:highlight w:val="none"/>
                <w:lang w:val="en-US" w:eastAsia="zh-CN"/>
              </w:rPr>
              <w:t>00</w:t>
            </w:r>
            <w:r>
              <w:rPr>
                <w:rFonts w:hint="default" w:ascii="Times New Roman" w:hAnsi="Times New Roman" w:eastAsia="宋体" w:cs="Times New Roman"/>
                <w:caps w:val="0"/>
                <w:smallCaps w:val="0"/>
                <w:snapToGrid/>
                <w:color w:val="auto"/>
                <w:spacing w:val="0"/>
                <w:w w:val="100"/>
                <w:kern w:val="21"/>
                <w:position w:val="0"/>
                <w:sz w:val="21"/>
                <w:szCs w:val="21"/>
                <w:highlight w:val="none"/>
              </w:rPr>
              <w:t>人</w:t>
            </w:r>
          </w:p>
        </w:tc>
        <w:tc>
          <w:tcPr>
            <w:tcW w:w="668" w:type="pct"/>
            <w:vMerge w:val="restart"/>
            <w:tcBorders>
              <w:tl2br w:val="nil"/>
              <w:tr2bl w:val="nil"/>
            </w:tcBorders>
            <w:noWrap w:val="0"/>
            <w:vAlign w:val="center"/>
          </w:tcPr>
          <w:p w14:paraId="5539A67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bidi="ar-SA"/>
              </w:rPr>
              <w:t>《环境空气质量标准》（GB3095-20</w:t>
            </w:r>
            <w:r>
              <w:rPr>
                <w:rFonts w:hint="eastAsia" w:cs="Times New Roman"/>
                <w:caps w:val="0"/>
                <w:snapToGrid/>
                <w:color w:val="auto"/>
                <w:spacing w:val="0"/>
                <w:w w:val="100"/>
                <w:kern w:val="21"/>
                <w:position w:val="0"/>
                <w:sz w:val="21"/>
                <w:szCs w:val="21"/>
                <w:highlight w:val="none"/>
                <w:shd w:val="clear" w:color="auto" w:fill="auto"/>
                <w:lang w:val="en-US" w:eastAsia="zh-CN" w:bidi="ar-SA"/>
              </w:rPr>
              <w:t>26</w:t>
            </w: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bidi="ar-SA"/>
              </w:rPr>
              <w:t>）中的二类区</w:t>
            </w:r>
          </w:p>
        </w:tc>
        <w:tc>
          <w:tcPr>
            <w:tcW w:w="526" w:type="pct"/>
            <w:tcBorders>
              <w:tl2br w:val="nil"/>
              <w:tr2bl w:val="nil"/>
            </w:tcBorders>
            <w:noWrap w:val="0"/>
            <w:vAlign w:val="center"/>
          </w:tcPr>
          <w:p w14:paraId="3FFD0B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东</w:t>
            </w:r>
            <w:r>
              <w:rPr>
                <w:rFonts w:hint="eastAsia" w:cs="Times New Roman"/>
                <w:caps w:val="0"/>
                <w:snapToGrid/>
                <w:color w:val="auto"/>
                <w:spacing w:val="0"/>
                <w:w w:val="100"/>
                <w:kern w:val="21"/>
                <w:position w:val="0"/>
                <w:sz w:val="21"/>
                <w:szCs w:val="21"/>
                <w:highlight w:val="none"/>
                <w:lang w:val="en-US" w:eastAsia="zh-CN"/>
              </w:rPr>
              <w:t>南侧</w:t>
            </w:r>
          </w:p>
        </w:tc>
        <w:tc>
          <w:tcPr>
            <w:tcW w:w="381" w:type="pct"/>
            <w:tcBorders>
              <w:tl2br w:val="nil"/>
              <w:tr2bl w:val="nil"/>
            </w:tcBorders>
            <w:noWrap w:val="0"/>
            <w:vAlign w:val="center"/>
          </w:tcPr>
          <w:p w14:paraId="0F41A3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pPr>
            <w:r>
              <w:rPr>
                <w:rFonts w:hint="eastAsia" w:cs="Times New Roman"/>
                <w:caps w:val="0"/>
                <w:snapToGrid/>
                <w:color w:val="auto"/>
                <w:spacing w:val="0"/>
                <w:w w:val="100"/>
                <w:kern w:val="21"/>
                <w:position w:val="0"/>
                <w:sz w:val="21"/>
                <w:szCs w:val="21"/>
                <w:highlight w:val="none"/>
                <w:lang w:val="en-US" w:eastAsia="zh-CN"/>
              </w:rPr>
              <w:t>2.3</w:t>
            </w:r>
          </w:p>
        </w:tc>
        <w:tc>
          <w:tcPr>
            <w:tcW w:w="766" w:type="pct"/>
            <w:vMerge w:val="restart"/>
            <w:tcBorders>
              <w:tl2br w:val="nil"/>
              <w:tr2bl w:val="nil"/>
            </w:tcBorders>
            <w:noWrap w:val="0"/>
            <w:vAlign w:val="center"/>
          </w:tcPr>
          <w:p w14:paraId="7FBA42E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t>《环境空气质量标准》（GB3095-</w:t>
            </w:r>
            <w:r>
              <w:rPr>
                <w:rFonts w:hint="eastAsia" w:cs="Times New Roman"/>
                <w:caps w:val="0"/>
                <w:snapToGrid/>
                <w:color w:val="auto"/>
                <w:spacing w:val="0"/>
                <w:w w:val="100"/>
                <w:kern w:val="21"/>
                <w:position w:val="0"/>
                <w:sz w:val="21"/>
                <w:szCs w:val="21"/>
                <w:highlight w:val="none"/>
                <w:shd w:val="clear" w:color="auto" w:fill="auto"/>
                <w:lang w:val="en-US" w:eastAsia="zh-CN"/>
              </w:rPr>
              <w:t>2026</w:t>
            </w: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t>）</w:t>
            </w:r>
            <w:r>
              <w:rPr>
                <w:rFonts w:hint="eastAsia" w:cs="Times New Roman"/>
                <w:caps w:val="0"/>
                <w:snapToGrid/>
                <w:color w:val="auto"/>
                <w:spacing w:val="0"/>
                <w:w w:val="100"/>
                <w:kern w:val="21"/>
                <w:position w:val="0"/>
                <w:sz w:val="21"/>
                <w:szCs w:val="21"/>
                <w:highlight w:val="none"/>
                <w:shd w:val="clear" w:color="auto" w:fill="auto"/>
                <w:lang w:val="en-US" w:eastAsia="zh-CN"/>
              </w:rPr>
              <w:t>过渡阶段浓度限值</w:t>
            </w: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t>二级标准</w:t>
            </w:r>
          </w:p>
        </w:tc>
      </w:tr>
      <w:tr w14:paraId="78E2D1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28" w:type="pct"/>
            <w:vMerge w:val="continue"/>
            <w:tcBorders>
              <w:tl2br w:val="nil"/>
              <w:tr2bl w:val="nil"/>
            </w:tcBorders>
            <w:noWrap w:val="0"/>
            <w:vAlign w:val="center"/>
          </w:tcPr>
          <w:p w14:paraId="5EB4E30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pPr>
          </w:p>
        </w:tc>
        <w:tc>
          <w:tcPr>
            <w:tcW w:w="604" w:type="pct"/>
            <w:tcBorders>
              <w:tl2br w:val="nil"/>
              <w:tr2bl w:val="nil"/>
            </w:tcBorders>
            <w:noWrap w:val="0"/>
            <w:vAlign w:val="center"/>
          </w:tcPr>
          <w:p w14:paraId="73DD8E41">
            <w:pPr>
              <w:keepNext w:val="0"/>
              <w:keepLines w:val="0"/>
              <w:pageBreakBefore w:val="0"/>
              <w:widowControl w:val="0"/>
              <w:kinsoku/>
              <w:wordWrap/>
              <w:overflowPunct/>
              <w:topLinePunct w:val="0"/>
              <w:autoSpaceDE/>
              <w:autoSpaceDN/>
              <w:bidi w:val="0"/>
              <w:adjustRightInd/>
              <w:snapToGrid/>
              <w:spacing w:line="240" w:lineRule="auto"/>
              <w:ind w:firstLine="0" w:firstLineChars="0"/>
              <w:contextualSpacing/>
              <w:jc w:val="cente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olor w:val="auto"/>
                <w:spacing w:val="0"/>
                <w:w w:val="100"/>
                <w:kern w:val="2"/>
                <w:position w:val="0"/>
                <w:sz w:val="21"/>
                <w:szCs w:val="21"/>
                <w:highlight w:val="none"/>
                <w:lang w:val="en-US" w:eastAsia="zh-CN"/>
              </w:rPr>
              <w:t>果墅苑</w:t>
            </w:r>
          </w:p>
        </w:tc>
        <w:tc>
          <w:tcPr>
            <w:tcW w:w="314" w:type="pct"/>
            <w:tcBorders>
              <w:tl2br w:val="nil"/>
              <w:tr2bl w:val="nil"/>
            </w:tcBorders>
            <w:noWrap w:val="0"/>
            <w:vAlign w:val="center"/>
          </w:tcPr>
          <w:p w14:paraId="356711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2</w:t>
            </w: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rPr>
              <w:t>300</w:t>
            </w:r>
          </w:p>
        </w:tc>
        <w:tc>
          <w:tcPr>
            <w:tcW w:w="359" w:type="pct"/>
            <w:tcBorders>
              <w:tl2br w:val="nil"/>
              <w:tr2bl w:val="nil"/>
            </w:tcBorders>
            <w:noWrap w:val="0"/>
            <w:vAlign w:val="center"/>
          </w:tcPr>
          <w:p w14:paraId="050CE4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22</w:t>
            </w: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rPr>
              <w:t>00</w:t>
            </w:r>
          </w:p>
        </w:tc>
        <w:tc>
          <w:tcPr>
            <w:tcW w:w="411" w:type="pct"/>
            <w:tcBorders>
              <w:tl2br w:val="nil"/>
              <w:tr2bl w:val="nil"/>
            </w:tcBorders>
            <w:noWrap w:val="0"/>
            <w:vAlign w:val="center"/>
          </w:tcPr>
          <w:p w14:paraId="568C77F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bidi="ar-SA"/>
              </w:rPr>
              <w:t>居民</w:t>
            </w:r>
          </w:p>
        </w:tc>
        <w:tc>
          <w:tcPr>
            <w:tcW w:w="739" w:type="pct"/>
            <w:tcBorders>
              <w:tl2br w:val="nil"/>
              <w:tr2bl w:val="nil"/>
            </w:tcBorders>
            <w:noWrap w:val="0"/>
            <w:vAlign w:val="center"/>
          </w:tcPr>
          <w:p w14:paraId="5BFE19B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contextualSpacing/>
              <w:jc w:val="center"/>
              <w:textAlignment w:val="auto"/>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bidi="ar-SA"/>
              </w:rPr>
            </w:pPr>
            <w:r>
              <w:rPr>
                <w:rFonts w:hint="default" w:ascii="Times New Roman" w:hAnsi="Times New Roman" w:eastAsia="宋体" w:cs="Times New Roman"/>
                <w:caps w:val="0"/>
                <w:smallCaps w:val="0"/>
                <w:snapToGrid/>
                <w:color w:val="auto"/>
                <w:spacing w:val="0"/>
                <w:w w:val="100"/>
                <w:kern w:val="21"/>
                <w:position w:val="0"/>
                <w:sz w:val="21"/>
                <w:szCs w:val="21"/>
                <w:highlight w:val="none"/>
              </w:rPr>
              <w:t>约</w:t>
            </w:r>
            <w:r>
              <w:rPr>
                <w:rFonts w:hint="eastAsia" w:cs="Times New Roman"/>
                <w:caps w:val="0"/>
                <w:smallCaps w:val="0"/>
                <w:snapToGrid/>
                <w:color w:val="auto"/>
                <w:spacing w:val="0"/>
                <w:w w:val="100"/>
                <w:kern w:val="21"/>
                <w:position w:val="0"/>
                <w:sz w:val="21"/>
                <w:szCs w:val="21"/>
                <w:highlight w:val="none"/>
                <w:lang w:val="en-US" w:eastAsia="zh-CN"/>
              </w:rPr>
              <w:t>500</w:t>
            </w:r>
            <w:r>
              <w:rPr>
                <w:rFonts w:hint="default" w:ascii="Times New Roman" w:hAnsi="Times New Roman" w:eastAsia="宋体" w:cs="Times New Roman"/>
                <w:caps w:val="0"/>
                <w:smallCaps w:val="0"/>
                <w:snapToGrid/>
                <w:color w:val="auto"/>
                <w:spacing w:val="0"/>
                <w:w w:val="100"/>
                <w:kern w:val="21"/>
                <w:position w:val="0"/>
                <w:sz w:val="21"/>
                <w:szCs w:val="21"/>
                <w:highlight w:val="none"/>
              </w:rPr>
              <w:t>人</w:t>
            </w:r>
          </w:p>
        </w:tc>
        <w:tc>
          <w:tcPr>
            <w:tcW w:w="668" w:type="pct"/>
            <w:vMerge w:val="continue"/>
            <w:tcBorders>
              <w:tl2br w:val="nil"/>
              <w:tr2bl w:val="nil"/>
            </w:tcBorders>
            <w:noWrap w:val="0"/>
            <w:vAlign w:val="center"/>
          </w:tcPr>
          <w:p w14:paraId="28A1266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bidi="ar-SA"/>
              </w:rPr>
            </w:pPr>
          </w:p>
        </w:tc>
        <w:tc>
          <w:tcPr>
            <w:tcW w:w="526" w:type="pct"/>
            <w:tcBorders>
              <w:tl2br w:val="nil"/>
              <w:tr2bl w:val="nil"/>
            </w:tcBorders>
            <w:noWrap w:val="0"/>
            <w:vAlign w:val="center"/>
          </w:tcPr>
          <w:p w14:paraId="2B1928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东</w:t>
            </w:r>
            <w:r>
              <w:rPr>
                <w:rFonts w:hint="eastAsia" w:cs="Times New Roman"/>
                <w:caps w:val="0"/>
                <w:snapToGrid/>
                <w:color w:val="auto"/>
                <w:spacing w:val="0"/>
                <w:w w:val="100"/>
                <w:kern w:val="21"/>
                <w:position w:val="0"/>
                <w:sz w:val="21"/>
                <w:szCs w:val="21"/>
                <w:highlight w:val="none"/>
                <w:lang w:val="en-US" w:eastAsia="zh-CN"/>
              </w:rPr>
              <w:t>南侧</w:t>
            </w:r>
          </w:p>
        </w:tc>
        <w:tc>
          <w:tcPr>
            <w:tcW w:w="381" w:type="pct"/>
            <w:tcBorders>
              <w:tl2br w:val="nil"/>
              <w:tr2bl w:val="nil"/>
            </w:tcBorders>
            <w:noWrap w:val="0"/>
            <w:vAlign w:val="center"/>
          </w:tcPr>
          <w:p w14:paraId="0DFD84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pPr>
            <w:r>
              <w:rPr>
                <w:rFonts w:hint="eastAsia" w:cs="Times New Roman"/>
                <w:caps w:val="0"/>
                <w:snapToGrid/>
                <w:color w:val="auto"/>
                <w:spacing w:val="0"/>
                <w:w w:val="100"/>
                <w:kern w:val="21"/>
                <w:position w:val="0"/>
                <w:sz w:val="21"/>
                <w:szCs w:val="21"/>
                <w:highlight w:val="none"/>
                <w:lang w:val="en-US" w:eastAsia="zh-CN"/>
              </w:rPr>
              <w:t>3.2</w:t>
            </w:r>
          </w:p>
        </w:tc>
        <w:tc>
          <w:tcPr>
            <w:tcW w:w="766" w:type="pct"/>
            <w:vMerge w:val="continue"/>
            <w:tcBorders>
              <w:tl2br w:val="nil"/>
              <w:tr2bl w:val="nil"/>
            </w:tcBorders>
            <w:noWrap w:val="0"/>
            <w:vAlign w:val="center"/>
          </w:tcPr>
          <w:p w14:paraId="20713C6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pPr>
          </w:p>
        </w:tc>
      </w:tr>
      <w:tr w14:paraId="53DADB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28" w:type="pct"/>
            <w:tcBorders>
              <w:tl2br w:val="nil"/>
              <w:tr2bl w:val="nil"/>
            </w:tcBorders>
            <w:noWrap w:val="0"/>
            <w:vAlign w:val="center"/>
          </w:tcPr>
          <w:p w14:paraId="1760BC4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pPr>
            <w:r>
              <w:rPr>
                <w:rFonts w:hint="eastAsia" w:cs="Times New Roman"/>
                <w:caps w:val="0"/>
                <w:snapToGrid/>
                <w:color w:val="auto"/>
                <w:spacing w:val="0"/>
                <w:w w:val="100"/>
                <w:kern w:val="21"/>
                <w:position w:val="0"/>
                <w:sz w:val="21"/>
                <w:szCs w:val="21"/>
                <w:highlight w:val="none"/>
                <w:shd w:val="clear" w:color="auto" w:fill="auto"/>
                <w:lang w:val="en-US" w:eastAsia="zh-CN"/>
              </w:rPr>
              <w:t>地表水环境</w:t>
            </w:r>
          </w:p>
        </w:tc>
        <w:tc>
          <w:tcPr>
            <w:tcW w:w="1278" w:type="pct"/>
            <w:gridSpan w:val="3"/>
            <w:tcBorders>
              <w:tl2br w:val="nil"/>
              <w:tr2bl w:val="nil"/>
            </w:tcBorders>
            <w:noWrap w:val="0"/>
            <w:vAlign w:val="center"/>
          </w:tcPr>
          <w:p w14:paraId="22C2C5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eastAsia"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“500”水库</w:t>
            </w:r>
          </w:p>
        </w:tc>
        <w:tc>
          <w:tcPr>
            <w:tcW w:w="411" w:type="pct"/>
            <w:tcBorders>
              <w:tl2br w:val="nil"/>
              <w:tr2bl w:val="nil"/>
            </w:tcBorders>
            <w:noWrap w:val="0"/>
            <w:vAlign w:val="center"/>
          </w:tcPr>
          <w:p w14:paraId="0E11460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bidi="ar-SA"/>
              </w:rPr>
            </w:pPr>
            <w:r>
              <w:rPr>
                <w:rFonts w:hint="eastAsia" w:cs="Times New Roman"/>
                <w:caps w:val="0"/>
                <w:snapToGrid/>
                <w:color w:val="auto"/>
                <w:spacing w:val="0"/>
                <w:w w:val="100"/>
                <w:kern w:val="21"/>
                <w:position w:val="0"/>
                <w:sz w:val="21"/>
                <w:szCs w:val="21"/>
                <w:highlight w:val="none"/>
                <w:shd w:val="clear" w:color="auto" w:fill="auto"/>
                <w:lang w:val="en-US" w:eastAsia="zh-CN" w:bidi="ar-SA"/>
              </w:rPr>
              <w:t>地表水环境</w:t>
            </w:r>
          </w:p>
        </w:tc>
        <w:tc>
          <w:tcPr>
            <w:tcW w:w="739" w:type="pct"/>
            <w:tcBorders>
              <w:tl2br w:val="nil"/>
              <w:tr2bl w:val="nil"/>
            </w:tcBorders>
            <w:noWrap w:val="0"/>
            <w:vAlign w:val="center"/>
          </w:tcPr>
          <w:p w14:paraId="6542FB0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contextualSpacing/>
              <w:jc w:val="center"/>
              <w:textAlignment w:val="auto"/>
              <w:rPr>
                <w:rFonts w:hint="default" w:ascii="Times New Roman" w:hAnsi="Times New Roman" w:eastAsia="宋体" w:cs="Times New Roman"/>
                <w:caps w:val="0"/>
                <w:small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t>地</w:t>
            </w:r>
            <w:r>
              <w:rPr>
                <w:rFonts w:hint="eastAsia" w:cs="Times New Roman"/>
                <w:caps w:val="0"/>
                <w:snapToGrid/>
                <w:color w:val="auto"/>
                <w:spacing w:val="0"/>
                <w:w w:val="100"/>
                <w:kern w:val="21"/>
                <w:position w:val="0"/>
                <w:sz w:val="21"/>
                <w:szCs w:val="21"/>
                <w:highlight w:val="none"/>
                <w:shd w:val="clear" w:color="auto" w:fill="auto"/>
                <w:lang w:val="en-US" w:eastAsia="zh-CN"/>
              </w:rPr>
              <w:t>表</w:t>
            </w: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t>水水质不受本项目影响</w:t>
            </w:r>
          </w:p>
        </w:tc>
        <w:tc>
          <w:tcPr>
            <w:tcW w:w="668" w:type="pct"/>
            <w:tcBorders>
              <w:tl2br w:val="nil"/>
              <w:tr2bl w:val="nil"/>
            </w:tcBorders>
            <w:noWrap w:val="0"/>
            <w:vAlign w:val="center"/>
          </w:tcPr>
          <w:p w14:paraId="39537C2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t>《地表水环境质量标准》III类</w:t>
            </w:r>
            <w:r>
              <w:rPr>
                <w:rFonts w:hint="eastAsia" w:cs="Times New Roman"/>
                <w:caps w:val="0"/>
                <w:snapToGrid/>
                <w:color w:val="auto"/>
                <w:spacing w:val="0"/>
                <w:w w:val="100"/>
                <w:kern w:val="21"/>
                <w:position w:val="0"/>
                <w:sz w:val="21"/>
                <w:szCs w:val="21"/>
                <w:highlight w:val="none"/>
                <w:shd w:val="clear" w:color="auto" w:fill="auto"/>
                <w:lang w:val="en-US" w:eastAsia="zh-CN"/>
              </w:rPr>
              <w:t>功能区</w:t>
            </w:r>
          </w:p>
        </w:tc>
        <w:tc>
          <w:tcPr>
            <w:tcW w:w="526" w:type="pct"/>
            <w:tcBorders>
              <w:tl2br w:val="nil"/>
              <w:tr2bl w:val="nil"/>
            </w:tcBorders>
            <w:noWrap w:val="0"/>
            <w:vAlign w:val="center"/>
          </w:tcPr>
          <w:p w14:paraId="4CB711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南侧</w:t>
            </w:r>
          </w:p>
        </w:tc>
        <w:tc>
          <w:tcPr>
            <w:tcW w:w="381" w:type="pct"/>
            <w:tcBorders>
              <w:tl2br w:val="nil"/>
              <w:tr2bl w:val="nil"/>
            </w:tcBorders>
            <w:noWrap w:val="0"/>
            <w:vAlign w:val="center"/>
          </w:tcPr>
          <w:p w14:paraId="56BBF1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3km</w:t>
            </w:r>
          </w:p>
        </w:tc>
        <w:tc>
          <w:tcPr>
            <w:tcW w:w="766" w:type="pct"/>
            <w:tcBorders>
              <w:tl2br w:val="nil"/>
              <w:tr2bl w:val="nil"/>
            </w:tcBorders>
            <w:noWrap w:val="0"/>
            <w:vAlign w:val="center"/>
          </w:tcPr>
          <w:p w14:paraId="0DD1896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t>《地表水环境质量标准》III类</w:t>
            </w:r>
            <w:r>
              <w:rPr>
                <w:rFonts w:hint="eastAsia" w:cs="Times New Roman"/>
                <w:caps w:val="0"/>
                <w:snapToGrid/>
                <w:color w:val="auto"/>
                <w:spacing w:val="0"/>
                <w:w w:val="100"/>
                <w:kern w:val="21"/>
                <w:position w:val="0"/>
                <w:sz w:val="21"/>
                <w:szCs w:val="21"/>
                <w:highlight w:val="none"/>
                <w:shd w:val="clear" w:color="auto" w:fill="auto"/>
                <w:lang w:val="en-US" w:eastAsia="zh-CN"/>
              </w:rPr>
              <w:t>标准</w:t>
            </w: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t>。</w:t>
            </w:r>
          </w:p>
        </w:tc>
      </w:tr>
      <w:tr w14:paraId="63FF43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28" w:type="pct"/>
            <w:tcBorders>
              <w:tl2br w:val="nil"/>
              <w:tr2bl w:val="nil"/>
            </w:tcBorders>
            <w:noWrap w:val="0"/>
            <w:vAlign w:val="center"/>
          </w:tcPr>
          <w:p w14:paraId="74165F6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t>地下</w:t>
            </w: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t>水</w:t>
            </w:r>
          </w:p>
        </w:tc>
        <w:tc>
          <w:tcPr>
            <w:tcW w:w="1278" w:type="pct"/>
            <w:gridSpan w:val="3"/>
            <w:tcBorders>
              <w:tl2br w:val="nil"/>
              <w:tr2bl w:val="nil"/>
            </w:tcBorders>
            <w:noWrap w:val="0"/>
            <w:vAlign w:val="center"/>
          </w:tcPr>
          <w:p w14:paraId="76335B6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t>本项目评价范围内的地下水潜水含水层</w:t>
            </w:r>
          </w:p>
        </w:tc>
        <w:tc>
          <w:tcPr>
            <w:tcW w:w="411" w:type="pct"/>
            <w:tcBorders>
              <w:tl2br w:val="nil"/>
              <w:tr2bl w:val="nil"/>
            </w:tcBorders>
            <w:noWrap w:val="0"/>
            <w:vAlign w:val="center"/>
          </w:tcPr>
          <w:p w14:paraId="707AC89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eastAsia="zh-CN"/>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eastAsia="zh-CN"/>
              </w:rPr>
              <w:t>地下水环境</w:t>
            </w:r>
          </w:p>
        </w:tc>
        <w:tc>
          <w:tcPr>
            <w:tcW w:w="739" w:type="pct"/>
            <w:tcBorders>
              <w:tl2br w:val="nil"/>
              <w:tr2bl w:val="nil"/>
            </w:tcBorders>
            <w:noWrap w:val="0"/>
            <w:vAlign w:val="center"/>
          </w:tcPr>
          <w:p w14:paraId="75A5F8C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t>地下水水质不受本项目影响</w:t>
            </w:r>
          </w:p>
        </w:tc>
        <w:tc>
          <w:tcPr>
            <w:tcW w:w="668" w:type="pct"/>
            <w:tcBorders>
              <w:tl2br w:val="nil"/>
              <w:tr2bl w:val="nil"/>
            </w:tcBorders>
            <w:noWrap w:val="0"/>
            <w:vAlign w:val="center"/>
          </w:tcPr>
          <w:p w14:paraId="5CA06B7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t>/</w:t>
            </w:r>
          </w:p>
        </w:tc>
        <w:tc>
          <w:tcPr>
            <w:tcW w:w="526" w:type="pct"/>
            <w:tcBorders>
              <w:tl2br w:val="nil"/>
              <w:tr2bl w:val="nil"/>
            </w:tcBorders>
            <w:noWrap w:val="0"/>
            <w:vAlign w:val="center"/>
          </w:tcPr>
          <w:p w14:paraId="5B45100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t>/</w:t>
            </w:r>
          </w:p>
        </w:tc>
        <w:tc>
          <w:tcPr>
            <w:tcW w:w="381" w:type="pct"/>
            <w:tcBorders>
              <w:tl2br w:val="nil"/>
              <w:tr2bl w:val="nil"/>
            </w:tcBorders>
            <w:noWrap w:val="0"/>
            <w:vAlign w:val="center"/>
          </w:tcPr>
          <w:p w14:paraId="1385DFE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t>/</w:t>
            </w:r>
          </w:p>
        </w:tc>
        <w:tc>
          <w:tcPr>
            <w:tcW w:w="766" w:type="pct"/>
            <w:tcBorders>
              <w:tl2br w:val="nil"/>
              <w:tr2bl w:val="nil"/>
            </w:tcBorders>
            <w:noWrap w:val="0"/>
            <w:vAlign w:val="center"/>
          </w:tcPr>
          <w:p w14:paraId="2A94955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t>《地下水质量标准》（GB/T14848-2017）Ⅲ类标准</w:t>
            </w:r>
          </w:p>
        </w:tc>
      </w:tr>
      <w:tr w14:paraId="4B537A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28" w:type="pct"/>
            <w:tcBorders>
              <w:tl2br w:val="nil"/>
              <w:tr2bl w:val="nil"/>
            </w:tcBorders>
            <w:noWrap w:val="0"/>
            <w:vAlign w:val="center"/>
          </w:tcPr>
          <w:p w14:paraId="67242A5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t>声环境</w:t>
            </w:r>
          </w:p>
        </w:tc>
        <w:tc>
          <w:tcPr>
            <w:tcW w:w="1278" w:type="pct"/>
            <w:gridSpan w:val="3"/>
            <w:tcBorders>
              <w:tl2br w:val="nil"/>
              <w:tr2bl w:val="nil"/>
            </w:tcBorders>
            <w:noWrap w:val="0"/>
            <w:vAlign w:val="center"/>
          </w:tcPr>
          <w:p w14:paraId="63B2DB1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t>评价范围内无声环境敏感目标</w:t>
            </w:r>
          </w:p>
        </w:tc>
        <w:tc>
          <w:tcPr>
            <w:tcW w:w="411" w:type="pct"/>
            <w:tcBorders>
              <w:tl2br w:val="nil"/>
              <w:tr2bl w:val="nil"/>
            </w:tcBorders>
            <w:noWrap w:val="0"/>
            <w:vAlign w:val="center"/>
          </w:tcPr>
          <w:p w14:paraId="74DA10C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t>声环境</w:t>
            </w:r>
          </w:p>
        </w:tc>
        <w:tc>
          <w:tcPr>
            <w:tcW w:w="739" w:type="pct"/>
            <w:tcBorders>
              <w:tl2br w:val="nil"/>
              <w:tr2bl w:val="nil"/>
            </w:tcBorders>
            <w:noWrap w:val="0"/>
            <w:vAlign w:val="center"/>
          </w:tcPr>
          <w:p w14:paraId="7B19EA0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t>满足声环境质量标准要求</w:t>
            </w:r>
          </w:p>
        </w:tc>
        <w:tc>
          <w:tcPr>
            <w:tcW w:w="668" w:type="pct"/>
            <w:tcBorders>
              <w:tl2br w:val="nil"/>
              <w:tr2bl w:val="nil"/>
            </w:tcBorders>
            <w:noWrap w:val="0"/>
            <w:vAlign w:val="center"/>
          </w:tcPr>
          <w:p w14:paraId="4FDDFD6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t>3类声环境功能区</w:t>
            </w:r>
          </w:p>
        </w:tc>
        <w:tc>
          <w:tcPr>
            <w:tcW w:w="526" w:type="pct"/>
            <w:tcBorders>
              <w:tl2br w:val="nil"/>
              <w:tr2bl w:val="nil"/>
            </w:tcBorders>
            <w:noWrap w:val="0"/>
            <w:vAlign w:val="center"/>
          </w:tcPr>
          <w:p w14:paraId="7B10308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t>/</w:t>
            </w:r>
          </w:p>
        </w:tc>
        <w:tc>
          <w:tcPr>
            <w:tcW w:w="381" w:type="pct"/>
            <w:tcBorders>
              <w:tl2br w:val="nil"/>
              <w:tr2bl w:val="nil"/>
            </w:tcBorders>
            <w:noWrap w:val="0"/>
            <w:vAlign w:val="center"/>
          </w:tcPr>
          <w:p w14:paraId="610110E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t>/</w:t>
            </w:r>
          </w:p>
        </w:tc>
        <w:tc>
          <w:tcPr>
            <w:tcW w:w="766" w:type="pct"/>
            <w:tcBorders>
              <w:tl2br w:val="nil"/>
              <w:tr2bl w:val="nil"/>
            </w:tcBorders>
            <w:noWrap w:val="0"/>
            <w:vAlign w:val="center"/>
          </w:tcPr>
          <w:p w14:paraId="302E57E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t>《声环境质量标准》中的3类区标准限值</w:t>
            </w:r>
          </w:p>
        </w:tc>
      </w:tr>
      <w:tr w14:paraId="2510B2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28" w:type="pct"/>
            <w:tcBorders>
              <w:tl2br w:val="nil"/>
              <w:tr2bl w:val="nil"/>
            </w:tcBorders>
            <w:noWrap w:val="0"/>
            <w:vAlign w:val="center"/>
          </w:tcPr>
          <w:p w14:paraId="32CD4CA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t>生态环境</w:t>
            </w:r>
          </w:p>
        </w:tc>
        <w:tc>
          <w:tcPr>
            <w:tcW w:w="1278" w:type="pct"/>
            <w:gridSpan w:val="3"/>
            <w:tcBorders>
              <w:tl2br w:val="nil"/>
              <w:tr2bl w:val="nil"/>
            </w:tcBorders>
            <w:noWrap w:val="0"/>
            <w:vAlign w:val="center"/>
          </w:tcPr>
          <w:p w14:paraId="5C7A54A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t>不涉及生态环境保护目标</w:t>
            </w:r>
          </w:p>
        </w:tc>
        <w:tc>
          <w:tcPr>
            <w:tcW w:w="411" w:type="pct"/>
            <w:tcBorders>
              <w:tl2br w:val="nil"/>
              <w:tr2bl w:val="nil"/>
            </w:tcBorders>
            <w:noWrap w:val="0"/>
            <w:vAlign w:val="center"/>
          </w:tcPr>
          <w:p w14:paraId="0A906CA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t>生态环境</w:t>
            </w:r>
          </w:p>
        </w:tc>
        <w:tc>
          <w:tcPr>
            <w:tcW w:w="739" w:type="pct"/>
            <w:tcBorders>
              <w:tl2br w:val="nil"/>
              <w:tr2bl w:val="nil"/>
            </w:tcBorders>
            <w:noWrap w:val="0"/>
            <w:vAlign w:val="center"/>
          </w:tcPr>
          <w:p w14:paraId="4796637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t>保护现有生态环境不被破坏</w:t>
            </w:r>
          </w:p>
        </w:tc>
        <w:tc>
          <w:tcPr>
            <w:tcW w:w="668" w:type="pct"/>
            <w:tcBorders>
              <w:tl2br w:val="nil"/>
              <w:tr2bl w:val="nil"/>
            </w:tcBorders>
            <w:noWrap w:val="0"/>
            <w:vAlign w:val="center"/>
          </w:tcPr>
          <w:p w14:paraId="10C92A2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t>/</w:t>
            </w:r>
          </w:p>
        </w:tc>
        <w:tc>
          <w:tcPr>
            <w:tcW w:w="526" w:type="pct"/>
            <w:tcBorders>
              <w:tl2br w:val="nil"/>
              <w:tr2bl w:val="nil"/>
            </w:tcBorders>
            <w:noWrap w:val="0"/>
            <w:vAlign w:val="center"/>
          </w:tcPr>
          <w:p w14:paraId="31674FB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t>/</w:t>
            </w:r>
          </w:p>
        </w:tc>
        <w:tc>
          <w:tcPr>
            <w:tcW w:w="381" w:type="pct"/>
            <w:tcBorders>
              <w:tl2br w:val="nil"/>
              <w:tr2bl w:val="nil"/>
            </w:tcBorders>
            <w:noWrap w:val="0"/>
            <w:vAlign w:val="center"/>
          </w:tcPr>
          <w:p w14:paraId="3A90F93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t>/</w:t>
            </w:r>
          </w:p>
        </w:tc>
        <w:tc>
          <w:tcPr>
            <w:tcW w:w="766" w:type="pct"/>
            <w:tcBorders>
              <w:tl2br w:val="nil"/>
              <w:tr2bl w:val="nil"/>
            </w:tcBorders>
            <w:noWrap w:val="0"/>
            <w:vAlign w:val="center"/>
          </w:tcPr>
          <w:p w14:paraId="25AAC7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t>保护现有生态环境不被破坏</w:t>
            </w:r>
          </w:p>
        </w:tc>
      </w:tr>
      <w:tr w14:paraId="551F87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228" w:type="pct"/>
            <w:tcBorders>
              <w:tl2br w:val="nil"/>
              <w:tr2bl w:val="nil"/>
            </w:tcBorders>
            <w:noWrap w:val="0"/>
            <w:vAlign w:val="center"/>
          </w:tcPr>
          <w:p w14:paraId="660CDB5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t>环境风险</w:t>
            </w:r>
          </w:p>
        </w:tc>
        <w:tc>
          <w:tcPr>
            <w:tcW w:w="1278" w:type="pct"/>
            <w:gridSpan w:val="3"/>
            <w:tcBorders>
              <w:tl2br w:val="nil"/>
              <w:tr2bl w:val="nil"/>
            </w:tcBorders>
            <w:noWrap w:val="0"/>
            <w:vAlign w:val="center"/>
          </w:tcPr>
          <w:p w14:paraId="7515C9F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t>评价范围内无人群聚集区，主要影响人群为本企业员工和厂区附近的企业。</w:t>
            </w:r>
          </w:p>
        </w:tc>
        <w:tc>
          <w:tcPr>
            <w:tcW w:w="411" w:type="pct"/>
            <w:tcBorders>
              <w:tl2br w:val="nil"/>
              <w:tr2bl w:val="nil"/>
            </w:tcBorders>
            <w:noWrap w:val="0"/>
            <w:vAlign w:val="center"/>
          </w:tcPr>
          <w:p w14:paraId="6292A2B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t>环境风险</w:t>
            </w:r>
          </w:p>
        </w:tc>
        <w:tc>
          <w:tcPr>
            <w:tcW w:w="739" w:type="pct"/>
            <w:tcBorders>
              <w:tl2br w:val="nil"/>
              <w:tr2bl w:val="nil"/>
            </w:tcBorders>
            <w:noWrap w:val="0"/>
            <w:vAlign w:val="center"/>
          </w:tcPr>
          <w:p w14:paraId="1F367DE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t>降低环境风险发生概率，保证环境风险发生时能够得到及时控制，不对周围企业及外环境产生不利影响</w:t>
            </w:r>
          </w:p>
        </w:tc>
        <w:tc>
          <w:tcPr>
            <w:tcW w:w="668" w:type="pct"/>
            <w:tcBorders>
              <w:tl2br w:val="nil"/>
              <w:tr2bl w:val="nil"/>
            </w:tcBorders>
            <w:noWrap w:val="0"/>
            <w:vAlign w:val="center"/>
          </w:tcPr>
          <w:p w14:paraId="45DB4F6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t>/</w:t>
            </w:r>
          </w:p>
        </w:tc>
        <w:tc>
          <w:tcPr>
            <w:tcW w:w="526" w:type="pct"/>
            <w:tcBorders>
              <w:tl2br w:val="nil"/>
              <w:tr2bl w:val="nil"/>
            </w:tcBorders>
            <w:noWrap w:val="0"/>
            <w:vAlign w:val="center"/>
          </w:tcPr>
          <w:p w14:paraId="61F6672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t>/</w:t>
            </w:r>
          </w:p>
        </w:tc>
        <w:tc>
          <w:tcPr>
            <w:tcW w:w="381" w:type="pct"/>
            <w:tcBorders>
              <w:tl2br w:val="nil"/>
              <w:tr2bl w:val="nil"/>
            </w:tcBorders>
            <w:noWrap w:val="0"/>
            <w:vAlign w:val="center"/>
          </w:tcPr>
          <w:p w14:paraId="73F17E5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t>/</w:t>
            </w:r>
          </w:p>
        </w:tc>
        <w:tc>
          <w:tcPr>
            <w:tcW w:w="766" w:type="pct"/>
            <w:tcBorders>
              <w:tl2br w:val="nil"/>
              <w:tr2bl w:val="nil"/>
            </w:tcBorders>
            <w:noWrap w:val="0"/>
            <w:vAlign w:val="center"/>
          </w:tcPr>
          <w:p w14:paraId="0CBC958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t>降低环境风险发生概率，保证环境风险发生时能够得到及时控制，不对周围企业及外环境产生不利影响</w:t>
            </w:r>
          </w:p>
        </w:tc>
      </w:tr>
      <w:tr w14:paraId="00F0C3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5000" w:type="pct"/>
            <w:gridSpan w:val="10"/>
            <w:tcBorders>
              <w:tl2br w:val="nil"/>
              <w:tr2bl w:val="nil"/>
            </w:tcBorders>
            <w:noWrap w:val="0"/>
            <w:vAlign w:val="center"/>
          </w:tcPr>
          <w:p w14:paraId="0215E6A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rPr>
            </w:pPr>
            <w:r>
              <w:rPr>
                <w:rFonts w:hint="default" w:ascii="Times New Roman" w:hAnsi="Times New Roman" w:eastAsia="宋体" w:cs="Times New Roman"/>
                <w:b/>
                <w:bCs/>
                <w:caps w:val="0"/>
                <w:snapToGrid/>
                <w:color w:val="auto"/>
                <w:spacing w:val="0"/>
                <w:w w:val="100"/>
                <w:kern w:val="21"/>
                <w:position w:val="0"/>
                <w:sz w:val="18"/>
                <w:szCs w:val="18"/>
                <w:highlight w:val="none"/>
                <w:shd w:val="clear" w:color="auto" w:fill="auto"/>
                <w:lang w:val="en-US" w:eastAsia="zh-CN"/>
              </w:rPr>
              <w:t>备注：以</w:t>
            </w:r>
            <w:r>
              <w:rPr>
                <w:rFonts w:hint="eastAsia" w:ascii="Times New Roman" w:hAnsi="Times New Roman" w:eastAsia="宋体" w:cs="Times New Roman"/>
                <w:b/>
                <w:bCs/>
                <w:caps w:val="0"/>
                <w:snapToGrid/>
                <w:color w:val="auto"/>
                <w:spacing w:val="0"/>
                <w:w w:val="100"/>
                <w:kern w:val="21"/>
                <w:position w:val="0"/>
                <w:sz w:val="18"/>
                <w:szCs w:val="18"/>
                <w:highlight w:val="none"/>
                <w:shd w:val="clear" w:color="auto" w:fill="auto"/>
                <w:lang w:val="en-US" w:eastAsia="zh-CN"/>
              </w:rPr>
              <w:t>厂址</w:t>
            </w:r>
            <w:r>
              <w:rPr>
                <w:rFonts w:hint="default" w:ascii="Times New Roman" w:hAnsi="Times New Roman" w:eastAsia="宋体" w:cs="Times New Roman"/>
                <w:b/>
                <w:bCs/>
                <w:caps w:val="0"/>
                <w:snapToGrid/>
                <w:color w:val="auto"/>
                <w:spacing w:val="0"/>
                <w:w w:val="100"/>
                <w:kern w:val="21"/>
                <w:position w:val="0"/>
                <w:sz w:val="18"/>
                <w:szCs w:val="18"/>
                <w:highlight w:val="none"/>
                <w:shd w:val="clear" w:color="auto" w:fill="auto"/>
                <w:lang w:val="en-US" w:eastAsia="zh-CN"/>
              </w:rPr>
              <w:t>为中心</w:t>
            </w:r>
          </w:p>
        </w:tc>
      </w:tr>
    </w:tbl>
    <w:p w14:paraId="1B1CEEF6">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60" w:name="_Toc7390"/>
      <w:bookmarkStart w:id="161" w:name="_Toc13712"/>
      <w:r>
        <w:rPr>
          <w:rFonts w:hint="default"/>
          <w:color w:val="auto"/>
          <w:spacing w:val="0"/>
          <w:w w:val="100"/>
          <w:position w:val="0"/>
          <w:highlight w:val="none"/>
          <w:lang w:val="en-US" w:eastAsia="zh-CN"/>
        </w:rPr>
        <w:t>2.5环境功能区划</w:t>
      </w:r>
      <w:bookmarkEnd w:id="160"/>
      <w:bookmarkEnd w:id="161"/>
    </w:p>
    <w:p w14:paraId="103DC5D1">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62" w:name="_Toc3106"/>
      <w:r>
        <w:rPr>
          <w:rFonts w:hint="default"/>
          <w:color w:val="auto"/>
          <w:spacing w:val="0"/>
          <w:w w:val="100"/>
          <w:position w:val="0"/>
          <w:highlight w:val="none"/>
          <w:lang w:val="en-US" w:eastAsia="zh-CN"/>
        </w:rPr>
        <w:t>2.5.1大气环境功能区划</w:t>
      </w:r>
      <w:bookmarkEnd w:id="162"/>
    </w:p>
    <w:p w14:paraId="551E30D9">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根据《环境空气质量标准》（GB3095-20</w:t>
      </w:r>
      <w:r>
        <w:rPr>
          <w:rFonts w:hint="eastAsia"/>
          <w:color w:val="auto"/>
          <w:spacing w:val="0"/>
          <w:w w:val="100"/>
          <w:position w:val="0"/>
          <w:highlight w:val="none"/>
          <w:lang w:val="en-US" w:eastAsia="zh-CN"/>
        </w:rPr>
        <w:t>26</w:t>
      </w:r>
      <w:r>
        <w:rPr>
          <w:rFonts w:hint="default"/>
          <w:color w:val="auto"/>
          <w:spacing w:val="0"/>
          <w:w w:val="100"/>
          <w:position w:val="0"/>
          <w:highlight w:val="none"/>
          <w:lang w:val="en-US" w:eastAsia="zh-CN"/>
        </w:rPr>
        <w:t>）中的环境空气质量功能区分类，项目区所在区域环境空气功能为二类区，故执行《环境空气质量标准》（GB3095-20</w:t>
      </w:r>
      <w:r>
        <w:rPr>
          <w:rFonts w:hint="eastAsia"/>
          <w:color w:val="auto"/>
          <w:spacing w:val="0"/>
          <w:w w:val="100"/>
          <w:position w:val="0"/>
          <w:highlight w:val="none"/>
          <w:lang w:val="en-US" w:eastAsia="zh-CN"/>
        </w:rPr>
        <w:t>26</w:t>
      </w:r>
      <w:r>
        <w:rPr>
          <w:rFonts w:hint="default"/>
          <w:color w:val="auto"/>
          <w:spacing w:val="0"/>
          <w:w w:val="100"/>
          <w:position w:val="0"/>
          <w:highlight w:val="none"/>
          <w:lang w:val="en-US" w:eastAsia="zh-CN"/>
        </w:rPr>
        <w:t>）中</w:t>
      </w:r>
      <w:r>
        <w:rPr>
          <w:rFonts w:hint="eastAsia"/>
          <w:color w:val="auto"/>
          <w:spacing w:val="0"/>
          <w:w w:val="100"/>
          <w:position w:val="0"/>
          <w:highlight w:val="none"/>
          <w:lang w:val="en-US" w:eastAsia="zh-CN"/>
        </w:rPr>
        <w:t>过渡阶段浓度限值二级</w:t>
      </w:r>
      <w:r>
        <w:rPr>
          <w:rFonts w:hint="default"/>
          <w:color w:val="auto"/>
          <w:spacing w:val="0"/>
          <w:w w:val="100"/>
          <w:position w:val="0"/>
          <w:highlight w:val="none"/>
          <w:lang w:val="en-US" w:eastAsia="zh-CN"/>
        </w:rPr>
        <w:t>标准。</w:t>
      </w:r>
    </w:p>
    <w:p w14:paraId="265A7314">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63" w:name="_Toc18006"/>
      <w:r>
        <w:rPr>
          <w:rFonts w:hint="default"/>
          <w:color w:val="auto"/>
          <w:spacing w:val="0"/>
          <w:w w:val="100"/>
          <w:position w:val="0"/>
          <w:highlight w:val="none"/>
          <w:lang w:val="en-US" w:eastAsia="zh-CN"/>
        </w:rPr>
        <w:t>2.5.2声环境功能区划</w:t>
      </w:r>
      <w:bookmarkEnd w:id="163"/>
    </w:p>
    <w:p w14:paraId="2AD389BC">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根据《声环境质量标准》（GB3096-2008）声环境功能区分类，3类声环境功能区“指以工业生产、仓储物流为主要功能，需要防止工业噪声对周围环境产生严重影响的区域”，本项目位于</w:t>
      </w:r>
      <w:r>
        <w:rPr>
          <w:rFonts w:hint="eastAsia"/>
          <w:color w:val="auto"/>
          <w:spacing w:val="0"/>
          <w:w w:val="100"/>
          <w:position w:val="0"/>
          <w:highlight w:val="none"/>
          <w:lang w:val="en-US" w:eastAsia="zh-CN"/>
        </w:rPr>
        <w:t>甘泉堡工业园区中小微企业创新区</w:t>
      </w:r>
      <w:r>
        <w:rPr>
          <w:rFonts w:hint="default"/>
          <w:color w:val="auto"/>
          <w:spacing w:val="0"/>
          <w:w w:val="100"/>
          <w:position w:val="0"/>
          <w:highlight w:val="none"/>
          <w:lang w:val="en-US" w:eastAsia="zh-CN"/>
        </w:rPr>
        <w:t>，所在区域声环境功能确定为3类区。</w:t>
      </w:r>
    </w:p>
    <w:p w14:paraId="4460D639">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64" w:name="_Toc16237"/>
      <w:r>
        <w:rPr>
          <w:rFonts w:hint="default"/>
          <w:color w:val="auto"/>
          <w:spacing w:val="0"/>
          <w:w w:val="100"/>
          <w:position w:val="0"/>
          <w:highlight w:val="none"/>
          <w:lang w:val="en-US" w:eastAsia="zh-CN"/>
        </w:rPr>
        <w:t>2.5.3水环境功能区划</w:t>
      </w:r>
      <w:bookmarkEnd w:id="164"/>
    </w:p>
    <w:p w14:paraId="49A46639">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地下水执行《地下水质量标准》（GB/T14848-2017）中Ⅲ类标准。</w:t>
      </w:r>
    </w:p>
    <w:p w14:paraId="255FF4F8">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65" w:name="_Toc30911"/>
      <w:r>
        <w:rPr>
          <w:rFonts w:hint="default"/>
          <w:color w:val="auto"/>
          <w:spacing w:val="0"/>
          <w:w w:val="100"/>
          <w:position w:val="0"/>
          <w:highlight w:val="none"/>
          <w:lang w:val="en-US" w:eastAsia="zh-CN"/>
        </w:rPr>
        <w:t>2.5.4土壤环境功能区划</w:t>
      </w:r>
      <w:bookmarkEnd w:id="165"/>
    </w:p>
    <w:p w14:paraId="0147F6B1">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本项目土地利用类型为工业用地，因此土壤环境执行《土壤环境质量 建设用地土壤污染风险管控标准（试行）》（GB36600-2018）中的筛选值。</w:t>
      </w:r>
    </w:p>
    <w:p w14:paraId="244D28EC">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66" w:name="_Toc19446"/>
      <w:r>
        <w:rPr>
          <w:rFonts w:hint="default"/>
          <w:color w:val="auto"/>
          <w:spacing w:val="0"/>
          <w:w w:val="100"/>
          <w:position w:val="0"/>
          <w:highlight w:val="none"/>
          <w:lang w:val="en-US" w:eastAsia="zh-CN"/>
        </w:rPr>
        <w:t>2.5.5生态功能区划</w:t>
      </w:r>
      <w:bookmarkEnd w:id="166"/>
    </w:p>
    <w:p w14:paraId="62BD5584">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根据《新疆生态功能区划》（新政函〔2005〕96号），本项目所在区域生态功能属Ⅱ准噶尔盆地温性荒漠与绿洲农业生态区—Ⅱ5准噶尔盆地南部荒漠绿洲农业生态亚区—2</w:t>
      </w:r>
      <w:r>
        <w:rPr>
          <w:rFonts w:hint="eastAsia"/>
          <w:color w:val="auto"/>
          <w:spacing w:val="0"/>
          <w:w w:val="100"/>
          <w:position w:val="0"/>
          <w:highlight w:val="none"/>
          <w:lang w:val="en-US" w:eastAsia="zh-CN"/>
        </w:rPr>
        <w:t>8.阜康</w:t>
      </w:r>
      <w:r>
        <w:rPr>
          <w:rFonts w:hint="default"/>
          <w:color w:val="auto"/>
          <w:spacing w:val="0"/>
          <w:w w:val="100"/>
          <w:position w:val="0"/>
          <w:highlight w:val="none"/>
          <w:lang w:val="en-US" w:eastAsia="zh-CN"/>
        </w:rPr>
        <w:t>—</w:t>
      </w:r>
      <w:r>
        <w:rPr>
          <w:rFonts w:hint="eastAsia"/>
          <w:color w:val="auto"/>
          <w:spacing w:val="0"/>
          <w:w w:val="100"/>
          <w:position w:val="0"/>
          <w:highlight w:val="none"/>
          <w:lang w:val="en-US" w:eastAsia="zh-CN"/>
        </w:rPr>
        <w:t>木垒</w:t>
      </w:r>
      <w:r>
        <w:rPr>
          <w:rFonts w:hint="default"/>
          <w:color w:val="auto"/>
          <w:spacing w:val="0"/>
          <w:w w:val="100"/>
          <w:position w:val="0"/>
          <w:highlight w:val="none"/>
          <w:lang w:val="en-US" w:eastAsia="zh-CN"/>
        </w:rPr>
        <w:t>绿洲农业</w:t>
      </w:r>
      <w:r>
        <w:rPr>
          <w:rFonts w:hint="eastAsia"/>
          <w:color w:val="auto"/>
          <w:spacing w:val="0"/>
          <w:w w:val="100"/>
          <w:position w:val="0"/>
          <w:highlight w:val="none"/>
          <w:lang w:val="en-US" w:eastAsia="zh-CN"/>
        </w:rPr>
        <w:t>、荒漠草地保护</w:t>
      </w:r>
      <w:r>
        <w:rPr>
          <w:rFonts w:hint="default"/>
          <w:color w:val="auto"/>
          <w:spacing w:val="0"/>
          <w:w w:val="100"/>
          <w:position w:val="0"/>
          <w:highlight w:val="none"/>
          <w:lang w:val="en-US" w:eastAsia="zh-CN"/>
        </w:rPr>
        <w:t>生态功能区。新疆生态功能区划简表（片段）见表2.</w:t>
      </w:r>
      <w:r>
        <w:rPr>
          <w:rFonts w:hint="eastAsia"/>
          <w:color w:val="auto"/>
          <w:spacing w:val="0"/>
          <w:w w:val="100"/>
          <w:position w:val="0"/>
          <w:highlight w:val="none"/>
          <w:lang w:val="en-US" w:eastAsia="zh-CN"/>
        </w:rPr>
        <w:t>5.5-1。</w:t>
      </w:r>
    </w:p>
    <w:p w14:paraId="2FE3C2C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宋体" w:cs="Times New Roman"/>
          <w:b/>
          <w:bCs/>
          <w:caps w:val="0"/>
          <w:snapToGrid/>
          <w:color w:val="auto"/>
          <w:spacing w:val="0"/>
          <w:w w:val="100"/>
          <w:kern w:val="21"/>
          <w:position w:val="0"/>
          <w:sz w:val="21"/>
          <w:szCs w:val="21"/>
          <w:highlight w:val="none"/>
          <w:vertAlign w:val="superscript"/>
          <w:lang w:eastAsia="zh-CN"/>
        </w:rPr>
      </w:pPr>
      <w:r>
        <w:rPr>
          <w:rFonts w:hint="default" w:ascii="Times New Roman" w:hAnsi="Times New Roman" w:eastAsia="宋体" w:cs="Times New Roman"/>
          <w:b/>
          <w:bCs/>
          <w:caps w:val="0"/>
          <w:snapToGrid/>
          <w:color w:val="auto"/>
          <w:spacing w:val="0"/>
          <w:w w:val="100"/>
          <w:kern w:val="21"/>
          <w:position w:val="0"/>
          <w:sz w:val="21"/>
          <w:szCs w:val="21"/>
          <w:highlight w:val="none"/>
        </w:rPr>
        <w:t>表</w:t>
      </w:r>
      <w:r>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rPr>
        <w:t>2.5</w:t>
      </w:r>
      <w:r>
        <w:rPr>
          <w:rFonts w:hint="eastAsia" w:cs="Times New Roman"/>
          <w:b/>
          <w:bCs/>
          <w:caps w:val="0"/>
          <w:snapToGrid/>
          <w:color w:val="auto"/>
          <w:spacing w:val="0"/>
          <w:w w:val="100"/>
          <w:kern w:val="21"/>
          <w:position w:val="0"/>
          <w:sz w:val="21"/>
          <w:szCs w:val="21"/>
          <w:highlight w:val="none"/>
          <w:lang w:val="en-US" w:eastAsia="zh-CN"/>
        </w:rPr>
        <w:t>.5</w:t>
      </w:r>
      <w:r>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rPr>
        <w:t>-</w:t>
      </w:r>
      <w:r>
        <w:rPr>
          <w:rFonts w:hint="default" w:ascii="Times New Roman" w:hAnsi="Times New Roman" w:eastAsia="宋体" w:cs="Times New Roman"/>
          <w:b/>
          <w:bCs/>
          <w:caps w:val="0"/>
          <w:snapToGrid/>
          <w:color w:val="auto"/>
          <w:spacing w:val="0"/>
          <w:w w:val="100"/>
          <w:kern w:val="21"/>
          <w:position w:val="0"/>
          <w:sz w:val="21"/>
          <w:szCs w:val="21"/>
          <w:highlight w:val="none"/>
        </w:rPr>
        <w:t xml:space="preserve">1 </w:t>
      </w:r>
      <w:r>
        <w:rPr>
          <w:rFonts w:hint="eastAsia" w:ascii="Times New Roman" w:hAnsi="Times New Roman" w:eastAsia="宋体" w:cs="Times New Roman"/>
          <w:b/>
          <w:bCs/>
          <w:caps w:val="0"/>
          <w:snapToGrid/>
          <w:color w:val="auto"/>
          <w:spacing w:val="0"/>
          <w:w w:val="100"/>
          <w:kern w:val="21"/>
          <w:position w:val="0"/>
          <w:sz w:val="21"/>
          <w:szCs w:val="21"/>
          <w:highlight w:val="none"/>
          <w:lang w:val="en-US" w:eastAsia="zh-CN"/>
        </w:rPr>
        <w:t xml:space="preserve"> </w:t>
      </w:r>
      <w:r>
        <w:rPr>
          <w:rFonts w:hint="default" w:ascii="Times New Roman" w:hAnsi="Times New Roman" w:eastAsia="宋体" w:cs="Times New Roman"/>
          <w:b/>
          <w:bCs/>
          <w:caps w:val="0"/>
          <w:snapToGrid/>
          <w:color w:val="auto"/>
          <w:spacing w:val="0"/>
          <w:w w:val="100"/>
          <w:kern w:val="21"/>
          <w:position w:val="0"/>
          <w:sz w:val="21"/>
          <w:szCs w:val="21"/>
          <w:highlight w:val="none"/>
        </w:rPr>
        <w:t>生态功能区划简表</w:t>
      </w:r>
      <w:r>
        <w:rPr>
          <w:rFonts w:hint="eastAsia" w:ascii="Times New Roman" w:hAnsi="Times New Roman" w:eastAsia="宋体" w:cs="Times New Roman"/>
          <w:b/>
          <w:bCs/>
          <w:caps w:val="0"/>
          <w:snapToGrid/>
          <w:color w:val="auto"/>
          <w:spacing w:val="0"/>
          <w:w w:val="100"/>
          <w:kern w:val="21"/>
          <w:position w:val="0"/>
          <w:sz w:val="21"/>
          <w:szCs w:val="21"/>
          <w:highlight w:val="none"/>
          <w:lang w:eastAsia="zh-CN"/>
        </w:rPr>
        <w:t>（</w:t>
      </w:r>
      <w:r>
        <w:rPr>
          <w:rFonts w:hint="eastAsia" w:ascii="Times New Roman" w:hAnsi="Times New Roman" w:eastAsia="宋体" w:cs="Times New Roman"/>
          <w:b/>
          <w:bCs/>
          <w:caps w:val="0"/>
          <w:snapToGrid/>
          <w:color w:val="auto"/>
          <w:spacing w:val="0"/>
          <w:w w:val="100"/>
          <w:kern w:val="21"/>
          <w:position w:val="0"/>
          <w:sz w:val="21"/>
          <w:szCs w:val="21"/>
          <w:highlight w:val="none"/>
          <w:lang w:val="en-US" w:eastAsia="zh-CN"/>
        </w:rPr>
        <w:t>片段</w:t>
      </w:r>
      <w:r>
        <w:rPr>
          <w:rFonts w:hint="eastAsia" w:ascii="Times New Roman" w:hAnsi="Times New Roman" w:eastAsia="宋体" w:cs="Times New Roman"/>
          <w:b/>
          <w:bCs/>
          <w:caps w:val="0"/>
          <w:snapToGrid/>
          <w:color w:val="auto"/>
          <w:spacing w:val="0"/>
          <w:w w:val="100"/>
          <w:kern w:val="21"/>
          <w:position w:val="0"/>
          <w:sz w:val="21"/>
          <w:szCs w:val="21"/>
          <w:highlight w:val="none"/>
          <w:lang w:eastAsia="zh-CN"/>
        </w:rPr>
        <w:t>）</w:t>
      </w:r>
    </w:p>
    <w:tbl>
      <w:tblPr>
        <w:tblStyle w:val="25"/>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1807"/>
        <w:gridCol w:w="7145"/>
      </w:tblGrid>
      <w:tr w14:paraId="4587D6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009" w:type="pct"/>
            <w:tcBorders>
              <w:tl2br w:val="nil"/>
              <w:tr2bl w:val="nil"/>
            </w:tcBorders>
            <w:noWrap w:val="0"/>
            <w:vAlign w:val="center"/>
          </w:tcPr>
          <w:p w14:paraId="752AF7F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生态区</w:t>
            </w:r>
          </w:p>
        </w:tc>
        <w:tc>
          <w:tcPr>
            <w:tcW w:w="3990" w:type="pct"/>
            <w:tcBorders>
              <w:tl2br w:val="nil"/>
              <w:tr2bl w:val="nil"/>
            </w:tcBorders>
            <w:noWrap w:val="0"/>
            <w:vAlign w:val="center"/>
          </w:tcPr>
          <w:p w14:paraId="139BB99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Ⅱ准噶尔盆地温性荒漠与绿洲农业生态区</w:t>
            </w:r>
          </w:p>
        </w:tc>
      </w:tr>
      <w:tr w14:paraId="58DF8D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009" w:type="pct"/>
            <w:tcBorders>
              <w:tl2br w:val="nil"/>
              <w:tr2bl w:val="nil"/>
            </w:tcBorders>
            <w:noWrap w:val="0"/>
            <w:vAlign w:val="center"/>
          </w:tcPr>
          <w:p w14:paraId="53A51F6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生态亚区</w:t>
            </w:r>
          </w:p>
        </w:tc>
        <w:tc>
          <w:tcPr>
            <w:tcW w:w="3990" w:type="pct"/>
            <w:tcBorders>
              <w:tl2br w:val="nil"/>
              <w:tr2bl w:val="nil"/>
            </w:tcBorders>
            <w:noWrap w:val="0"/>
            <w:vAlign w:val="center"/>
          </w:tcPr>
          <w:p w14:paraId="1424258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Ⅱ5准噶尔盆地南部荒漠绿洲农业生态亚区</w:t>
            </w:r>
          </w:p>
        </w:tc>
      </w:tr>
      <w:tr w14:paraId="759231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009" w:type="pct"/>
            <w:tcBorders>
              <w:tl2br w:val="nil"/>
              <w:tr2bl w:val="nil"/>
            </w:tcBorders>
            <w:noWrap w:val="0"/>
            <w:vAlign w:val="center"/>
          </w:tcPr>
          <w:p w14:paraId="13867F2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生态功能区</w:t>
            </w:r>
          </w:p>
        </w:tc>
        <w:tc>
          <w:tcPr>
            <w:tcW w:w="3990" w:type="pct"/>
            <w:tcBorders>
              <w:tl2br w:val="nil"/>
              <w:tr2bl w:val="nil"/>
            </w:tcBorders>
            <w:noWrap w:val="0"/>
            <w:vAlign w:val="center"/>
          </w:tcPr>
          <w:p w14:paraId="475E2D8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28.阜康—木垒绿洲农业、荒漠草地保护生态功能区</w:t>
            </w:r>
          </w:p>
        </w:tc>
      </w:tr>
      <w:tr w14:paraId="3E8B32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009" w:type="pct"/>
            <w:tcBorders>
              <w:tl2br w:val="nil"/>
              <w:tr2bl w:val="nil"/>
            </w:tcBorders>
            <w:noWrap w:val="0"/>
            <w:vAlign w:val="center"/>
          </w:tcPr>
          <w:p w14:paraId="48E69D0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lang w:val="en-US" w:eastAsia="zh-CN"/>
              </w:rPr>
              <w:t>隶属行政区</w:t>
            </w:r>
          </w:p>
        </w:tc>
        <w:tc>
          <w:tcPr>
            <w:tcW w:w="3990" w:type="pct"/>
            <w:tcBorders>
              <w:tl2br w:val="nil"/>
              <w:tr2bl w:val="nil"/>
            </w:tcBorders>
            <w:noWrap w:val="0"/>
            <w:vAlign w:val="center"/>
          </w:tcPr>
          <w:p w14:paraId="2E4D427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rPr>
            </w:pPr>
            <w:r>
              <w:rPr>
                <w:rFonts w:hint="eastAsia"/>
                <w:color w:val="auto"/>
                <w:spacing w:val="0"/>
                <w:w w:val="100"/>
                <w:position w:val="0"/>
                <w:highlight w:val="none"/>
                <w:lang w:val="en-US" w:eastAsia="zh-CN"/>
              </w:rPr>
              <w:t>阜康市、吉木萨尔县、奇台县、木垒县</w:t>
            </w:r>
          </w:p>
        </w:tc>
      </w:tr>
      <w:tr w14:paraId="368376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009" w:type="pct"/>
            <w:tcBorders>
              <w:tl2br w:val="nil"/>
              <w:tr2bl w:val="nil"/>
            </w:tcBorders>
            <w:noWrap w:val="0"/>
            <w:vAlign w:val="center"/>
          </w:tcPr>
          <w:p w14:paraId="4EDCD1C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主要生态服务功能</w:t>
            </w:r>
          </w:p>
        </w:tc>
        <w:tc>
          <w:tcPr>
            <w:tcW w:w="3990" w:type="pct"/>
            <w:tcBorders>
              <w:tl2br w:val="nil"/>
              <w:tr2bl w:val="nil"/>
            </w:tcBorders>
            <w:noWrap w:val="0"/>
            <w:vAlign w:val="center"/>
          </w:tcPr>
          <w:p w14:paraId="68DE151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lang w:val="en-US" w:eastAsia="zh-CN"/>
              </w:rPr>
              <w:t>农牧业产品生产、人居环境、荒漠化控制</w:t>
            </w:r>
          </w:p>
        </w:tc>
      </w:tr>
      <w:tr w14:paraId="531AA1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009" w:type="pct"/>
            <w:tcBorders>
              <w:tl2br w:val="nil"/>
              <w:tr2bl w:val="nil"/>
            </w:tcBorders>
            <w:noWrap w:val="0"/>
            <w:vAlign w:val="center"/>
          </w:tcPr>
          <w:p w14:paraId="3EB0ABF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主要生态环境问题</w:t>
            </w:r>
          </w:p>
        </w:tc>
        <w:tc>
          <w:tcPr>
            <w:tcW w:w="3990" w:type="pct"/>
            <w:tcBorders>
              <w:tl2br w:val="nil"/>
              <w:tr2bl w:val="nil"/>
            </w:tcBorders>
            <w:noWrap w:val="0"/>
            <w:vAlign w:val="center"/>
          </w:tcPr>
          <w:p w14:paraId="5AA0DA6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lang w:val="en-US" w:eastAsia="zh-CN"/>
              </w:rPr>
              <w:t>地下水超采、荒漠植被退化、沙漠化威胁、局部土壤盐渍化、河流萎缩、滥开荒地</w:t>
            </w:r>
          </w:p>
        </w:tc>
      </w:tr>
      <w:tr w14:paraId="0F82F7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009" w:type="pct"/>
            <w:tcBorders>
              <w:tl2br w:val="nil"/>
              <w:tr2bl w:val="nil"/>
            </w:tcBorders>
            <w:noWrap w:val="0"/>
            <w:vAlign w:val="center"/>
          </w:tcPr>
          <w:p w14:paraId="28D050E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lang w:val="en-US" w:eastAsia="zh-CN"/>
              </w:rPr>
            </w:pPr>
            <w:r>
              <w:rPr>
                <w:rFonts w:hint="eastAsia"/>
                <w:b/>
                <w:bCs/>
                <w:color w:val="auto"/>
                <w:spacing w:val="0"/>
                <w:w w:val="100"/>
                <w:position w:val="0"/>
                <w:highlight w:val="none"/>
                <w:lang w:val="en-US" w:eastAsia="zh-CN"/>
              </w:rPr>
              <w:t>主要生态敏感因子、敏感程度</w:t>
            </w:r>
          </w:p>
        </w:tc>
        <w:tc>
          <w:tcPr>
            <w:tcW w:w="3990" w:type="pct"/>
            <w:tcBorders>
              <w:tl2br w:val="nil"/>
              <w:tr2bl w:val="nil"/>
            </w:tcBorders>
            <w:noWrap w:val="0"/>
            <w:vAlign w:val="center"/>
          </w:tcPr>
          <w:p w14:paraId="31F1561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生物多样性及其生境中度敏感，土壤侵蚀轻度敏感，土地沙漠化中度敏感，土壤盐渍化轻度敏感</w:t>
            </w:r>
          </w:p>
        </w:tc>
      </w:tr>
      <w:tr w14:paraId="64A8F6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009" w:type="pct"/>
            <w:tcBorders>
              <w:tl2br w:val="nil"/>
              <w:tr2bl w:val="nil"/>
            </w:tcBorders>
            <w:noWrap w:val="0"/>
            <w:vAlign w:val="center"/>
          </w:tcPr>
          <w:p w14:paraId="25FCC70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lang w:eastAsia="zh-CN"/>
              </w:rPr>
              <w:t>主要</w:t>
            </w:r>
            <w:r>
              <w:rPr>
                <w:rFonts w:hint="default"/>
                <w:b/>
                <w:bCs/>
                <w:color w:val="auto"/>
                <w:spacing w:val="0"/>
                <w:w w:val="100"/>
                <w:position w:val="0"/>
                <w:highlight w:val="none"/>
              </w:rPr>
              <w:t>保护目标</w:t>
            </w:r>
          </w:p>
        </w:tc>
        <w:tc>
          <w:tcPr>
            <w:tcW w:w="3990" w:type="pct"/>
            <w:tcBorders>
              <w:tl2br w:val="nil"/>
              <w:tr2bl w:val="nil"/>
            </w:tcBorders>
            <w:noWrap w:val="0"/>
            <w:vAlign w:val="center"/>
          </w:tcPr>
          <w:p w14:paraId="223180E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保护基本农田、保护荒漠植被、保护土壤环境质量</w:t>
            </w:r>
          </w:p>
        </w:tc>
      </w:tr>
      <w:tr w14:paraId="1D102F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009" w:type="pct"/>
            <w:tcBorders>
              <w:tl2br w:val="nil"/>
              <w:tr2bl w:val="nil"/>
            </w:tcBorders>
            <w:noWrap w:val="0"/>
            <w:vAlign w:val="center"/>
          </w:tcPr>
          <w:p w14:paraId="4AC3A50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lang w:val="en-US" w:eastAsia="zh-CN"/>
              </w:rPr>
            </w:pPr>
            <w:r>
              <w:rPr>
                <w:rFonts w:hint="default"/>
                <w:b/>
                <w:bCs/>
                <w:color w:val="auto"/>
                <w:spacing w:val="0"/>
                <w:w w:val="100"/>
                <w:position w:val="0"/>
                <w:highlight w:val="none"/>
                <w:lang w:val="en-US" w:eastAsia="zh-CN"/>
              </w:rPr>
              <w:t>主要保护措施</w:t>
            </w:r>
          </w:p>
        </w:tc>
        <w:tc>
          <w:tcPr>
            <w:tcW w:w="3990" w:type="pct"/>
            <w:tcBorders>
              <w:tl2br w:val="nil"/>
              <w:tr2bl w:val="nil"/>
            </w:tcBorders>
            <w:noWrap w:val="0"/>
            <w:vAlign w:val="center"/>
          </w:tcPr>
          <w:p w14:paraId="36962AB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lang w:val="en-US" w:eastAsia="zh-CN"/>
              </w:rPr>
              <w:t>节水灌溉、草场休牧、对坡耕地和沙化土地实施退耕还林</w:t>
            </w:r>
            <w:r>
              <w:rPr>
                <w:rFonts w:hint="eastAsia"/>
                <w:color w:val="auto"/>
                <w:spacing w:val="0"/>
                <w:w w:val="100"/>
                <w:position w:val="0"/>
                <w:highlight w:val="none"/>
                <w:lang w:val="en-US" w:eastAsia="zh-CN"/>
              </w:rPr>
              <w:t>（</w:t>
            </w:r>
            <w:r>
              <w:rPr>
                <w:rFonts w:hint="default"/>
                <w:color w:val="auto"/>
                <w:spacing w:val="0"/>
                <w:w w:val="100"/>
                <w:position w:val="0"/>
                <w:highlight w:val="none"/>
                <w:lang w:val="en-US" w:eastAsia="zh-CN"/>
              </w:rPr>
              <w:t>草</w:t>
            </w:r>
            <w:r>
              <w:rPr>
                <w:rFonts w:hint="eastAsia"/>
                <w:color w:val="auto"/>
                <w:spacing w:val="0"/>
                <w:w w:val="100"/>
                <w:position w:val="0"/>
                <w:highlight w:val="none"/>
                <w:lang w:val="en-US" w:eastAsia="zh-CN"/>
              </w:rPr>
              <w:t>）</w:t>
            </w:r>
            <w:r>
              <w:rPr>
                <w:rFonts w:hint="default"/>
                <w:color w:val="auto"/>
                <w:spacing w:val="0"/>
                <w:w w:val="100"/>
                <w:position w:val="0"/>
                <w:highlight w:val="none"/>
                <w:lang w:val="en-US" w:eastAsia="zh-CN"/>
              </w:rPr>
              <w:t>，在水源无保障、植被稀少、生态脆弱地带禁止开荒、加强农田投入品的使用管理</w:t>
            </w:r>
          </w:p>
        </w:tc>
      </w:tr>
      <w:tr w14:paraId="012A04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009" w:type="pct"/>
            <w:tcBorders>
              <w:tl2br w:val="nil"/>
              <w:tr2bl w:val="nil"/>
            </w:tcBorders>
            <w:noWrap w:val="0"/>
            <w:vAlign w:val="center"/>
          </w:tcPr>
          <w:p w14:paraId="0DBD6E5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lang w:val="en-US" w:eastAsia="zh-CN"/>
              </w:rPr>
            </w:pPr>
            <w:r>
              <w:rPr>
                <w:rFonts w:hint="eastAsia"/>
                <w:b/>
                <w:bCs/>
                <w:color w:val="auto"/>
                <w:spacing w:val="0"/>
                <w:w w:val="100"/>
                <w:position w:val="0"/>
                <w:highlight w:val="none"/>
                <w:lang w:val="en-US" w:eastAsia="zh-CN"/>
              </w:rPr>
              <w:t>适宜</w:t>
            </w:r>
            <w:r>
              <w:rPr>
                <w:rFonts w:hint="default"/>
                <w:b/>
                <w:bCs/>
                <w:color w:val="auto"/>
                <w:spacing w:val="0"/>
                <w:w w:val="100"/>
                <w:position w:val="0"/>
                <w:highlight w:val="none"/>
                <w:lang w:val="en-US" w:eastAsia="zh-CN"/>
              </w:rPr>
              <w:t>发展方向</w:t>
            </w:r>
          </w:p>
        </w:tc>
        <w:tc>
          <w:tcPr>
            <w:tcW w:w="3990" w:type="pct"/>
            <w:tcBorders>
              <w:tl2br w:val="nil"/>
              <w:tr2bl w:val="nil"/>
            </w:tcBorders>
            <w:noWrap w:val="0"/>
            <w:vAlign w:val="center"/>
          </w:tcPr>
          <w:p w14:paraId="15D9581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lang w:val="en-US" w:eastAsia="zh-CN"/>
              </w:rPr>
              <w:t>农牧结合，发展优质、高效特色农业和畜牧业</w:t>
            </w:r>
          </w:p>
        </w:tc>
      </w:tr>
    </w:tbl>
    <w:p w14:paraId="4F842D12">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67" w:name="_Toc19964"/>
      <w:bookmarkStart w:id="168" w:name="_Toc11437"/>
      <w:r>
        <w:rPr>
          <w:rFonts w:hint="default"/>
          <w:color w:val="auto"/>
          <w:spacing w:val="0"/>
          <w:w w:val="100"/>
          <w:position w:val="0"/>
          <w:highlight w:val="none"/>
          <w:lang w:val="en-US" w:eastAsia="zh-CN"/>
        </w:rPr>
        <w:t>2.6评价标准</w:t>
      </w:r>
      <w:bookmarkEnd w:id="167"/>
      <w:bookmarkEnd w:id="168"/>
    </w:p>
    <w:p w14:paraId="67C2055C">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69" w:name="_Toc10587"/>
      <w:r>
        <w:rPr>
          <w:rFonts w:hint="default"/>
          <w:color w:val="auto"/>
          <w:spacing w:val="0"/>
          <w:w w:val="100"/>
          <w:position w:val="0"/>
          <w:highlight w:val="none"/>
          <w:lang w:val="en-US" w:eastAsia="zh-CN"/>
        </w:rPr>
        <w:t>2.6.1环境质量标准</w:t>
      </w:r>
      <w:bookmarkEnd w:id="169"/>
    </w:p>
    <w:p w14:paraId="377C3CE1">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2.6.1.1环境空气</w:t>
      </w:r>
    </w:p>
    <w:p w14:paraId="6C8798AC">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根据《环境影响评价技术导则 大气环境》（HJ2.2-2018）5.2节评价标准的确定：</w:t>
      </w:r>
      <w:r>
        <w:rPr>
          <w:rFonts w:hint="eastAsia"/>
          <w:color w:val="auto"/>
          <w:spacing w:val="0"/>
          <w:w w:val="100"/>
          <w:position w:val="0"/>
          <w:highlight w:val="none"/>
          <w:lang w:val="en-US" w:eastAsia="zh-CN"/>
        </w:rPr>
        <w:t>“</w:t>
      </w:r>
      <w:r>
        <w:rPr>
          <w:rFonts w:hint="default"/>
          <w:color w:val="auto"/>
          <w:spacing w:val="0"/>
          <w:w w:val="100"/>
          <w:position w:val="0"/>
          <w:highlight w:val="none"/>
          <w:lang w:val="en-US" w:eastAsia="zh-CN"/>
        </w:rPr>
        <w:t>5.2.1确定各评价因子所适用的环境质量标准及相应的污染物排放标准。其中环境质量标准选用GB3095中的环境空气质量浓度限值，如已有地方环境质量标准，应选用地方标准中的浓度限值。对于GB3095及地方环境质量标准中未包含的污染物，可参照附录D中的浓度限值。</w:t>
      </w:r>
      <w:r>
        <w:rPr>
          <w:rFonts w:hint="eastAsia"/>
          <w:color w:val="auto"/>
          <w:spacing w:val="0"/>
          <w:w w:val="100"/>
          <w:position w:val="0"/>
          <w:highlight w:val="none"/>
          <w:lang w:val="en-US" w:eastAsia="zh-CN"/>
        </w:rPr>
        <w:t>”</w:t>
      </w:r>
    </w:p>
    <w:p w14:paraId="08528EA4">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故PM</w:t>
      </w:r>
      <w:r>
        <w:rPr>
          <w:rFonts w:hint="default"/>
          <w:color w:val="auto"/>
          <w:spacing w:val="0"/>
          <w:w w:val="100"/>
          <w:position w:val="0"/>
          <w:highlight w:val="none"/>
          <w:vertAlign w:val="subscript"/>
          <w:lang w:val="en-US" w:eastAsia="zh-CN"/>
        </w:rPr>
        <w:t>2.5</w:t>
      </w:r>
      <w:r>
        <w:rPr>
          <w:rFonts w:hint="default"/>
          <w:color w:val="auto"/>
          <w:spacing w:val="0"/>
          <w:w w:val="100"/>
          <w:position w:val="0"/>
          <w:highlight w:val="none"/>
          <w:lang w:val="en-US" w:eastAsia="zh-CN"/>
        </w:rPr>
        <w:t>、PM</w:t>
      </w:r>
      <w:r>
        <w:rPr>
          <w:rFonts w:hint="default"/>
          <w:color w:val="auto"/>
          <w:spacing w:val="0"/>
          <w:w w:val="100"/>
          <w:position w:val="0"/>
          <w:highlight w:val="none"/>
          <w:vertAlign w:val="subscript"/>
          <w:lang w:val="en-US" w:eastAsia="zh-CN"/>
        </w:rPr>
        <w:t>10</w:t>
      </w:r>
      <w:r>
        <w:rPr>
          <w:rFonts w:hint="default"/>
          <w:color w:val="auto"/>
          <w:spacing w:val="0"/>
          <w:w w:val="100"/>
          <w:position w:val="0"/>
          <w:highlight w:val="none"/>
          <w:lang w:val="en-US" w:eastAsia="zh-CN"/>
        </w:rPr>
        <w:t>、SO</w:t>
      </w:r>
      <w:r>
        <w:rPr>
          <w:rFonts w:hint="default"/>
          <w:color w:val="auto"/>
          <w:spacing w:val="0"/>
          <w:w w:val="100"/>
          <w:position w:val="0"/>
          <w:highlight w:val="none"/>
          <w:vertAlign w:val="subscript"/>
          <w:lang w:val="en-US" w:eastAsia="zh-CN"/>
        </w:rPr>
        <w:t>2</w:t>
      </w:r>
      <w:r>
        <w:rPr>
          <w:rFonts w:hint="default"/>
          <w:color w:val="auto"/>
          <w:spacing w:val="0"/>
          <w:w w:val="100"/>
          <w:position w:val="0"/>
          <w:highlight w:val="none"/>
          <w:lang w:val="en-US" w:eastAsia="zh-CN"/>
        </w:rPr>
        <w:t>、NO</w:t>
      </w:r>
      <w:r>
        <w:rPr>
          <w:rFonts w:hint="default"/>
          <w:color w:val="auto"/>
          <w:spacing w:val="0"/>
          <w:w w:val="100"/>
          <w:position w:val="0"/>
          <w:highlight w:val="none"/>
          <w:vertAlign w:val="subscript"/>
          <w:lang w:val="en-US" w:eastAsia="zh-CN"/>
        </w:rPr>
        <w:t>2</w:t>
      </w:r>
      <w:r>
        <w:rPr>
          <w:rFonts w:hint="default"/>
          <w:color w:val="auto"/>
          <w:spacing w:val="0"/>
          <w:w w:val="100"/>
          <w:position w:val="0"/>
          <w:highlight w:val="none"/>
          <w:lang w:val="en-US" w:eastAsia="zh-CN"/>
        </w:rPr>
        <w:t>、O</w:t>
      </w:r>
      <w:r>
        <w:rPr>
          <w:rFonts w:hint="default"/>
          <w:color w:val="auto"/>
          <w:spacing w:val="0"/>
          <w:w w:val="100"/>
          <w:position w:val="0"/>
          <w:highlight w:val="none"/>
          <w:vertAlign w:val="subscript"/>
          <w:lang w:val="en-US" w:eastAsia="zh-CN"/>
        </w:rPr>
        <w:t>3</w:t>
      </w:r>
      <w:r>
        <w:rPr>
          <w:rFonts w:hint="default"/>
          <w:color w:val="auto"/>
          <w:spacing w:val="0"/>
          <w:w w:val="100"/>
          <w:position w:val="0"/>
          <w:highlight w:val="none"/>
          <w:lang w:val="en-US" w:eastAsia="zh-CN"/>
        </w:rPr>
        <w:t>、CO、TSP执行《环境空气质量标准》（GB3095-20</w:t>
      </w:r>
      <w:r>
        <w:rPr>
          <w:rFonts w:hint="eastAsia"/>
          <w:color w:val="auto"/>
          <w:spacing w:val="0"/>
          <w:w w:val="100"/>
          <w:position w:val="0"/>
          <w:highlight w:val="none"/>
          <w:lang w:val="en-US" w:eastAsia="zh-CN"/>
        </w:rPr>
        <w:t>26</w:t>
      </w:r>
      <w:r>
        <w:rPr>
          <w:rFonts w:hint="default"/>
          <w:color w:val="auto"/>
          <w:spacing w:val="0"/>
          <w:w w:val="100"/>
          <w:position w:val="0"/>
          <w:highlight w:val="none"/>
          <w:lang w:val="en-US" w:eastAsia="zh-CN"/>
        </w:rPr>
        <w:t>）</w:t>
      </w:r>
      <w:r>
        <w:rPr>
          <w:rFonts w:hint="eastAsia"/>
          <w:color w:val="auto"/>
          <w:spacing w:val="0"/>
          <w:w w:val="100"/>
          <w:position w:val="0"/>
          <w:highlight w:val="none"/>
          <w:lang w:val="en-US" w:eastAsia="zh-CN"/>
        </w:rPr>
        <w:t>中过渡阶段浓度限值</w:t>
      </w:r>
      <w:r>
        <w:rPr>
          <w:rFonts w:hint="default"/>
          <w:color w:val="auto"/>
          <w:spacing w:val="0"/>
          <w:w w:val="100"/>
          <w:position w:val="0"/>
          <w:highlight w:val="none"/>
          <w:lang w:val="en-US" w:eastAsia="zh-CN"/>
        </w:rPr>
        <w:t>二级标准；非甲烷总烃执行《大气污染物综合排放标准详解》中限值。具体标准值见表2.6</w:t>
      </w:r>
      <w:r>
        <w:rPr>
          <w:rFonts w:hint="eastAsia"/>
          <w:color w:val="auto"/>
          <w:spacing w:val="0"/>
          <w:w w:val="100"/>
          <w:position w:val="0"/>
          <w:highlight w:val="none"/>
          <w:lang w:val="en-US" w:eastAsia="zh-CN"/>
        </w:rPr>
        <w:t>.1</w:t>
      </w:r>
      <w:r>
        <w:rPr>
          <w:rFonts w:hint="default"/>
          <w:color w:val="auto"/>
          <w:spacing w:val="0"/>
          <w:w w:val="100"/>
          <w:position w:val="0"/>
          <w:highlight w:val="none"/>
          <w:lang w:val="en-US" w:eastAsia="zh-CN"/>
        </w:rPr>
        <w:t>-1。</w:t>
      </w:r>
    </w:p>
    <w:p w14:paraId="7CA97158">
      <w:pPr>
        <w:keepNext w:val="0"/>
        <w:keepLines w:val="0"/>
        <w:pageBreakBefore w:val="0"/>
        <w:widowControl w:val="0"/>
        <w:tabs>
          <w:tab w:val="left" w:pos="1021"/>
        </w:tabs>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表</w:t>
      </w:r>
      <w:r>
        <w:rPr>
          <w:rFonts w:hint="default" w:ascii="Times New Roman" w:hAnsi="Times New Roman" w:eastAsia="宋体" w:cs="Times New Roman"/>
          <w:b/>
          <w:bCs/>
          <w:caps w:val="0"/>
          <w:snapToGrid/>
          <w:color w:val="auto"/>
          <w:spacing w:val="0"/>
          <w:w w:val="100"/>
          <w:kern w:val="21"/>
          <w:position w:val="0"/>
          <w:sz w:val="21"/>
          <w:szCs w:val="21"/>
          <w:highlight w:val="none"/>
          <w:lang w:eastAsia="zh-CN"/>
        </w:rPr>
        <w:t>2.6</w:t>
      </w:r>
      <w:r>
        <w:rPr>
          <w:rFonts w:hint="eastAsia" w:cs="Times New Roman"/>
          <w:b/>
          <w:bCs/>
          <w:caps w:val="0"/>
          <w:snapToGrid/>
          <w:color w:val="auto"/>
          <w:spacing w:val="0"/>
          <w:w w:val="100"/>
          <w:kern w:val="21"/>
          <w:position w:val="0"/>
          <w:sz w:val="21"/>
          <w:szCs w:val="21"/>
          <w:highlight w:val="none"/>
          <w:lang w:val="en-US" w:eastAsia="zh-CN"/>
        </w:rPr>
        <w:t>.1</w:t>
      </w:r>
      <w:r>
        <w:rPr>
          <w:rFonts w:hint="default" w:ascii="Times New Roman" w:hAnsi="Times New Roman" w:eastAsia="宋体" w:cs="Times New Roman"/>
          <w:b/>
          <w:bCs/>
          <w:caps w:val="0"/>
          <w:snapToGrid/>
          <w:color w:val="auto"/>
          <w:spacing w:val="0"/>
          <w:w w:val="100"/>
          <w:kern w:val="21"/>
          <w:position w:val="0"/>
          <w:sz w:val="21"/>
          <w:szCs w:val="21"/>
          <w:highlight w:val="none"/>
        </w:rPr>
        <w:t>-1  环境空气质量标准值</w:t>
      </w:r>
    </w:p>
    <w:tbl>
      <w:tblPr>
        <w:tblStyle w:val="25"/>
        <w:tblW w:w="516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57" w:type="dxa"/>
          <w:left w:w="57" w:type="dxa"/>
          <w:bottom w:w="57" w:type="dxa"/>
          <w:right w:w="57" w:type="dxa"/>
        </w:tblCellMar>
      </w:tblPr>
      <w:tblGrid>
        <w:gridCol w:w="325"/>
        <w:gridCol w:w="1213"/>
        <w:gridCol w:w="2176"/>
        <w:gridCol w:w="1184"/>
        <w:gridCol w:w="1140"/>
        <w:gridCol w:w="973"/>
        <w:gridCol w:w="2233"/>
      </w:tblGrid>
      <w:tr w14:paraId="2244FF0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175" w:type="pct"/>
            <w:tcBorders>
              <w:tl2br w:val="nil"/>
              <w:tr2bl w:val="nil"/>
            </w:tcBorders>
            <w:noWrap w:val="0"/>
            <w:vAlign w:val="center"/>
          </w:tcPr>
          <w:p w14:paraId="6ACBDF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b/>
                <w:bCs/>
                <w:caps w:val="0"/>
                <w:snapToGrid/>
                <w:color w:val="auto"/>
                <w:spacing w:val="0"/>
                <w:w w:val="100"/>
                <w:kern w:val="21"/>
                <w:position w:val="0"/>
                <w:sz w:val="21"/>
                <w:szCs w:val="21"/>
                <w:highlight w:val="none"/>
                <w:u w:val="none" w:color="000000"/>
              </w:rPr>
              <w:t>项目</w:t>
            </w:r>
          </w:p>
        </w:tc>
        <w:tc>
          <w:tcPr>
            <w:tcW w:w="656" w:type="pct"/>
            <w:tcBorders>
              <w:tl2br w:val="nil"/>
              <w:tr2bl w:val="nil"/>
            </w:tcBorders>
            <w:noWrap w:val="0"/>
            <w:vAlign w:val="center"/>
          </w:tcPr>
          <w:p w14:paraId="6A598D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b/>
                <w:bCs/>
                <w:caps w:val="0"/>
                <w:snapToGrid/>
                <w:color w:val="auto"/>
                <w:spacing w:val="0"/>
                <w:w w:val="100"/>
                <w:kern w:val="21"/>
                <w:position w:val="0"/>
                <w:sz w:val="21"/>
                <w:szCs w:val="21"/>
                <w:highlight w:val="none"/>
                <w:u w:val="none" w:color="000000"/>
              </w:rPr>
              <w:t>污染物</w:t>
            </w:r>
          </w:p>
          <w:p w14:paraId="76CFF7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b/>
                <w:bCs/>
                <w:caps w:val="0"/>
                <w:snapToGrid/>
                <w:color w:val="auto"/>
                <w:spacing w:val="0"/>
                <w:w w:val="100"/>
                <w:kern w:val="21"/>
                <w:position w:val="0"/>
                <w:sz w:val="21"/>
                <w:szCs w:val="21"/>
                <w:highlight w:val="none"/>
                <w:u w:val="none" w:color="000000"/>
              </w:rPr>
              <w:t>名称</w:t>
            </w:r>
          </w:p>
        </w:tc>
        <w:tc>
          <w:tcPr>
            <w:tcW w:w="1176" w:type="pct"/>
            <w:tcBorders>
              <w:tl2br w:val="nil"/>
              <w:tr2bl w:val="nil"/>
            </w:tcBorders>
            <w:noWrap w:val="0"/>
            <w:vAlign w:val="center"/>
          </w:tcPr>
          <w:p w14:paraId="36401A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b/>
                <w:bCs/>
                <w:caps w:val="0"/>
                <w:snapToGrid/>
                <w:color w:val="auto"/>
                <w:spacing w:val="0"/>
                <w:w w:val="100"/>
                <w:kern w:val="21"/>
                <w:position w:val="0"/>
                <w:sz w:val="21"/>
                <w:szCs w:val="21"/>
                <w:highlight w:val="none"/>
                <w:u w:val="none" w:color="000000"/>
              </w:rPr>
              <w:t>取值时间</w:t>
            </w:r>
          </w:p>
        </w:tc>
        <w:tc>
          <w:tcPr>
            <w:tcW w:w="640" w:type="pct"/>
            <w:tcBorders>
              <w:tl2br w:val="nil"/>
              <w:tr2bl w:val="nil"/>
            </w:tcBorders>
            <w:noWrap w:val="0"/>
            <w:vAlign w:val="center"/>
          </w:tcPr>
          <w:p w14:paraId="4D0875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u w:val="none" w:color="000000"/>
              </w:rPr>
            </w:pPr>
            <w:r>
              <w:rPr>
                <w:rFonts w:hint="eastAsia" w:cs="Times New Roman"/>
                <w:b/>
                <w:bCs/>
                <w:caps w:val="0"/>
                <w:snapToGrid/>
                <w:color w:val="auto"/>
                <w:spacing w:val="0"/>
                <w:w w:val="100"/>
                <w:kern w:val="21"/>
                <w:position w:val="0"/>
                <w:sz w:val="21"/>
                <w:szCs w:val="21"/>
                <w:highlight w:val="none"/>
                <w:u w:val="none" w:color="000000"/>
                <w:lang w:val="en-US" w:eastAsia="zh-CN"/>
              </w:rPr>
              <w:t>过渡阶段</w:t>
            </w:r>
            <w:r>
              <w:rPr>
                <w:rFonts w:hint="default" w:ascii="Times New Roman" w:hAnsi="Times New Roman" w:eastAsia="宋体" w:cs="Times New Roman"/>
                <w:b/>
                <w:bCs/>
                <w:caps w:val="0"/>
                <w:snapToGrid/>
                <w:color w:val="auto"/>
                <w:spacing w:val="0"/>
                <w:w w:val="100"/>
                <w:kern w:val="21"/>
                <w:position w:val="0"/>
                <w:sz w:val="21"/>
                <w:szCs w:val="21"/>
                <w:highlight w:val="none"/>
                <w:u w:val="none" w:color="000000"/>
              </w:rPr>
              <w:t>浓度限值</w:t>
            </w:r>
          </w:p>
        </w:tc>
        <w:tc>
          <w:tcPr>
            <w:tcW w:w="616" w:type="pct"/>
            <w:tcBorders>
              <w:tl2br w:val="nil"/>
              <w:tr2bl w:val="nil"/>
            </w:tcBorders>
            <w:shd w:val="clear" w:color="auto" w:fill="auto"/>
            <w:noWrap w:val="0"/>
            <w:vAlign w:val="center"/>
          </w:tcPr>
          <w:p w14:paraId="0D54F0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u w:val="none" w:color="000000"/>
                <w:lang w:val="en-US" w:eastAsia="zh-CN" w:bidi="ar-SA"/>
              </w:rPr>
            </w:pPr>
            <w:r>
              <w:rPr>
                <w:rFonts w:hint="default" w:ascii="Times New Roman" w:hAnsi="Times New Roman" w:eastAsia="宋体" w:cs="Times New Roman"/>
                <w:b/>
                <w:bCs/>
                <w:caps w:val="0"/>
                <w:snapToGrid/>
                <w:color w:val="auto"/>
                <w:spacing w:val="0"/>
                <w:w w:val="100"/>
                <w:kern w:val="21"/>
                <w:position w:val="0"/>
                <w:sz w:val="21"/>
                <w:szCs w:val="21"/>
                <w:highlight w:val="none"/>
                <w:u w:val="none" w:color="000000"/>
              </w:rPr>
              <w:t>浓度限值</w:t>
            </w:r>
          </w:p>
        </w:tc>
        <w:tc>
          <w:tcPr>
            <w:tcW w:w="526" w:type="pct"/>
            <w:tcBorders>
              <w:tl2br w:val="nil"/>
              <w:tr2bl w:val="nil"/>
            </w:tcBorders>
            <w:noWrap w:val="0"/>
            <w:vAlign w:val="center"/>
          </w:tcPr>
          <w:p w14:paraId="5EB5F1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b/>
                <w:bCs/>
                <w:caps w:val="0"/>
                <w:snapToGrid/>
                <w:color w:val="auto"/>
                <w:spacing w:val="0"/>
                <w:w w:val="100"/>
                <w:kern w:val="21"/>
                <w:position w:val="0"/>
                <w:sz w:val="21"/>
                <w:szCs w:val="21"/>
                <w:highlight w:val="none"/>
                <w:u w:val="none" w:color="000000"/>
              </w:rPr>
              <w:t>单位</w:t>
            </w:r>
          </w:p>
        </w:tc>
        <w:tc>
          <w:tcPr>
            <w:tcW w:w="1207" w:type="pct"/>
            <w:tcBorders>
              <w:tl2br w:val="nil"/>
              <w:tr2bl w:val="nil"/>
            </w:tcBorders>
            <w:noWrap w:val="0"/>
            <w:vAlign w:val="center"/>
          </w:tcPr>
          <w:p w14:paraId="786E46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b/>
                <w:bCs/>
                <w:caps w:val="0"/>
                <w:snapToGrid/>
                <w:color w:val="auto"/>
                <w:spacing w:val="0"/>
                <w:w w:val="100"/>
                <w:kern w:val="21"/>
                <w:position w:val="0"/>
                <w:sz w:val="21"/>
                <w:szCs w:val="21"/>
                <w:highlight w:val="none"/>
                <w:u w:val="none" w:color="000000"/>
              </w:rPr>
              <w:t>标准来源</w:t>
            </w:r>
          </w:p>
        </w:tc>
      </w:tr>
      <w:tr w14:paraId="4E28CE7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280" w:hRule="atLeast"/>
          <w:jc w:val="center"/>
        </w:trPr>
        <w:tc>
          <w:tcPr>
            <w:tcW w:w="175" w:type="pct"/>
            <w:vMerge w:val="restart"/>
            <w:tcBorders>
              <w:tl2br w:val="nil"/>
              <w:tr2bl w:val="nil"/>
            </w:tcBorders>
            <w:noWrap w:val="0"/>
            <w:vAlign w:val="center"/>
          </w:tcPr>
          <w:p w14:paraId="664F9F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环境</w:t>
            </w:r>
          </w:p>
          <w:p w14:paraId="319B3C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空气</w:t>
            </w:r>
          </w:p>
        </w:tc>
        <w:tc>
          <w:tcPr>
            <w:tcW w:w="656" w:type="pct"/>
            <w:vMerge w:val="restart"/>
            <w:tcBorders>
              <w:tl2br w:val="nil"/>
              <w:tr2bl w:val="nil"/>
            </w:tcBorders>
            <w:noWrap w:val="0"/>
            <w:vAlign w:val="center"/>
          </w:tcPr>
          <w:p w14:paraId="617232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SO</w:t>
            </w:r>
            <w:r>
              <w:rPr>
                <w:rFonts w:hint="default" w:ascii="Times New Roman" w:hAnsi="Times New Roman" w:eastAsia="宋体" w:cs="Times New Roman"/>
                <w:caps w:val="0"/>
                <w:snapToGrid/>
                <w:color w:val="auto"/>
                <w:spacing w:val="0"/>
                <w:w w:val="100"/>
                <w:kern w:val="21"/>
                <w:position w:val="0"/>
                <w:sz w:val="21"/>
                <w:szCs w:val="21"/>
                <w:highlight w:val="none"/>
                <w:u w:val="none" w:color="000000"/>
                <w:vertAlign w:val="subscript"/>
              </w:rPr>
              <w:t>2</w:t>
            </w:r>
          </w:p>
        </w:tc>
        <w:tc>
          <w:tcPr>
            <w:tcW w:w="1176" w:type="pct"/>
            <w:tcBorders>
              <w:tl2br w:val="nil"/>
              <w:tr2bl w:val="nil"/>
            </w:tcBorders>
            <w:noWrap w:val="0"/>
            <w:vAlign w:val="center"/>
          </w:tcPr>
          <w:p w14:paraId="32F0F8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24小时平均</w:t>
            </w:r>
          </w:p>
        </w:tc>
        <w:tc>
          <w:tcPr>
            <w:tcW w:w="640" w:type="pct"/>
            <w:tcBorders>
              <w:tl2br w:val="nil"/>
              <w:tr2bl w:val="nil"/>
            </w:tcBorders>
            <w:noWrap w:val="0"/>
            <w:vAlign w:val="center"/>
          </w:tcPr>
          <w:p w14:paraId="26AF6D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150</w:t>
            </w:r>
          </w:p>
        </w:tc>
        <w:tc>
          <w:tcPr>
            <w:tcW w:w="616" w:type="pct"/>
            <w:tcBorders>
              <w:tl2br w:val="nil"/>
              <w:tr2bl w:val="nil"/>
            </w:tcBorders>
            <w:shd w:val="clear" w:color="auto" w:fill="auto"/>
            <w:noWrap w:val="0"/>
            <w:vAlign w:val="center"/>
          </w:tcPr>
          <w:p w14:paraId="3334AD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50</w:t>
            </w:r>
          </w:p>
        </w:tc>
        <w:tc>
          <w:tcPr>
            <w:tcW w:w="526" w:type="pct"/>
            <w:tcBorders>
              <w:tl2br w:val="nil"/>
              <w:tr2bl w:val="nil"/>
            </w:tcBorders>
            <w:noWrap w:val="0"/>
            <w:vAlign w:val="center"/>
          </w:tcPr>
          <w:p w14:paraId="2AA9C8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µg/m</w:t>
            </w:r>
            <w:r>
              <w:rPr>
                <w:rFonts w:hint="default" w:ascii="Times New Roman" w:hAnsi="Times New Roman" w:eastAsia="宋体" w:cs="Times New Roman"/>
                <w:caps w:val="0"/>
                <w:snapToGrid/>
                <w:color w:val="auto"/>
                <w:spacing w:val="0"/>
                <w:w w:val="100"/>
                <w:kern w:val="21"/>
                <w:position w:val="0"/>
                <w:sz w:val="21"/>
                <w:szCs w:val="21"/>
                <w:highlight w:val="none"/>
                <w:u w:val="none" w:color="000000"/>
                <w:vertAlign w:val="superscript"/>
              </w:rPr>
              <w:t>3</w:t>
            </w:r>
          </w:p>
        </w:tc>
        <w:tc>
          <w:tcPr>
            <w:tcW w:w="1207" w:type="pct"/>
            <w:vMerge w:val="restart"/>
            <w:tcBorders>
              <w:tl2br w:val="nil"/>
              <w:tr2bl w:val="nil"/>
            </w:tcBorders>
            <w:noWrap w:val="0"/>
            <w:vAlign w:val="center"/>
          </w:tcPr>
          <w:p w14:paraId="5A7851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《环境空气质量标准》（GB3095-20</w:t>
            </w:r>
            <w:r>
              <w:rPr>
                <w:rFonts w:hint="eastAsia" w:cs="Times New Roman"/>
                <w:caps w:val="0"/>
                <w:snapToGrid/>
                <w:color w:val="auto"/>
                <w:spacing w:val="0"/>
                <w:w w:val="100"/>
                <w:kern w:val="21"/>
                <w:position w:val="0"/>
                <w:sz w:val="21"/>
                <w:szCs w:val="21"/>
                <w:highlight w:val="none"/>
                <w:u w:val="none" w:color="000000"/>
                <w:lang w:val="en-US" w:eastAsia="zh-CN"/>
              </w:rPr>
              <w:t>6</w:t>
            </w: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）中二级标准</w:t>
            </w:r>
          </w:p>
        </w:tc>
      </w:tr>
      <w:tr w14:paraId="035648C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267" w:hRule="atLeast"/>
          <w:jc w:val="center"/>
        </w:trPr>
        <w:tc>
          <w:tcPr>
            <w:tcW w:w="175" w:type="pct"/>
            <w:vMerge w:val="continue"/>
            <w:tcBorders>
              <w:tl2br w:val="nil"/>
              <w:tr2bl w:val="nil"/>
            </w:tcBorders>
            <w:noWrap w:val="0"/>
            <w:vAlign w:val="center"/>
          </w:tcPr>
          <w:p w14:paraId="67524C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c>
          <w:tcPr>
            <w:tcW w:w="656" w:type="pct"/>
            <w:vMerge w:val="continue"/>
            <w:tcBorders>
              <w:tl2br w:val="nil"/>
              <w:tr2bl w:val="nil"/>
            </w:tcBorders>
            <w:noWrap w:val="0"/>
            <w:vAlign w:val="center"/>
          </w:tcPr>
          <w:p w14:paraId="608E29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c>
          <w:tcPr>
            <w:tcW w:w="1176" w:type="pct"/>
            <w:tcBorders>
              <w:tl2br w:val="nil"/>
              <w:tr2bl w:val="nil"/>
            </w:tcBorders>
            <w:noWrap w:val="0"/>
            <w:vAlign w:val="center"/>
          </w:tcPr>
          <w:p w14:paraId="16F623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1小时平均</w:t>
            </w:r>
          </w:p>
        </w:tc>
        <w:tc>
          <w:tcPr>
            <w:tcW w:w="640" w:type="pct"/>
            <w:tcBorders>
              <w:tl2br w:val="nil"/>
              <w:tr2bl w:val="nil"/>
            </w:tcBorders>
            <w:noWrap w:val="0"/>
            <w:vAlign w:val="center"/>
          </w:tcPr>
          <w:p w14:paraId="7D48A3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500</w:t>
            </w:r>
          </w:p>
        </w:tc>
        <w:tc>
          <w:tcPr>
            <w:tcW w:w="616" w:type="pct"/>
            <w:tcBorders>
              <w:tl2br w:val="nil"/>
              <w:tr2bl w:val="nil"/>
            </w:tcBorders>
            <w:shd w:val="clear" w:color="auto" w:fill="auto"/>
            <w:noWrap w:val="0"/>
            <w:vAlign w:val="center"/>
          </w:tcPr>
          <w:p w14:paraId="1159C7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lang w:val="en-US" w:eastAsia="zh-CN" w:bidi="ar-SA"/>
              </w:rPr>
            </w:pPr>
            <w:r>
              <w:rPr>
                <w:rFonts w:hint="eastAsia" w:cs="Times New Roman"/>
                <w:caps w:val="0"/>
                <w:snapToGrid/>
                <w:color w:val="auto"/>
                <w:spacing w:val="0"/>
                <w:w w:val="100"/>
                <w:kern w:val="21"/>
                <w:position w:val="0"/>
                <w:sz w:val="21"/>
                <w:szCs w:val="21"/>
                <w:highlight w:val="none"/>
                <w:u w:val="none" w:color="000000"/>
                <w:lang w:val="en-US" w:eastAsia="zh-CN"/>
              </w:rPr>
              <w:t>150</w:t>
            </w:r>
          </w:p>
        </w:tc>
        <w:tc>
          <w:tcPr>
            <w:tcW w:w="526" w:type="pct"/>
            <w:tcBorders>
              <w:tl2br w:val="nil"/>
              <w:tr2bl w:val="nil"/>
            </w:tcBorders>
            <w:noWrap w:val="0"/>
            <w:vAlign w:val="center"/>
          </w:tcPr>
          <w:p w14:paraId="47A4A7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µg/m</w:t>
            </w:r>
            <w:r>
              <w:rPr>
                <w:rFonts w:hint="default" w:ascii="Times New Roman" w:hAnsi="Times New Roman" w:eastAsia="宋体" w:cs="Times New Roman"/>
                <w:caps w:val="0"/>
                <w:snapToGrid/>
                <w:color w:val="auto"/>
                <w:spacing w:val="0"/>
                <w:w w:val="100"/>
                <w:kern w:val="21"/>
                <w:position w:val="0"/>
                <w:sz w:val="21"/>
                <w:szCs w:val="21"/>
                <w:highlight w:val="none"/>
                <w:u w:val="none" w:color="000000"/>
                <w:vertAlign w:val="superscript"/>
              </w:rPr>
              <w:t>3</w:t>
            </w:r>
          </w:p>
        </w:tc>
        <w:tc>
          <w:tcPr>
            <w:tcW w:w="1207" w:type="pct"/>
            <w:vMerge w:val="continue"/>
            <w:tcBorders>
              <w:tl2br w:val="nil"/>
              <w:tr2bl w:val="nil"/>
            </w:tcBorders>
            <w:noWrap w:val="0"/>
            <w:vAlign w:val="center"/>
          </w:tcPr>
          <w:p w14:paraId="7BCF6E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r>
      <w:tr w14:paraId="35D9573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199" w:hRule="atLeast"/>
          <w:jc w:val="center"/>
        </w:trPr>
        <w:tc>
          <w:tcPr>
            <w:tcW w:w="175" w:type="pct"/>
            <w:vMerge w:val="continue"/>
            <w:tcBorders>
              <w:tl2br w:val="nil"/>
              <w:tr2bl w:val="nil"/>
            </w:tcBorders>
            <w:noWrap w:val="0"/>
            <w:vAlign w:val="center"/>
          </w:tcPr>
          <w:p w14:paraId="50A5C3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c>
          <w:tcPr>
            <w:tcW w:w="656" w:type="pct"/>
            <w:tcBorders>
              <w:tl2br w:val="nil"/>
              <w:tr2bl w:val="nil"/>
            </w:tcBorders>
            <w:noWrap w:val="0"/>
            <w:vAlign w:val="center"/>
          </w:tcPr>
          <w:p w14:paraId="6B6E2C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PM</w:t>
            </w:r>
            <w:r>
              <w:rPr>
                <w:rFonts w:hint="default" w:ascii="Times New Roman" w:hAnsi="Times New Roman" w:eastAsia="宋体" w:cs="Times New Roman"/>
                <w:caps w:val="0"/>
                <w:snapToGrid/>
                <w:color w:val="auto"/>
                <w:spacing w:val="0"/>
                <w:w w:val="100"/>
                <w:kern w:val="21"/>
                <w:position w:val="0"/>
                <w:sz w:val="21"/>
                <w:szCs w:val="21"/>
                <w:highlight w:val="none"/>
                <w:u w:val="none" w:color="000000"/>
                <w:vertAlign w:val="subscript"/>
              </w:rPr>
              <w:t>10</w:t>
            </w:r>
          </w:p>
        </w:tc>
        <w:tc>
          <w:tcPr>
            <w:tcW w:w="1176" w:type="pct"/>
            <w:tcBorders>
              <w:tl2br w:val="nil"/>
              <w:tr2bl w:val="nil"/>
            </w:tcBorders>
            <w:noWrap w:val="0"/>
            <w:vAlign w:val="center"/>
          </w:tcPr>
          <w:p w14:paraId="0FC89E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24小时平均</w:t>
            </w:r>
          </w:p>
        </w:tc>
        <w:tc>
          <w:tcPr>
            <w:tcW w:w="640" w:type="pct"/>
            <w:tcBorders>
              <w:tl2br w:val="nil"/>
              <w:tr2bl w:val="nil"/>
            </w:tcBorders>
            <w:noWrap w:val="0"/>
            <w:vAlign w:val="center"/>
          </w:tcPr>
          <w:p w14:paraId="5914A8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1</w:t>
            </w:r>
            <w:r>
              <w:rPr>
                <w:rFonts w:hint="eastAsia" w:cs="Times New Roman"/>
                <w:caps w:val="0"/>
                <w:snapToGrid/>
                <w:color w:val="auto"/>
                <w:spacing w:val="0"/>
                <w:w w:val="100"/>
                <w:kern w:val="21"/>
                <w:position w:val="0"/>
                <w:sz w:val="21"/>
                <w:szCs w:val="21"/>
                <w:highlight w:val="none"/>
                <w:u w:val="none" w:color="000000"/>
                <w:lang w:val="en-US" w:eastAsia="zh-CN"/>
              </w:rPr>
              <w:t>20</w:t>
            </w:r>
          </w:p>
        </w:tc>
        <w:tc>
          <w:tcPr>
            <w:tcW w:w="616" w:type="pct"/>
            <w:tcBorders>
              <w:tl2br w:val="nil"/>
              <w:tr2bl w:val="nil"/>
            </w:tcBorders>
            <w:shd w:val="clear" w:color="auto" w:fill="auto"/>
            <w:noWrap w:val="0"/>
            <w:vAlign w:val="center"/>
          </w:tcPr>
          <w:p w14:paraId="395639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lang w:val="en-US" w:eastAsia="zh-CN" w:bidi="ar-SA"/>
              </w:rPr>
            </w:pPr>
            <w:r>
              <w:rPr>
                <w:rFonts w:hint="eastAsia" w:cs="Times New Roman"/>
                <w:caps w:val="0"/>
                <w:snapToGrid/>
                <w:color w:val="auto"/>
                <w:spacing w:val="0"/>
                <w:w w:val="100"/>
                <w:kern w:val="21"/>
                <w:position w:val="0"/>
                <w:sz w:val="21"/>
                <w:szCs w:val="21"/>
                <w:highlight w:val="none"/>
                <w:u w:val="none" w:color="000000"/>
                <w:lang w:val="en-US" w:eastAsia="zh-CN"/>
              </w:rPr>
              <w:t>100</w:t>
            </w:r>
          </w:p>
        </w:tc>
        <w:tc>
          <w:tcPr>
            <w:tcW w:w="526" w:type="pct"/>
            <w:tcBorders>
              <w:tl2br w:val="nil"/>
              <w:tr2bl w:val="nil"/>
            </w:tcBorders>
            <w:noWrap w:val="0"/>
            <w:vAlign w:val="center"/>
          </w:tcPr>
          <w:p w14:paraId="3A843E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µg/m</w:t>
            </w:r>
            <w:r>
              <w:rPr>
                <w:rFonts w:hint="default" w:ascii="Times New Roman" w:hAnsi="Times New Roman" w:eastAsia="宋体" w:cs="Times New Roman"/>
                <w:caps w:val="0"/>
                <w:snapToGrid/>
                <w:color w:val="auto"/>
                <w:spacing w:val="0"/>
                <w:w w:val="100"/>
                <w:kern w:val="21"/>
                <w:position w:val="0"/>
                <w:sz w:val="21"/>
                <w:szCs w:val="21"/>
                <w:highlight w:val="none"/>
                <w:u w:val="none" w:color="000000"/>
                <w:vertAlign w:val="superscript"/>
              </w:rPr>
              <w:t>3</w:t>
            </w:r>
          </w:p>
        </w:tc>
        <w:tc>
          <w:tcPr>
            <w:tcW w:w="1207" w:type="pct"/>
            <w:vMerge w:val="continue"/>
            <w:tcBorders>
              <w:tl2br w:val="nil"/>
              <w:tr2bl w:val="nil"/>
            </w:tcBorders>
            <w:noWrap w:val="0"/>
            <w:vAlign w:val="center"/>
          </w:tcPr>
          <w:p w14:paraId="2D587D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r>
      <w:tr w14:paraId="4D707FC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175" w:type="pct"/>
            <w:vMerge w:val="continue"/>
            <w:tcBorders>
              <w:tl2br w:val="nil"/>
              <w:tr2bl w:val="nil"/>
            </w:tcBorders>
            <w:noWrap w:val="0"/>
            <w:vAlign w:val="center"/>
          </w:tcPr>
          <w:p w14:paraId="5A32F4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c>
          <w:tcPr>
            <w:tcW w:w="656" w:type="pct"/>
            <w:tcBorders>
              <w:tl2br w:val="nil"/>
              <w:tr2bl w:val="nil"/>
            </w:tcBorders>
            <w:noWrap w:val="0"/>
            <w:vAlign w:val="center"/>
          </w:tcPr>
          <w:p w14:paraId="58578D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PM</w:t>
            </w:r>
            <w:r>
              <w:rPr>
                <w:rFonts w:hint="default" w:ascii="Times New Roman" w:hAnsi="Times New Roman" w:eastAsia="宋体" w:cs="Times New Roman"/>
                <w:caps w:val="0"/>
                <w:snapToGrid/>
                <w:color w:val="auto"/>
                <w:spacing w:val="0"/>
                <w:w w:val="100"/>
                <w:kern w:val="21"/>
                <w:position w:val="0"/>
                <w:sz w:val="21"/>
                <w:szCs w:val="21"/>
                <w:highlight w:val="none"/>
                <w:u w:val="none" w:color="000000"/>
                <w:vertAlign w:val="subscript"/>
              </w:rPr>
              <w:t>2.5</w:t>
            </w:r>
          </w:p>
        </w:tc>
        <w:tc>
          <w:tcPr>
            <w:tcW w:w="1176" w:type="pct"/>
            <w:tcBorders>
              <w:tl2br w:val="nil"/>
              <w:tr2bl w:val="nil"/>
            </w:tcBorders>
            <w:noWrap w:val="0"/>
            <w:vAlign w:val="center"/>
          </w:tcPr>
          <w:p w14:paraId="734DE3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24小时平均</w:t>
            </w:r>
          </w:p>
        </w:tc>
        <w:tc>
          <w:tcPr>
            <w:tcW w:w="640" w:type="pct"/>
            <w:tcBorders>
              <w:tl2br w:val="nil"/>
              <w:tr2bl w:val="nil"/>
            </w:tcBorders>
            <w:noWrap w:val="0"/>
            <w:vAlign w:val="center"/>
          </w:tcPr>
          <w:p w14:paraId="0B5DD0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lang w:val="en-US" w:eastAsia="zh-CN"/>
              </w:rPr>
            </w:pPr>
            <w:r>
              <w:rPr>
                <w:rFonts w:hint="eastAsia" w:cs="Times New Roman"/>
                <w:caps w:val="0"/>
                <w:snapToGrid/>
                <w:color w:val="auto"/>
                <w:spacing w:val="0"/>
                <w:w w:val="100"/>
                <w:kern w:val="21"/>
                <w:position w:val="0"/>
                <w:sz w:val="21"/>
                <w:szCs w:val="21"/>
                <w:highlight w:val="none"/>
                <w:u w:val="none" w:color="000000"/>
                <w:lang w:val="en-US" w:eastAsia="zh-CN"/>
              </w:rPr>
              <w:t>60</w:t>
            </w:r>
          </w:p>
        </w:tc>
        <w:tc>
          <w:tcPr>
            <w:tcW w:w="616" w:type="pct"/>
            <w:tcBorders>
              <w:tl2br w:val="nil"/>
              <w:tr2bl w:val="nil"/>
            </w:tcBorders>
            <w:shd w:val="clear" w:color="auto" w:fill="auto"/>
            <w:noWrap w:val="0"/>
            <w:vAlign w:val="center"/>
          </w:tcPr>
          <w:p w14:paraId="312AFF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lang w:val="en-US" w:eastAsia="zh-CN" w:bidi="ar-SA"/>
              </w:rPr>
            </w:pPr>
            <w:r>
              <w:rPr>
                <w:rFonts w:hint="eastAsia" w:cs="Times New Roman"/>
                <w:caps w:val="0"/>
                <w:snapToGrid/>
                <w:color w:val="auto"/>
                <w:spacing w:val="0"/>
                <w:w w:val="100"/>
                <w:kern w:val="21"/>
                <w:position w:val="0"/>
                <w:sz w:val="21"/>
                <w:szCs w:val="21"/>
                <w:highlight w:val="none"/>
                <w:u w:val="none" w:color="000000"/>
                <w:lang w:val="en-US" w:eastAsia="zh-CN"/>
              </w:rPr>
              <w:t>50</w:t>
            </w:r>
          </w:p>
        </w:tc>
        <w:tc>
          <w:tcPr>
            <w:tcW w:w="526" w:type="pct"/>
            <w:tcBorders>
              <w:tl2br w:val="nil"/>
              <w:tr2bl w:val="nil"/>
            </w:tcBorders>
            <w:noWrap w:val="0"/>
            <w:vAlign w:val="center"/>
          </w:tcPr>
          <w:p w14:paraId="571C55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µg/m</w:t>
            </w:r>
            <w:r>
              <w:rPr>
                <w:rFonts w:hint="default" w:ascii="Times New Roman" w:hAnsi="Times New Roman" w:eastAsia="宋体" w:cs="Times New Roman"/>
                <w:caps w:val="0"/>
                <w:snapToGrid/>
                <w:color w:val="auto"/>
                <w:spacing w:val="0"/>
                <w:w w:val="100"/>
                <w:kern w:val="21"/>
                <w:position w:val="0"/>
                <w:sz w:val="21"/>
                <w:szCs w:val="21"/>
                <w:highlight w:val="none"/>
                <w:u w:val="none" w:color="000000"/>
                <w:vertAlign w:val="superscript"/>
              </w:rPr>
              <w:t>3</w:t>
            </w:r>
          </w:p>
        </w:tc>
        <w:tc>
          <w:tcPr>
            <w:tcW w:w="1207" w:type="pct"/>
            <w:vMerge w:val="continue"/>
            <w:tcBorders>
              <w:tl2br w:val="nil"/>
              <w:tr2bl w:val="nil"/>
            </w:tcBorders>
            <w:noWrap w:val="0"/>
            <w:vAlign w:val="center"/>
          </w:tcPr>
          <w:p w14:paraId="72817C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r>
      <w:tr w14:paraId="12C666B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175" w:type="pct"/>
            <w:vMerge w:val="continue"/>
            <w:tcBorders>
              <w:tl2br w:val="nil"/>
              <w:tr2bl w:val="nil"/>
            </w:tcBorders>
            <w:noWrap w:val="0"/>
            <w:vAlign w:val="center"/>
          </w:tcPr>
          <w:p w14:paraId="19B652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c>
          <w:tcPr>
            <w:tcW w:w="656" w:type="pct"/>
            <w:vMerge w:val="restart"/>
            <w:tcBorders>
              <w:tl2br w:val="nil"/>
              <w:tr2bl w:val="nil"/>
            </w:tcBorders>
            <w:noWrap w:val="0"/>
            <w:vAlign w:val="center"/>
          </w:tcPr>
          <w:p w14:paraId="2034A9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NO</w:t>
            </w:r>
            <w:r>
              <w:rPr>
                <w:rFonts w:hint="default" w:ascii="Times New Roman" w:hAnsi="Times New Roman" w:eastAsia="宋体" w:cs="Times New Roman"/>
                <w:caps w:val="0"/>
                <w:snapToGrid/>
                <w:color w:val="auto"/>
                <w:spacing w:val="0"/>
                <w:w w:val="100"/>
                <w:kern w:val="21"/>
                <w:position w:val="0"/>
                <w:sz w:val="21"/>
                <w:szCs w:val="21"/>
                <w:highlight w:val="none"/>
                <w:u w:val="none" w:color="000000"/>
                <w:vertAlign w:val="subscript"/>
              </w:rPr>
              <w:t>2</w:t>
            </w:r>
          </w:p>
        </w:tc>
        <w:tc>
          <w:tcPr>
            <w:tcW w:w="1176" w:type="pct"/>
            <w:tcBorders>
              <w:tl2br w:val="nil"/>
              <w:tr2bl w:val="nil"/>
            </w:tcBorders>
            <w:noWrap w:val="0"/>
            <w:vAlign w:val="center"/>
          </w:tcPr>
          <w:p w14:paraId="49A92F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24小时平均</w:t>
            </w:r>
          </w:p>
        </w:tc>
        <w:tc>
          <w:tcPr>
            <w:tcW w:w="640" w:type="pct"/>
            <w:tcBorders>
              <w:tl2br w:val="nil"/>
              <w:tr2bl w:val="nil"/>
            </w:tcBorders>
            <w:noWrap w:val="0"/>
            <w:vAlign w:val="center"/>
          </w:tcPr>
          <w:p w14:paraId="7D5220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80</w:t>
            </w:r>
          </w:p>
        </w:tc>
        <w:tc>
          <w:tcPr>
            <w:tcW w:w="616" w:type="pct"/>
            <w:tcBorders>
              <w:tl2br w:val="nil"/>
              <w:tr2bl w:val="nil"/>
            </w:tcBorders>
            <w:shd w:val="clear" w:color="auto" w:fill="auto"/>
            <w:noWrap w:val="0"/>
            <w:vAlign w:val="center"/>
          </w:tcPr>
          <w:p w14:paraId="56A7DF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lang w:val="en-US" w:eastAsia="zh-CN" w:bidi="ar-SA"/>
              </w:rPr>
            </w:pPr>
            <w:r>
              <w:rPr>
                <w:rFonts w:hint="eastAsia" w:cs="Times New Roman"/>
                <w:caps w:val="0"/>
                <w:snapToGrid/>
                <w:color w:val="auto"/>
                <w:spacing w:val="0"/>
                <w:w w:val="100"/>
                <w:kern w:val="21"/>
                <w:position w:val="0"/>
                <w:sz w:val="21"/>
                <w:szCs w:val="21"/>
                <w:highlight w:val="none"/>
                <w:u w:val="none" w:color="000000"/>
                <w:lang w:val="en-US" w:eastAsia="zh-CN"/>
              </w:rPr>
              <w:t>50</w:t>
            </w:r>
          </w:p>
        </w:tc>
        <w:tc>
          <w:tcPr>
            <w:tcW w:w="526" w:type="pct"/>
            <w:tcBorders>
              <w:tl2br w:val="nil"/>
              <w:tr2bl w:val="nil"/>
            </w:tcBorders>
            <w:noWrap w:val="0"/>
            <w:vAlign w:val="center"/>
          </w:tcPr>
          <w:p w14:paraId="409A1C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µg/m</w:t>
            </w:r>
            <w:r>
              <w:rPr>
                <w:rFonts w:hint="default" w:ascii="Times New Roman" w:hAnsi="Times New Roman" w:eastAsia="宋体" w:cs="Times New Roman"/>
                <w:caps w:val="0"/>
                <w:snapToGrid/>
                <w:color w:val="auto"/>
                <w:spacing w:val="0"/>
                <w:w w:val="100"/>
                <w:kern w:val="21"/>
                <w:position w:val="0"/>
                <w:sz w:val="21"/>
                <w:szCs w:val="21"/>
                <w:highlight w:val="none"/>
                <w:u w:val="none" w:color="000000"/>
                <w:vertAlign w:val="superscript"/>
              </w:rPr>
              <w:t>3</w:t>
            </w:r>
          </w:p>
        </w:tc>
        <w:tc>
          <w:tcPr>
            <w:tcW w:w="1207" w:type="pct"/>
            <w:vMerge w:val="continue"/>
            <w:tcBorders>
              <w:tl2br w:val="nil"/>
              <w:tr2bl w:val="nil"/>
            </w:tcBorders>
            <w:noWrap w:val="0"/>
            <w:vAlign w:val="center"/>
          </w:tcPr>
          <w:p w14:paraId="65D428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r>
      <w:tr w14:paraId="3860DC2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175" w:type="pct"/>
            <w:vMerge w:val="continue"/>
            <w:tcBorders>
              <w:tl2br w:val="nil"/>
              <w:tr2bl w:val="nil"/>
            </w:tcBorders>
            <w:noWrap w:val="0"/>
            <w:vAlign w:val="center"/>
          </w:tcPr>
          <w:p w14:paraId="009C8A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c>
          <w:tcPr>
            <w:tcW w:w="656" w:type="pct"/>
            <w:vMerge w:val="continue"/>
            <w:tcBorders>
              <w:tl2br w:val="nil"/>
              <w:tr2bl w:val="nil"/>
            </w:tcBorders>
            <w:noWrap w:val="0"/>
            <w:vAlign w:val="center"/>
          </w:tcPr>
          <w:p w14:paraId="130708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c>
          <w:tcPr>
            <w:tcW w:w="1176" w:type="pct"/>
            <w:tcBorders>
              <w:tl2br w:val="nil"/>
              <w:tr2bl w:val="nil"/>
            </w:tcBorders>
            <w:noWrap w:val="0"/>
            <w:vAlign w:val="center"/>
          </w:tcPr>
          <w:p w14:paraId="57C689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1小时平均</w:t>
            </w:r>
          </w:p>
        </w:tc>
        <w:tc>
          <w:tcPr>
            <w:tcW w:w="640" w:type="pct"/>
            <w:tcBorders>
              <w:tl2br w:val="nil"/>
              <w:tr2bl w:val="nil"/>
            </w:tcBorders>
            <w:noWrap w:val="0"/>
            <w:vAlign w:val="center"/>
          </w:tcPr>
          <w:p w14:paraId="03CA72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200</w:t>
            </w:r>
          </w:p>
        </w:tc>
        <w:tc>
          <w:tcPr>
            <w:tcW w:w="616" w:type="pct"/>
            <w:tcBorders>
              <w:tl2br w:val="nil"/>
              <w:tr2bl w:val="nil"/>
            </w:tcBorders>
            <w:shd w:val="clear" w:color="auto" w:fill="auto"/>
            <w:noWrap w:val="0"/>
            <w:vAlign w:val="center"/>
          </w:tcPr>
          <w:p w14:paraId="0ACB45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200</w:t>
            </w:r>
          </w:p>
        </w:tc>
        <w:tc>
          <w:tcPr>
            <w:tcW w:w="526" w:type="pct"/>
            <w:tcBorders>
              <w:tl2br w:val="nil"/>
              <w:tr2bl w:val="nil"/>
            </w:tcBorders>
            <w:noWrap w:val="0"/>
            <w:vAlign w:val="center"/>
          </w:tcPr>
          <w:p w14:paraId="262C61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µg/m</w:t>
            </w:r>
            <w:r>
              <w:rPr>
                <w:rFonts w:hint="default" w:ascii="Times New Roman" w:hAnsi="Times New Roman" w:eastAsia="宋体" w:cs="Times New Roman"/>
                <w:caps w:val="0"/>
                <w:snapToGrid/>
                <w:color w:val="auto"/>
                <w:spacing w:val="0"/>
                <w:w w:val="100"/>
                <w:kern w:val="21"/>
                <w:position w:val="0"/>
                <w:sz w:val="21"/>
                <w:szCs w:val="21"/>
                <w:highlight w:val="none"/>
                <w:u w:val="none" w:color="000000"/>
                <w:vertAlign w:val="superscript"/>
              </w:rPr>
              <w:t>3</w:t>
            </w:r>
          </w:p>
        </w:tc>
        <w:tc>
          <w:tcPr>
            <w:tcW w:w="1207" w:type="pct"/>
            <w:vMerge w:val="continue"/>
            <w:tcBorders>
              <w:tl2br w:val="nil"/>
              <w:tr2bl w:val="nil"/>
            </w:tcBorders>
            <w:noWrap w:val="0"/>
            <w:vAlign w:val="center"/>
          </w:tcPr>
          <w:p w14:paraId="4F628C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r>
      <w:tr w14:paraId="1E1B5BB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175" w:type="pct"/>
            <w:vMerge w:val="continue"/>
            <w:tcBorders>
              <w:tl2br w:val="nil"/>
              <w:tr2bl w:val="nil"/>
            </w:tcBorders>
            <w:noWrap w:val="0"/>
            <w:vAlign w:val="center"/>
          </w:tcPr>
          <w:p w14:paraId="70AD60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c>
          <w:tcPr>
            <w:tcW w:w="656" w:type="pct"/>
            <w:vMerge w:val="restart"/>
            <w:tcBorders>
              <w:tl2br w:val="nil"/>
              <w:tr2bl w:val="nil"/>
            </w:tcBorders>
            <w:noWrap w:val="0"/>
            <w:vAlign w:val="center"/>
          </w:tcPr>
          <w:p w14:paraId="717DDB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CO</w:t>
            </w:r>
          </w:p>
        </w:tc>
        <w:tc>
          <w:tcPr>
            <w:tcW w:w="1176" w:type="pct"/>
            <w:tcBorders>
              <w:tl2br w:val="nil"/>
              <w:tr2bl w:val="nil"/>
            </w:tcBorders>
            <w:noWrap w:val="0"/>
            <w:vAlign w:val="center"/>
          </w:tcPr>
          <w:p w14:paraId="0C17C7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24小时平均</w:t>
            </w:r>
          </w:p>
        </w:tc>
        <w:tc>
          <w:tcPr>
            <w:tcW w:w="640" w:type="pct"/>
            <w:tcBorders>
              <w:tl2br w:val="nil"/>
              <w:tr2bl w:val="nil"/>
            </w:tcBorders>
            <w:noWrap w:val="0"/>
            <w:vAlign w:val="center"/>
          </w:tcPr>
          <w:p w14:paraId="3AE86E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4</w:t>
            </w:r>
          </w:p>
        </w:tc>
        <w:tc>
          <w:tcPr>
            <w:tcW w:w="616" w:type="pct"/>
            <w:tcBorders>
              <w:tl2br w:val="nil"/>
              <w:tr2bl w:val="nil"/>
            </w:tcBorders>
            <w:shd w:val="clear" w:color="auto" w:fill="auto"/>
            <w:noWrap w:val="0"/>
            <w:vAlign w:val="center"/>
          </w:tcPr>
          <w:p w14:paraId="48B125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4</w:t>
            </w:r>
          </w:p>
        </w:tc>
        <w:tc>
          <w:tcPr>
            <w:tcW w:w="526" w:type="pct"/>
            <w:tcBorders>
              <w:tl2br w:val="nil"/>
              <w:tr2bl w:val="nil"/>
            </w:tcBorders>
            <w:noWrap w:val="0"/>
            <w:vAlign w:val="center"/>
          </w:tcPr>
          <w:p w14:paraId="5F6A83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mg/m</w:t>
            </w:r>
            <w:r>
              <w:rPr>
                <w:rFonts w:hint="default" w:ascii="Times New Roman" w:hAnsi="Times New Roman" w:eastAsia="宋体" w:cs="Times New Roman"/>
                <w:caps w:val="0"/>
                <w:snapToGrid/>
                <w:color w:val="auto"/>
                <w:spacing w:val="0"/>
                <w:w w:val="100"/>
                <w:kern w:val="21"/>
                <w:position w:val="0"/>
                <w:sz w:val="21"/>
                <w:szCs w:val="21"/>
                <w:highlight w:val="none"/>
                <w:u w:val="none" w:color="000000"/>
                <w:vertAlign w:val="superscript"/>
              </w:rPr>
              <w:t>3</w:t>
            </w:r>
          </w:p>
        </w:tc>
        <w:tc>
          <w:tcPr>
            <w:tcW w:w="1207" w:type="pct"/>
            <w:vMerge w:val="continue"/>
            <w:tcBorders>
              <w:tl2br w:val="nil"/>
              <w:tr2bl w:val="nil"/>
            </w:tcBorders>
            <w:noWrap w:val="0"/>
            <w:vAlign w:val="center"/>
          </w:tcPr>
          <w:p w14:paraId="514B57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r>
      <w:tr w14:paraId="084CBDE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175" w:type="pct"/>
            <w:vMerge w:val="continue"/>
            <w:tcBorders>
              <w:tl2br w:val="nil"/>
              <w:tr2bl w:val="nil"/>
            </w:tcBorders>
            <w:noWrap w:val="0"/>
            <w:vAlign w:val="center"/>
          </w:tcPr>
          <w:p w14:paraId="0CA7B8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c>
          <w:tcPr>
            <w:tcW w:w="656" w:type="pct"/>
            <w:vMerge w:val="continue"/>
            <w:tcBorders>
              <w:tl2br w:val="nil"/>
              <w:tr2bl w:val="nil"/>
            </w:tcBorders>
            <w:noWrap w:val="0"/>
            <w:vAlign w:val="center"/>
          </w:tcPr>
          <w:p w14:paraId="3813BA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c>
          <w:tcPr>
            <w:tcW w:w="1176" w:type="pct"/>
            <w:tcBorders>
              <w:tl2br w:val="nil"/>
              <w:tr2bl w:val="nil"/>
            </w:tcBorders>
            <w:noWrap w:val="0"/>
            <w:vAlign w:val="center"/>
          </w:tcPr>
          <w:p w14:paraId="5C64E8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1小时平均</w:t>
            </w:r>
          </w:p>
        </w:tc>
        <w:tc>
          <w:tcPr>
            <w:tcW w:w="640" w:type="pct"/>
            <w:tcBorders>
              <w:tl2br w:val="nil"/>
              <w:tr2bl w:val="nil"/>
            </w:tcBorders>
            <w:noWrap w:val="0"/>
            <w:vAlign w:val="center"/>
          </w:tcPr>
          <w:p w14:paraId="628B00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10</w:t>
            </w:r>
          </w:p>
        </w:tc>
        <w:tc>
          <w:tcPr>
            <w:tcW w:w="616" w:type="pct"/>
            <w:tcBorders>
              <w:tl2br w:val="nil"/>
              <w:tr2bl w:val="nil"/>
            </w:tcBorders>
            <w:shd w:val="clear" w:color="auto" w:fill="auto"/>
            <w:noWrap w:val="0"/>
            <w:vAlign w:val="center"/>
          </w:tcPr>
          <w:p w14:paraId="18C72B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10</w:t>
            </w:r>
          </w:p>
        </w:tc>
        <w:tc>
          <w:tcPr>
            <w:tcW w:w="526" w:type="pct"/>
            <w:tcBorders>
              <w:tl2br w:val="nil"/>
              <w:tr2bl w:val="nil"/>
            </w:tcBorders>
            <w:noWrap w:val="0"/>
            <w:vAlign w:val="center"/>
          </w:tcPr>
          <w:p w14:paraId="0C5CC5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mg/m</w:t>
            </w:r>
            <w:r>
              <w:rPr>
                <w:rFonts w:hint="default" w:ascii="Times New Roman" w:hAnsi="Times New Roman" w:eastAsia="宋体" w:cs="Times New Roman"/>
                <w:caps w:val="0"/>
                <w:snapToGrid/>
                <w:color w:val="auto"/>
                <w:spacing w:val="0"/>
                <w:w w:val="100"/>
                <w:kern w:val="21"/>
                <w:position w:val="0"/>
                <w:sz w:val="21"/>
                <w:szCs w:val="21"/>
                <w:highlight w:val="none"/>
                <w:u w:val="none" w:color="000000"/>
                <w:vertAlign w:val="superscript"/>
              </w:rPr>
              <w:t>3</w:t>
            </w:r>
          </w:p>
        </w:tc>
        <w:tc>
          <w:tcPr>
            <w:tcW w:w="1207" w:type="pct"/>
            <w:vMerge w:val="continue"/>
            <w:tcBorders>
              <w:tl2br w:val="nil"/>
              <w:tr2bl w:val="nil"/>
            </w:tcBorders>
            <w:noWrap w:val="0"/>
            <w:vAlign w:val="center"/>
          </w:tcPr>
          <w:p w14:paraId="168043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r>
      <w:tr w14:paraId="6F79E40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175" w:type="pct"/>
            <w:vMerge w:val="continue"/>
            <w:tcBorders>
              <w:tl2br w:val="nil"/>
              <w:tr2bl w:val="nil"/>
            </w:tcBorders>
            <w:noWrap w:val="0"/>
            <w:vAlign w:val="center"/>
          </w:tcPr>
          <w:p w14:paraId="46CF1B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c>
          <w:tcPr>
            <w:tcW w:w="656" w:type="pct"/>
            <w:vMerge w:val="restart"/>
            <w:tcBorders>
              <w:tl2br w:val="nil"/>
              <w:tr2bl w:val="nil"/>
            </w:tcBorders>
            <w:noWrap w:val="0"/>
            <w:vAlign w:val="center"/>
          </w:tcPr>
          <w:p w14:paraId="619891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O</w:t>
            </w:r>
            <w:r>
              <w:rPr>
                <w:rFonts w:hint="default" w:ascii="Times New Roman" w:hAnsi="Times New Roman" w:eastAsia="宋体" w:cs="Times New Roman"/>
                <w:caps w:val="0"/>
                <w:snapToGrid/>
                <w:color w:val="auto"/>
                <w:spacing w:val="0"/>
                <w:w w:val="100"/>
                <w:kern w:val="21"/>
                <w:position w:val="0"/>
                <w:sz w:val="21"/>
                <w:szCs w:val="21"/>
                <w:highlight w:val="none"/>
                <w:u w:val="none" w:color="000000"/>
                <w:vertAlign w:val="subscript"/>
              </w:rPr>
              <w:t>3</w:t>
            </w:r>
          </w:p>
        </w:tc>
        <w:tc>
          <w:tcPr>
            <w:tcW w:w="1176" w:type="pct"/>
            <w:tcBorders>
              <w:tl2br w:val="nil"/>
              <w:tr2bl w:val="nil"/>
            </w:tcBorders>
            <w:noWrap w:val="0"/>
            <w:vAlign w:val="center"/>
          </w:tcPr>
          <w:p w14:paraId="3FF800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日最大8小时平均</w:t>
            </w:r>
          </w:p>
        </w:tc>
        <w:tc>
          <w:tcPr>
            <w:tcW w:w="640" w:type="pct"/>
            <w:tcBorders>
              <w:tl2br w:val="nil"/>
              <w:tr2bl w:val="nil"/>
            </w:tcBorders>
            <w:noWrap w:val="0"/>
            <w:vAlign w:val="center"/>
          </w:tcPr>
          <w:p w14:paraId="4D685A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160</w:t>
            </w:r>
          </w:p>
        </w:tc>
        <w:tc>
          <w:tcPr>
            <w:tcW w:w="616" w:type="pct"/>
            <w:tcBorders>
              <w:tl2br w:val="nil"/>
              <w:tr2bl w:val="nil"/>
            </w:tcBorders>
            <w:shd w:val="clear" w:color="auto" w:fill="auto"/>
            <w:noWrap w:val="0"/>
            <w:vAlign w:val="center"/>
          </w:tcPr>
          <w:p w14:paraId="5FED24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160</w:t>
            </w:r>
          </w:p>
        </w:tc>
        <w:tc>
          <w:tcPr>
            <w:tcW w:w="526" w:type="pct"/>
            <w:tcBorders>
              <w:tl2br w:val="nil"/>
              <w:tr2bl w:val="nil"/>
            </w:tcBorders>
            <w:noWrap w:val="0"/>
            <w:vAlign w:val="center"/>
          </w:tcPr>
          <w:p w14:paraId="5B2B0A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µg/m</w:t>
            </w:r>
            <w:r>
              <w:rPr>
                <w:rFonts w:hint="default" w:ascii="Times New Roman" w:hAnsi="Times New Roman" w:eastAsia="宋体" w:cs="Times New Roman"/>
                <w:caps w:val="0"/>
                <w:snapToGrid/>
                <w:color w:val="auto"/>
                <w:spacing w:val="0"/>
                <w:w w:val="100"/>
                <w:kern w:val="21"/>
                <w:position w:val="0"/>
                <w:sz w:val="21"/>
                <w:szCs w:val="21"/>
                <w:highlight w:val="none"/>
                <w:u w:val="none" w:color="000000"/>
                <w:vertAlign w:val="superscript"/>
              </w:rPr>
              <w:t>3</w:t>
            </w:r>
          </w:p>
        </w:tc>
        <w:tc>
          <w:tcPr>
            <w:tcW w:w="1207" w:type="pct"/>
            <w:vMerge w:val="continue"/>
            <w:tcBorders>
              <w:tl2br w:val="nil"/>
              <w:tr2bl w:val="nil"/>
            </w:tcBorders>
            <w:noWrap w:val="0"/>
            <w:vAlign w:val="center"/>
          </w:tcPr>
          <w:p w14:paraId="4223BB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r>
      <w:tr w14:paraId="761C8DF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175" w:type="pct"/>
            <w:vMerge w:val="continue"/>
            <w:tcBorders>
              <w:tl2br w:val="nil"/>
              <w:tr2bl w:val="nil"/>
            </w:tcBorders>
            <w:noWrap w:val="0"/>
            <w:vAlign w:val="center"/>
          </w:tcPr>
          <w:p w14:paraId="73D230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c>
          <w:tcPr>
            <w:tcW w:w="656" w:type="pct"/>
            <w:vMerge w:val="continue"/>
            <w:tcBorders>
              <w:tl2br w:val="nil"/>
              <w:tr2bl w:val="nil"/>
            </w:tcBorders>
            <w:noWrap w:val="0"/>
            <w:vAlign w:val="center"/>
          </w:tcPr>
          <w:p w14:paraId="79AD95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c>
          <w:tcPr>
            <w:tcW w:w="1176" w:type="pct"/>
            <w:tcBorders>
              <w:tl2br w:val="nil"/>
              <w:tr2bl w:val="nil"/>
            </w:tcBorders>
            <w:noWrap w:val="0"/>
            <w:vAlign w:val="center"/>
          </w:tcPr>
          <w:p w14:paraId="5348BD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1小时平均</w:t>
            </w:r>
          </w:p>
        </w:tc>
        <w:tc>
          <w:tcPr>
            <w:tcW w:w="640" w:type="pct"/>
            <w:tcBorders>
              <w:tl2br w:val="nil"/>
              <w:tr2bl w:val="nil"/>
            </w:tcBorders>
            <w:noWrap w:val="0"/>
            <w:vAlign w:val="center"/>
          </w:tcPr>
          <w:p w14:paraId="193831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200</w:t>
            </w:r>
          </w:p>
        </w:tc>
        <w:tc>
          <w:tcPr>
            <w:tcW w:w="616" w:type="pct"/>
            <w:tcBorders>
              <w:tl2br w:val="nil"/>
              <w:tr2bl w:val="nil"/>
            </w:tcBorders>
            <w:shd w:val="clear" w:color="auto" w:fill="auto"/>
            <w:noWrap w:val="0"/>
            <w:vAlign w:val="center"/>
          </w:tcPr>
          <w:p w14:paraId="01DB5F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200</w:t>
            </w:r>
          </w:p>
        </w:tc>
        <w:tc>
          <w:tcPr>
            <w:tcW w:w="526" w:type="pct"/>
            <w:tcBorders>
              <w:tl2br w:val="nil"/>
              <w:tr2bl w:val="nil"/>
            </w:tcBorders>
            <w:noWrap w:val="0"/>
            <w:vAlign w:val="center"/>
          </w:tcPr>
          <w:p w14:paraId="79D944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µg/m</w:t>
            </w:r>
            <w:r>
              <w:rPr>
                <w:rFonts w:hint="default" w:ascii="Times New Roman" w:hAnsi="Times New Roman" w:eastAsia="宋体" w:cs="Times New Roman"/>
                <w:caps w:val="0"/>
                <w:snapToGrid/>
                <w:color w:val="auto"/>
                <w:spacing w:val="0"/>
                <w:w w:val="100"/>
                <w:kern w:val="21"/>
                <w:position w:val="0"/>
                <w:sz w:val="21"/>
                <w:szCs w:val="21"/>
                <w:highlight w:val="none"/>
                <w:u w:val="none" w:color="000000"/>
                <w:vertAlign w:val="superscript"/>
              </w:rPr>
              <w:t>3</w:t>
            </w:r>
          </w:p>
        </w:tc>
        <w:tc>
          <w:tcPr>
            <w:tcW w:w="1207" w:type="pct"/>
            <w:vMerge w:val="continue"/>
            <w:tcBorders>
              <w:tl2br w:val="nil"/>
              <w:tr2bl w:val="nil"/>
            </w:tcBorders>
            <w:noWrap w:val="0"/>
            <w:vAlign w:val="center"/>
          </w:tcPr>
          <w:p w14:paraId="26D335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r>
      <w:tr w14:paraId="392F603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175" w:type="pct"/>
            <w:vMerge w:val="continue"/>
            <w:tcBorders>
              <w:tl2br w:val="nil"/>
              <w:tr2bl w:val="nil"/>
            </w:tcBorders>
            <w:noWrap w:val="0"/>
            <w:vAlign w:val="center"/>
          </w:tcPr>
          <w:p w14:paraId="56FB11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c>
          <w:tcPr>
            <w:tcW w:w="656" w:type="pct"/>
            <w:tcBorders>
              <w:tl2br w:val="nil"/>
              <w:tr2bl w:val="nil"/>
            </w:tcBorders>
            <w:noWrap w:val="0"/>
            <w:vAlign w:val="center"/>
          </w:tcPr>
          <w:p w14:paraId="19C378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TSP</w:t>
            </w:r>
          </w:p>
        </w:tc>
        <w:tc>
          <w:tcPr>
            <w:tcW w:w="1176" w:type="pct"/>
            <w:tcBorders>
              <w:tl2br w:val="nil"/>
              <w:tr2bl w:val="nil"/>
            </w:tcBorders>
            <w:noWrap w:val="0"/>
            <w:vAlign w:val="center"/>
          </w:tcPr>
          <w:p w14:paraId="752928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rPr>
              <w:t>24小时平均</w:t>
            </w:r>
          </w:p>
        </w:tc>
        <w:tc>
          <w:tcPr>
            <w:tcW w:w="640" w:type="pct"/>
            <w:tcBorders>
              <w:tl2br w:val="nil"/>
              <w:tr2bl w:val="nil"/>
            </w:tcBorders>
            <w:noWrap w:val="0"/>
            <w:vAlign w:val="center"/>
          </w:tcPr>
          <w:p w14:paraId="355D5D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rPr>
              <w:t>300</w:t>
            </w:r>
          </w:p>
        </w:tc>
        <w:tc>
          <w:tcPr>
            <w:tcW w:w="616" w:type="pct"/>
            <w:tcBorders>
              <w:tl2br w:val="nil"/>
              <w:tr2bl w:val="nil"/>
            </w:tcBorders>
            <w:shd w:val="clear" w:color="auto" w:fill="auto"/>
            <w:noWrap w:val="0"/>
            <w:vAlign w:val="center"/>
          </w:tcPr>
          <w:p w14:paraId="1E5224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lang w:val="en-US" w:eastAsia="zh-CN" w:bidi="ar-SA"/>
              </w:rPr>
            </w:pPr>
            <w:bookmarkStart w:id="170" w:name="OLE_LINK101"/>
            <w:r>
              <w:rPr>
                <w:rFonts w:hint="default" w:ascii="Times New Roman" w:hAnsi="Times New Roman" w:eastAsia="宋体" w:cs="Times New Roman"/>
                <w:caps w:val="0"/>
                <w:snapToGrid/>
                <w:color w:val="auto"/>
                <w:spacing w:val="0"/>
                <w:w w:val="100"/>
                <w:kern w:val="21"/>
                <w:position w:val="0"/>
                <w:sz w:val="21"/>
                <w:szCs w:val="21"/>
                <w:highlight w:val="none"/>
              </w:rPr>
              <w:t>300</w:t>
            </w:r>
          </w:p>
        </w:tc>
        <w:tc>
          <w:tcPr>
            <w:tcW w:w="526" w:type="pct"/>
            <w:tcBorders>
              <w:tl2br w:val="nil"/>
              <w:tr2bl w:val="nil"/>
            </w:tcBorders>
            <w:noWrap w:val="0"/>
            <w:vAlign w:val="center"/>
          </w:tcPr>
          <w:p w14:paraId="4D8C4E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µg/m</w:t>
            </w:r>
            <w:r>
              <w:rPr>
                <w:rFonts w:hint="default" w:ascii="Times New Roman" w:hAnsi="Times New Roman" w:eastAsia="宋体" w:cs="Times New Roman"/>
                <w:caps w:val="0"/>
                <w:snapToGrid/>
                <w:color w:val="auto"/>
                <w:spacing w:val="0"/>
                <w:w w:val="100"/>
                <w:kern w:val="21"/>
                <w:position w:val="0"/>
                <w:sz w:val="21"/>
                <w:szCs w:val="21"/>
                <w:highlight w:val="none"/>
                <w:u w:val="none" w:color="000000"/>
                <w:vertAlign w:val="superscript"/>
              </w:rPr>
              <w:t>3</w:t>
            </w:r>
            <w:bookmarkEnd w:id="170"/>
          </w:p>
        </w:tc>
        <w:tc>
          <w:tcPr>
            <w:tcW w:w="1207" w:type="pct"/>
            <w:vMerge w:val="continue"/>
            <w:tcBorders>
              <w:tl2br w:val="nil"/>
              <w:tr2bl w:val="nil"/>
            </w:tcBorders>
            <w:noWrap w:val="0"/>
            <w:vAlign w:val="center"/>
          </w:tcPr>
          <w:p w14:paraId="59BCE2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p>
        </w:tc>
      </w:tr>
      <w:tr w14:paraId="34B97B4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175" w:type="pct"/>
            <w:vMerge w:val="continue"/>
            <w:tcBorders>
              <w:tl2br w:val="nil"/>
              <w:tr2bl w:val="nil"/>
            </w:tcBorders>
            <w:noWrap w:val="0"/>
            <w:vAlign w:val="center"/>
          </w:tcPr>
          <w:p w14:paraId="5BAD11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c>
          <w:tcPr>
            <w:tcW w:w="656" w:type="pct"/>
            <w:tcBorders>
              <w:tl2br w:val="nil"/>
              <w:tr2bl w:val="nil"/>
            </w:tcBorders>
            <w:noWrap w:val="0"/>
            <w:vAlign w:val="center"/>
          </w:tcPr>
          <w:p w14:paraId="378497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非甲烷总烃</w:t>
            </w:r>
          </w:p>
        </w:tc>
        <w:tc>
          <w:tcPr>
            <w:tcW w:w="1176" w:type="pct"/>
            <w:tcBorders>
              <w:tl2br w:val="nil"/>
              <w:tr2bl w:val="nil"/>
            </w:tcBorders>
            <w:noWrap w:val="0"/>
            <w:vAlign w:val="center"/>
          </w:tcPr>
          <w:p w14:paraId="2F9779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1小时平均</w:t>
            </w:r>
          </w:p>
        </w:tc>
        <w:tc>
          <w:tcPr>
            <w:tcW w:w="640" w:type="pct"/>
            <w:tcBorders>
              <w:tl2br w:val="nil"/>
              <w:tr2bl w:val="nil"/>
            </w:tcBorders>
            <w:noWrap w:val="0"/>
            <w:vAlign w:val="center"/>
          </w:tcPr>
          <w:p w14:paraId="2A92D1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2.0</w:t>
            </w:r>
          </w:p>
        </w:tc>
        <w:tc>
          <w:tcPr>
            <w:tcW w:w="616" w:type="pct"/>
            <w:tcBorders>
              <w:tl2br w:val="nil"/>
              <w:tr2bl w:val="nil"/>
            </w:tcBorders>
            <w:shd w:val="clear" w:color="auto" w:fill="auto"/>
            <w:noWrap w:val="0"/>
            <w:vAlign w:val="center"/>
          </w:tcPr>
          <w:p w14:paraId="0B4D26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2.0</w:t>
            </w:r>
          </w:p>
        </w:tc>
        <w:tc>
          <w:tcPr>
            <w:tcW w:w="526" w:type="pct"/>
            <w:tcBorders>
              <w:tl2br w:val="nil"/>
              <w:tr2bl w:val="nil"/>
            </w:tcBorders>
            <w:noWrap w:val="0"/>
            <w:vAlign w:val="center"/>
          </w:tcPr>
          <w:p w14:paraId="132AC4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mg/m</w:t>
            </w:r>
            <w:r>
              <w:rPr>
                <w:rFonts w:hint="default" w:ascii="Times New Roman" w:hAnsi="Times New Roman" w:eastAsia="宋体" w:cs="Times New Roman"/>
                <w:caps w:val="0"/>
                <w:snapToGrid/>
                <w:color w:val="auto"/>
                <w:spacing w:val="0"/>
                <w:w w:val="100"/>
                <w:kern w:val="21"/>
                <w:position w:val="0"/>
                <w:sz w:val="21"/>
                <w:szCs w:val="21"/>
                <w:highlight w:val="none"/>
                <w:u w:val="none" w:color="000000"/>
                <w:vertAlign w:val="superscript"/>
              </w:rPr>
              <w:t>3</w:t>
            </w:r>
          </w:p>
        </w:tc>
        <w:tc>
          <w:tcPr>
            <w:tcW w:w="1207" w:type="pct"/>
            <w:tcBorders>
              <w:tl2br w:val="nil"/>
              <w:tr2bl w:val="nil"/>
            </w:tcBorders>
            <w:noWrap w:val="0"/>
            <w:vAlign w:val="center"/>
          </w:tcPr>
          <w:p w14:paraId="0E8DF8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u w:val="none" w:color="000000"/>
              </w:rPr>
            </w:pPr>
            <w:r>
              <w:rPr>
                <w:rFonts w:hint="default" w:ascii="Times New Roman" w:hAnsi="Times New Roman" w:eastAsia="宋体" w:cs="Times New Roman"/>
                <w:caps w:val="0"/>
                <w:snapToGrid/>
                <w:color w:val="auto"/>
                <w:spacing w:val="0"/>
                <w:w w:val="100"/>
                <w:kern w:val="21"/>
                <w:position w:val="0"/>
                <w:sz w:val="21"/>
                <w:szCs w:val="21"/>
                <w:highlight w:val="none"/>
                <w:u w:val="none" w:color="000000"/>
              </w:rPr>
              <w:t>《大气污染物综合排放标准详解》限值</w:t>
            </w:r>
            <w:r>
              <w:rPr>
                <w:rFonts w:hint="default" w:ascii="Times New Roman" w:hAnsi="Times New Roman" w:eastAsia="宋体" w:cs="Times New Roman"/>
                <w:caps w:val="0"/>
                <w:snapToGrid/>
                <w:color w:val="auto"/>
                <w:spacing w:val="0"/>
                <w:w w:val="100"/>
                <w:kern w:val="21"/>
                <w:position w:val="0"/>
                <w:sz w:val="21"/>
                <w:szCs w:val="21"/>
                <w:highlight w:val="none"/>
                <w:u w:val="none" w:color="000000"/>
                <w:lang w:eastAsia="zh-CN"/>
              </w:rPr>
              <w:t>要求</w:t>
            </w:r>
          </w:p>
        </w:tc>
      </w:tr>
    </w:tbl>
    <w:p w14:paraId="10003067">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71" w:name="_Toc19717"/>
      <w:bookmarkStart w:id="172" w:name="_Toc14109"/>
      <w:r>
        <w:rPr>
          <w:rFonts w:hint="default"/>
          <w:color w:val="auto"/>
          <w:spacing w:val="0"/>
          <w:w w:val="100"/>
          <w:position w:val="0"/>
          <w:highlight w:val="none"/>
          <w:lang w:val="en-US" w:eastAsia="zh-CN"/>
        </w:rPr>
        <w:t>2.6.1.2水环境</w:t>
      </w:r>
      <w:bookmarkEnd w:id="171"/>
      <w:bookmarkEnd w:id="172"/>
      <w:bookmarkStart w:id="173" w:name="_Toc6384"/>
      <w:bookmarkStart w:id="174" w:name="_Toc7878"/>
    </w:p>
    <w:p w14:paraId="209D96CF">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r>
        <w:rPr>
          <w:rFonts w:hint="default"/>
          <w:color w:val="auto"/>
          <w:spacing w:val="0"/>
          <w:w w:val="100"/>
          <w:position w:val="0"/>
          <w:highlight w:val="none"/>
        </w:rPr>
        <w:t>地下水执行《地下水质量标准》（GB/T14848-2017）中Ⅲ类标准，标准值见表</w:t>
      </w:r>
      <w:r>
        <w:rPr>
          <w:rFonts w:hint="default"/>
          <w:color w:val="auto"/>
          <w:spacing w:val="0"/>
          <w:w w:val="100"/>
          <w:position w:val="0"/>
          <w:highlight w:val="none"/>
          <w:lang w:eastAsia="zh-CN"/>
        </w:rPr>
        <w:t>2.6</w:t>
      </w:r>
      <w:r>
        <w:rPr>
          <w:rFonts w:hint="eastAsia"/>
          <w:color w:val="auto"/>
          <w:spacing w:val="0"/>
          <w:w w:val="100"/>
          <w:position w:val="0"/>
          <w:highlight w:val="none"/>
          <w:lang w:val="en-US" w:eastAsia="zh-CN"/>
        </w:rPr>
        <w:t>.1</w:t>
      </w:r>
      <w:r>
        <w:rPr>
          <w:rFonts w:hint="default"/>
          <w:color w:val="auto"/>
          <w:spacing w:val="0"/>
          <w:w w:val="100"/>
          <w:position w:val="0"/>
          <w:highlight w:val="none"/>
        </w:rPr>
        <w:t>-</w:t>
      </w:r>
      <w:r>
        <w:rPr>
          <w:rFonts w:hint="default"/>
          <w:color w:val="auto"/>
          <w:spacing w:val="0"/>
          <w:w w:val="100"/>
          <w:position w:val="0"/>
          <w:highlight w:val="none"/>
          <w:lang w:val="en-US" w:eastAsia="zh-CN"/>
        </w:rPr>
        <w:t>2</w:t>
      </w:r>
      <w:r>
        <w:rPr>
          <w:rFonts w:hint="default"/>
          <w:color w:val="auto"/>
          <w:spacing w:val="0"/>
          <w:w w:val="100"/>
          <w:position w:val="0"/>
          <w:highlight w:val="none"/>
        </w:rPr>
        <w:t>所示。</w:t>
      </w:r>
    </w:p>
    <w:p w14:paraId="7BC7440E">
      <w:pPr>
        <w:keepNext w:val="0"/>
        <w:keepLines w:val="0"/>
        <w:pageBreakBefore w:val="0"/>
        <w:widowControl w:val="0"/>
        <w:tabs>
          <w:tab w:val="left" w:pos="1021"/>
        </w:tabs>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caps w:val="0"/>
          <w:snapToGrid/>
          <w:color w:val="auto"/>
          <w:spacing w:val="0"/>
          <w:w w:val="100"/>
          <w:kern w:val="21"/>
          <w:position w:val="0"/>
          <w:sz w:val="21"/>
          <w:szCs w:val="21"/>
          <w:highlight w:val="none"/>
        </w:rPr>
      </w:pPr>
      <w:r>
        <w:rPr>
          <w:rFonts w:hint="default" w:ascii="Times New Roman" w:hAnsi="Times New Roman" w:eastAsia="宋体" w:cs="Times New Roman"/>
          <w:b/>
          <w:caps w:val="0"/>
          <w:snapToGrid/>
          <w:color w:val="auto"/>
          <w:spacing w:val="0"/>
          <w:w w:val="100"/>
          <w:kern w:val="21"/>
          <w:position w:val="0"/>
          <w:sz w:val="21"/>
          <w:szCs w:val="21"/>
          <w:highlight w:val="none"/>
        </w:rPr>
        <w:t>表</w:t>
      </w:r>
      <w:r>
        <w:rPr>
          <w:rFonts w:hint="default" w:ascii="Times New Roman" w:hAnsi="Times New Roman" w:eastAsia="宋体" w:cs="Times New Roman"/>
          <w:b/>
          <w:caps w:val="0"/>
          <w:snapToGrid/>
          <w:color w:val="auto"/>
          <w:spacing w:val="0"/>
          <w:w w:val="100"/>
          <w:kern w:val="21"/>
          <w:position w:val="0"/>
          <w:sz w:val="21"/>
          <w:szCs w:val="21"/>
          <w:highlight w:val="none"/>
          <w:lang w:eastAsia="zh-CN"/>
        </w:rPr>
        <w:t>2.6</w:t>
      </w:r>
      <w:r>
        <w:rPr>
          <w:rFonts w:hint="eastAsia" w:cs="Times New Roman"/>
          <w:b/>
          <w:caps w:val="0"/>
          <w:snapToGrid/>
          <w:color w:val="auto"/>
          <w:spacing w:val="0"/>
          <w:w w:val="100"/>
          <w:kern w:val="21"/>
          <w:position w:val="0"/>
          <w:sz w:val="21"/>
          <w:szCs w:val="21"/>
          <w:highlight w:val="none"/>
          <w:lang w:val="en-US" w:eastAsia="zh-CN"/>
        </w:rPr>
        <w:t>.1</w:t>
      </w:r>
      <w:r>
        <w:rPr>
          <w:rFonts w:hint="default" w:ascii="Times New Roman" w:hAnsi="Times New Roman" w:eastAsia="宋体" w:cs="Times New Roman"/>
          <w:b/>
          <w:caps w:val="0"/>
          <w:snapToGrid/>
          <w:color w:val="auto"/>
          <w:spacing w:val="0"/>
          <w:w w:val="100"/>
          <w:kern w:val="21"/>
          <w:position w:val="0"/>
          <w:sz w:val="21"/>
          <w:szCs w:val="21"/>
          <w:highlight w:val="none"/>
        </w:rPr>
        <w:t>-</w:t>
      </w:r>
      <w:r>
        <w:rPr>
          <w:rFonts w:hint="default" w:ascii="Times New Roman" w:hAnsi="Times New Roman" w:eastAsia="宋体" w:cs="Times New Roman"/>
          <w:b/>
          <w:caps w:val="0"/>
          <w:snapToGrid/>
          <w:color w:val="auto"/>
          <w:spacing w:val="0"/>
          <w:w w:val="100"/>
          <w:kern w:val="21"/>
          <w:position w:val="0"/>
          <w:sz w:val="21"/>
          <w:szCs w:val="21"/>
          <w:highlight w:val="none"/>
          <w:lang w:val="en-US" w:eastAsia="zh-CN"/>
        </w:rPr>
        <w:t>2</w:t>
      </w:r>
      <w:r>
        <w:rPr>
          <w:rFonts w:hint="default" w:ascii="Times New Roman" w:hAnsi="Times New Roman" w:eastAsia="宋体" w:cs="Times New Roman"/>
          <w:b/>
          <w:caps w:val="0"/>
          <w:snapToGrid/>
          <w:color w:val="auto"/>
          <w:spacing w:val="0"/>
          <w:w w:val="100"/>
          <w:kern w:val="21"/>
          <w:position w:val="0"/>
          <w:sz w:val="21"/>
          <w:szCs w:val="21"/>
          <w:highlight w:val="none"/>
        </w:rPr>
        <w:t xml:space="preserve">  《地下水质量标准》（GB/T14848-2017）Ⅲ类</w:t>
      </w:r>
    </w:p>
    <w:tbl>
      <w:tblPr>
        <w:tblStyle w:val="25"/>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1274"/>
        <w:gridCol w:w="2334"/>
        <w:gridCol w:w="2838"/>
        <w:gridCol w:w="2506"/>
      </w:tblGrid>
      <w:tr w14:paraId="289257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tblHeader/>
          <w:jc w:val="center"/>
        </w:trPr>
        <w:tc>
          <w:tcPr>
            <w:tcW w:w="711" w:type="pct"/>
            <w:tcBorders>
              <w:tl2br w:val="nil"/>
              <w:tr2bl w:val="nil"/>
            </w:tcBorders>
            <w:noWrap w:val="0"/>
            <w:vAlign w:val="center"/>
          </w:tcPr>
          <w:p w14:paraId="64E7835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序号</w:t>
            </w:r>
          </w:p>
        </w:tc>
        <w:tc>
          <w:tcPr>
            <w:tcW w:w="1303" w:type="pct"/>
            <w:tcBorders>
              <w:tl2br w:val="nil"/>
              <w:tr2bl w:val="nil"/>
            </w:tcBorders>
            <w:noWrap w:val="0"/>
            <w:vAlign w:val="center"/>
          </w:tcPr>
          <w:p w14:paraId="5984E37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项目</w:t>
            </w:r>
          </w:p>
        </w:tc>
        <w:tc>
          <w:tcPr>
            <w:tcW w:w="1584" w:type="pct"/>
            <w:tcBorders>
              <w:tl2br w:val="nil"/>
              <w:tr2bl w:val="nil"/>
            </w:tcBorders>
            <w:noWrap w:val="0"/>
            <w:vAlign w:val="center"/>
          </w:tcPr>
          <w:p w14:paraId="3B95375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单位</w:t>
            </w:r>
          </w:p>
        </w:tc>
        <w:tc>
          <w:tcPr>
            <w:tcW w:w="1399" w:type="pct"/>
            <w:tcBorders>
              <w:tl2br w:val="nil"/>
              <w:tr2bl w:val="nil"/>
            </w:tcBorders>
            <w:noWrap w:val="0"/>
            <w:vAlign w:val="center"/>
          </w:tcPr>
          <w:p w14:paraId="2C94D0E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标准值</w:t>
            </w:r>
          </w:p>
        </w:tc>
      </w:tr>
      <w:tr w14:paraId="71BBD1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711" w:type="pct"/>
            <w:tcBorders>
              <w:tl2br w:val="nil"/>
              <w:tr2bl w:val="nil"/>
            </w:tcBorders>
            <w:noWrap w:val="0"/>
            <w:vAlign w:val="center"/>
          </w:tcPr>
          <w:p w14:paraId="52D3EE5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1</w:t>
            </w:r>
          </w:p>
        </w:tc>
        <w:tc>
          <w:tcPr>
            <w:tcW w:w="1303" w:type="pct"/>
            <w:tcBorders>
              <w:tl2br w:val="nil"/>
              <w:tr2bl w:val="nil"/>
            </w:tcBorders>
            <w:noWrap w:val="0"/>
            <w:vAlign w:val="center"/>
          </w:tcPr>
          <w:p w14:paraId="5430002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pH</w:t>
            </w:r>
          </w:p>
        </w:tc>
        <w:tc>
          <w:tcPr>
            <w:tcW w:w="1584" w:type="pct"/>
            <w:tcBorders>
              <w:tl2br w:val="nil"/>
              <w:tr2bl w:val="nil"/>
            </w:tcBorders>
            <w:noWrap w:val="0"/>
            <w:vAlign w:val="center"/>
          </w:tcPr>
          <w:p w14:paraId="5F3E7D7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无量纲</w:t>
            </w:r>
          </w:p>
        </w:tc>
        <w:tc>
          <w:tcPr>
            <w:tcW w:w="1399" w:type="pct"/>
            <w:tcBorders>
              <w:tl2br w:val="nil"/>
              <w:tr2bl w:val="nil"/>
            </w:tcBorders>
            <w:noWrap w:val="0"/>
            <w:vAlign w:val="center"/>
          </w:tcPr>
          <w:p w14:paraId="7FB3866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6.5</w:t>
            </w:r>
            <w:r>
              <w:rPr>
                <w:rFonts w:hint="default"/>
                <w:color w:val="auto"/>
                <w:spacing w:val="0"/>
                <w:w w:val="100"/>
                <w:position w:val="0"/>
                <w:highlight w:val="none"/>
                <w:lang w:eastAsia="zh-CN"/>
              </w:rPr>
              <w:t>~</w:t>
            </w:r>
            <w:r>
              <w:rPr>
                <w:rFonts w:hint="default"/>
                <w:color w:val="auto"/>
                <w:spacing w:val="0"/>
                <w:w w:val="100"/>
                <w:position w:val="0"/>
                <w:highlight w:val="none"/>
              </w:rPr>
              <w:t>8.5</w:t>
            </w:r>
          </w:p>
        </w:tc>
      </w:tr>
      <w:tr w14:paraId="25C812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711" w:type="pct"/>
            <w:tcBorders>
              <w:tl2br w:val="nil"/>
              <w:tr2bl w:val="nil"/>
            </w:tcBorders>
            <w:noWrap w:val="0"/>
            <w:vAlign w:val="center"/>
          </w:tcPr>
          <w:p w14:paraId="551F007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2</w:t>
            </w:r>
          </w:p>
        </w:tc>
        <w:tc>
          <w:tcPr>
            <w:tcW w:w="1303" w:type="pct"/>
            <w:tcBorders>
              <w:tl2br w:val="nil"/>
              <w:tr2bl w:val="nil"/>
            </w:tcBorders>
            <w:noWrap w:val="0"/>
            <w:vAlign w:val="center"/>
          </w:tcPr>
          <w:p w14:paraId="698C444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总硬度</w:t>
            </w:r>
          </w:p>
        </w:tc>
        <w:tc>
          <w:tcPr>
            <w:tcW w:w="1584" w:type="pct"/>
            <w:tcBorders>
              <w:tl2br w:val="nil"/>
              <w:tr2bl w:val="nil"/>
            </w:tcBorders>
            <w:noWrap w:val="0"/>
            <w:vAlign w:val="center"/>
          </w:tcPr>
          <w:p w14:paraId="2E81F20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mg/L</w:t>
            </w:r>
          </w:p>
        </w:tc>
        <w:tc>
          <w:tcPr>
            <w:tcW w:w="1399" w:type="pct"/>
            <w:tcBorders>
              <w:tl2br w:val="nil"/>
              <w:tr2bl w:val="nil"/>
            </w:tcBorders>
            <w:noWrap w:val="0"/>
            <w:vAlign w:val="center"/>
          </w:tcPr>
          <w:p w14:paraId="63FECD9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lang w:eastAsia="zh-CN"/>
              </w:rPr>
              <w:t>≤</w:t>
            </w:r>
            <w:r>
              <w:rPr>
                <w:rFonts w:hint="default"/>
                <w:color w:val="auto"/>
                <w:spacing w:val="0"/>
                <w:w w:val="100"/>
                <w:position w:val="0"/>
                <w:highlight w:val="none"/>
              </w:rPr>
              <w:t>450</w:t>
            </w:r>
          </w:p>
        </w:tc>
      </w:tr>
      <w:tr w14:paraId="779DDB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711" w:type="pct"/>
            <w:tcBorders>
              <w:tl2br w:val="nil"/>
              <w:tr2bl w:val="nil"/>
            </w:tcBorders>
            <w:noWrap w:val="0"/>
            <w:vAlign w:val="center"/>
          </w:tcPr>
          <w:p w14:paraId="636EA82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3</w:t>
            </w:r>
          </w:p>
        </w:tc>
        <w:tc>
          <w:tcPr>
            <w:tcW w:w="1303" w:type="pct"/>
            <w:tcBorders>
              <w:tl2br w:val="nil"/>
              <w:tr2bl w:val="nil"/>
            </w:tcBorders>
            <w:noWrap w:val="0"/>
            <w:vAlign w:val="center"/>
          </w:tcPr>
          <w:p w14:paraId="19E8774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溶解性总固体</w:t>
            </w:r>
          </w:p>
        </w:tc>
        <w:tc>
          <w:tcPr>
            <w:tcW w:w="1584" w:type="pct"/>
            <w:tcBorders>
              <w:tl2br w:val="nil"/>
              <w:tr2bl w:val="nil"/>
            </w:tcBorders>
            <w:noWrap w:val="0"/>
            <w:vAlign w:val="center"/>
          </w:tcPr>
          <w:p w14:paraId="4868611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mg/L</w:t>
            </w:r>
          </w:p>
        </w:tc>
        <w:tc>
          <w:tcPr>
            <w:tcW w:w="1399" w:type="pct"/>
            <w:tcBorders>
              <w:tl2br w:val="nil"/>
              <w:tr2bl w:val="nil"/>
            </w:tcBorders>
            <w:noWrap w:val="0"/>
            <w:vAlign w:val="center"/>
          </w:tcPr>
          <w:p w14:paraId="0A96081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lang w:eastAsia="zh-CN"/>
              </w:rPr>
              <w:t>≤</w:t>
            </w:r>
            <w:r>
              <w:rPr>
                <w:rFonts w:hint="default"/>
                <w:color w:val="auto"/>
                <w:spacing w:val="0"/>
                <w:w w:val="100"/>
                <w:position w:val="0"/>
                <w:highlight w:val="none"/>
              </w:rPr>
              <w:t>1000</w:t>
            </w:r>
          </w:p>
        </w:tc>
      </w:tr>
      <w:tr w14:paraId="6CFA4C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711" w:type="pct"/>
            <w:tcBorders>
              <w:tl2br w:val="nil"/>
              <w:tr2bl w:val="nil"/>
            </w:tcBorders>
            <w:noWrap w:val="0"/>
            <w:vAlign w:val="center"/>
          </w:tcPr>
          <w:p w14:paraId="024ED03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4</w:t>
            </w:r>
          </w:p>
        </w:tc>
        <w:tc>
          <w:tcPr>
            <w:tcW w:w="1303" w:type="pct"/>
            <w:tcBorders>
              <w:tl2br w:val="nil"/>
              <w:tr2bl w:val="nil"/>
            </w:tcBorders>
            <w:noWrap w:val="0"/>
            <w:vAlign w:val="center"/>
          </w:tcPr>
          <w:p w14:paraId="3958460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硫酸盐</w:t>
            </w:r>
          </w:p>
        </w:tc>
        <w:tc>
          <w:tcPr>
            <w:tcW w:w="1584" w:type="pct"/>
            <w:tcBorders>
              <w:tl2br w:val="nil"/>
              <w:tr2bl w:val="nil"/>
            </w:tcBorders>
            <w:noWrap w:val="0"/>
            <w:vAlign w:val="center"/>
          </w:tcPr>
          <w:p w14:paraId="38B58F5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mg/L</w:t>
            </w:r>
          </w:p>
        </w:tc>
        <w:tc>
          <w:tcPr>
            <w:tcW w:w="1399" w:type="pct"/>
            <w:tcBorders>
              <w:tl2br w:val="nil"/>
              <w:tr2bl w:val="nil"/>
            </w:tcBorders>
            <w:noWrap w:val="0"/>
            <w:vAlign w:val="center"/>
          </w:tcPr>
          <w:p w14:paraId="0C51382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lang w:eastAsia="zh-CN"/>
              </w:rPr>
              <w:t>≤</w:t>
            </w:r>
            <w:r>
              <w:rPr>
                <w:rFonts w:hint="default"/>
                <w:color w:val="auto"/>
                <w:spacing w:val="0"/>
                <w:w w:val="100"/>
                <w:position w:val="0"/>
                <w:highlight w:val="none"/>
              </w:rPr>
              <w:t>250</w:t>
            </w:r>
          </w:p>
        </w:tc>
      </w:tr>
      <w:tr w14:paraId="50DF50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711" w:type="pct"/>
            <w:tcBorders>
              <w:tl2br w:val="nil"/>
              <w:tr2bl w:val="nil"/>
            </w:tcBorders>
            <w:noWrap w:val="0"/>
            <w:vAlign w:val="center"/>
          </w:tcPr>
          <w:p w14:paraId="66DEE95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5</w:t>
            </w:r>
          </w:p>
        </w:tc>
        <w:tc>
          <w:tcPr>
            <w:tcW w:w="1303" w:type="pct"/>
            <w:tcBorders>
              <w:tl2br w:val="nil"/>
              <w:tr2bl w:val="nil"/>
            </w:tcBorders>
            <w:noWrap w:val="0"/>
            <w:vAlign w:val="center"/>
          </w:tcPr>
          <w:p w14:paraId="1397877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氯化物</w:t>
            </w:r>
          </w:p>
        </w:tc>
        <w:tc>
          <w:tcPr>
            <w:tcW w:w="1584" w:type="pct"/>
            <w:tcBorders>
              <w:tl2br w:val="nil"/>
              <w:tr2bl w:val="nil"/>
            </w:tcBorders>
            <w:noWrap w:val="0"/>
            <w:vAlign w:val="center"/>
          </w:tcPr>
          <w:p w14:paraId="55A58F6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mg/L</w:t>
            </w:r>
          </w:p>
        </w:tc>
        <w:tc>
          <w:tcPr>
            <w:tcW w:w="1399" w:type="pct"/>
            <w:tcBorders>
              <w:tl2br w:val="nil"/>
              <w:tr2bl w:val="nil"/>
            </w:tcBorders>
            <w:noWrap w:val="0"/>
            <w:vAlign w:val="center"/>
          </w:tcPr>
          <w:p w14:paraId="3160E75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lang w:eastAsia="zh-CN"/>
              </w:rPr>
              <w:t>≤</w:t>
            </w:r>
            <w:r>
              <w:rPr>
                <w:rFonts w:hint="default"/>
                <w:color w:val="auto"/>
                <w:spacing w:val="0"/>
                <w:w w:val="100"/>
                <w:position w:val="0"/>
                <w:highlight w:val="none"/>
              </w:rPr>
              <w:t>250</w:t>
            </w:r>
          </w:p>
        </w:tc>
      </w:tr>
      <w:tr w14:paraId="7834A5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711" w:type="pct"/>
            <w:tcBorders>
              <w:tl2br w:val="nil"/>
              <w:tr2bl w:val="nil"/>
            </w:tcBorders>
            <w:noWrap w:val="0"/>
            <w:vAlign w:val="center"/>
          </w:tcPr>
          <w:p w14:paraId="3DE475B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6</w:t>
            </w:r>
          </w:p>
        </w:tc>
        <w:tc>
          <w:tcPr>
            <w:tcW w:w="1303" w:type="pct"/>
            <w:tcBorders>
              <w:tl2br w:val="nil"/>
              <w:tr2bl w:val="nil"/>
            </w:tcBorders>
            <w:noWrap w:val="0"/>
            <w:vAlign w:val="center"/>
          </w:tcPr>
          <w:p w14:paraId="19DCC0B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铁</w:t>
            </w:r>
          </w:p>
        </w:tc>
        <w:tc>
          <w:tcPr>
            <w:tcW w:w="1584" w:type="pct"/>
            <w:tcBorders>
              <w:tl2br w:val="nil"/>
              <w:tr2bl w:val="nil"/>
            </w:tcBorders>
            <w:noWrap w:val="0"/>
            <w:vAlign w:val="center"/>
          </w:tcPr>
          <w:p w14:paraId="79F47E1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mg/L</w:t>
            </w:r>
          </w:p>
        </w:tc>
        <w:tc>
          <w:tcPr>
            <w:tcW w:w="1399" w:type="pct"/>
            <w:tcBorders>
              <w:tl2br w:val="nil"/>
              <w:tr2bl w:val="nil"/>
            </w:tcBorders>
            <w:noWrap w:val="0"/>
            <w:vAlign w:val="center"/>
          </w:tcPr>
          <w:p w14:paraId="017C39A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lang w:eastAsia="zh-CN"/>
              </w:rPr>
              <w:t>≤</w:t>
            </w:r>
            <w:r>
              <w:rPr>
                <w:rFonts w:hint="default"/>
                <w:color w:val="auto"/>
                <w:spacing w:val="0"/>
                <w:w w:val="100"/>
                <w:position w:val="0"/>
                <w:highlight w:val="none"/>
              </w:rPr>
              <w:t>0.3</w:t>
            </w:r>
          </w:p>
        </w:tc>
      </w:tr>
      <w:tr w14:paraId="1A46C5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711" w:type="pct"/>
            <w:tcBorders>
              <w:tl2br w:val="nil"/>
              <w:tr2bl w:val="nil"/>
            </w:tcBorders>
            <w:noWrap w:val="0"/>
            <w:vAlign w:val="center"/>
          </w:tcPr>
          <w:p w14:paraId="2F0C41C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7</w:t>
            </w:r>
          </w:p>
        </w:tc>
        <w:tc>
          <w:tcPr>
            <w:tcW w:w="1303" w:type="pct"/>
            <w:tcBorders>
              <w:tl2br w:val="nil"/>
              <w:tr2bl w:val="nil"/>
            </w:tcBorders>
            <w:noWrap w:val="0"/>
            <w:vAlign w:val="center"/>
          </w:tcPr>
          <w:p w14:paraId="714FAF4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锰</w:t>
            </w:r>
          </w:p>
        </w:tc>
        <w:tc>
          <w:tcPr>
            <w:tcW w:w="1584" w:type="pct"/>
            <w:tcBorders>
              <w:tl2br w:val="nil"/>
              <w:tr2bl w:val="nil"/>
            </w:tcBorders>
            <w:noWrap w:val="0"/>
            <w:vAlign w:val="center"/>
          </w:tcPr>
          <w:p w14:paraId="5F15132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mg/L</w:t>
            </w:r>
          </w:p>
        </w:tc>
        <w:tc>
          <w:tcPr>
            <w:tcW w:w="1399" w:type="pct"/>
            <w:tcBorders>
              <w:tl2br w:val="nil"/>
              <w:tr2bl w:val="nil"/>
            </w:tcBorders>
            <w:noWrap w:val="0"/>
            <w:vAlign w:val="center"/>
          </w:tcPr>
          <w:p w14:paraId="69BD76B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lang w:eastAsia="zh-CN"/>
              </w:rPr>
              <w:t>≤</w:t>
            </w:r>
            <w:r>
              <w:rPr>
                <w:rFonts w:hint="default"/>
                <w:color w:val="auto"/>
                <w:spacing w:val="0"/>
                <w:w w:val="100"/>
                <w:position w:val="0"/>
                <w:highlight w:val="none"/>
              </w:rPr>
              <w:t>0.10</w:t>
            </w:r>
          </w:p>
        </w:tc>
      </w:tr>
      <w:tr w14:paraId="2F3799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711" w:type="pct"/>
            <w:tcBorders>
              <w:tl2br w:val="nil"/>
              <w:tr2bl w:val="nil"/>
            </w:tcBorders>
            <w:noWrap w:val="0"/>
            <w:vAlign w:val="center"/>
          </w:tcPr>
          <w:p w14:paraId="0B16D35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8</w:t>
            </w:r>
          </w:p>
        </w:tc>
        <w:tc>
          <w:tcPr>
            <w:tcW w:w="1303" w:type="pct"/>
            <w:tcBorders>
              <w:tl2br w:val="nil"/>
              <w:tr2bl w:val="nil"/>
            </w:tcBorders>
            <w:noWrap w:val="0"/>
            <w:vAlign w:val="center"/>
          </w:tcPr>
          <w:p w14:paraId="5E45CA4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铜</w:t>
            </w:r>
          </w:p>
        </w:tc>
        <w:tc>
          <w:tcPr>
            <w:tcW w:w="1584" w:type="pct"/>
            <w:tcBorders>
              <w:tl2br w:val="nil"/>
              <w:tr2bl w:val="nil"/>
            </w:tcBorders>
            <w:noWrap w:val="0"/>
            <w:vAlign w:val="center"/>
          </w:tcPr>
          <w:p w14:paraId="5993A00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mg/L</w:t>
            </w:r>
          </w:p>
        </w:tc>
        <w:tc>
          <w:tcPr>
            <w:tcW w:w="1399" w:type="pct"/>
            <w:tcBorders>
              <w:tl2br w:val="nil"/>
              <w:tr2bl w:val="nil"/>
            </w:tcBorders>
            <w:noWrap w:val="0"/>
            <w:vAlign w:val="center"/>
          </w:tcPr>
          <w:p w14:paraId="2FA8E47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lang w:eastAsia="zh-CN"/>
              </w:rPr>
              <w:t>≤</w:t>
            </w:r>
            <w:r>
              <w:rPr>
                <w:rFonts w:hint="default"/>
                <w:color w:val="auto"/>
                <w:spacing w:val="0"/>
                <w:w w:val="100"/>
                <w:position w:val="0"/>
                <w:highlight w:val="none"/>
              </w:rPr>
              <w:t>1.00</w:t>
            </w:r>
          </w:p>
        </w:tc>
      </w:tr>
      <w:tr w14:paraId="340206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711" w:type="pct"/>
            <w:tcBorders>
              <w:tl2br w:val="nil"/>
              <w:tr2bl w:val="nil"/>
            </w:tcBorders>
            <w:noWrap w:val="0"/>
            <w:vAlign w:val="center"/>
          </w:tcPr>
          <w:p w14:paraId="4FF53EF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9</w:t>
            </w:r>
          </w:p>
        </w:tc>
        <w:tc>
          <w:tcPr>
            <w:tcW w:w="1303" w:type="pct"/>
            <w:tcBorders>
              <w:tl2br w:val="nil"/>
              <w:tr2bl w:val="nil"/>
            </w:tcBorders>
            <w:noWrap w:val="0"/>
            <w:vAlign w:val="center"/>
          </w:tcPr>
          <w:p w14:paraId="33D70C4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锌</w:t>
            </w:r>
          </w:p>
        </w:tc>
        <w:tc>
          <w:tcPr>
            <w:tcW w:w="1584" w:type="pct"/>
            <w:tcBorders>
              <w:tl2br w:val="nil"/>
              <w:tr2bl w:val="nil"/>
            </w:tcBorders>
            <w:noWrap w:val="0"/>
            <w:vAlign w:val="center"/>
          </w:tcPr>
          <w:p w14:paraId="0A99BC6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mg/L</w:t>
            </w:r>
          </w:p>
        </w:tc>
        <w:tc>
          <w:tcPr>
            <w:tcW w:w="1399" w:type="pct"/>
            <w:tcBorders>
              <w:tl2br w:val="nil"/>
              <w:tr2bl w:val="nil"/>
            </w:tcBorders>
            <w:noWrap w:val="0"/>
            <w:vAlign w:val="center"/>
          </w:tcPr>
          <w:p w14:paraId="0234171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lang w:eastAsia="zh-CN"/>
              </w:rPr>
              <w:t>≤</w:t>
            </w:r>
            <w:r>
              <w:rPr>
                <w:rFonts w:hint="default"/>
                <w:color w:val="auto"/>
                <w:spacing w:val="0"/>
                <w:w w:val="100"/>
                <w:position w:val="0"/>
                <w:highlight w:val="none"/>
              </w:rPr>
              <w:t>1.00</w:t>
            </w:r>
          </w:p>
        </w:tc>
      </w:tr>
      <w:tr w14:paraId="63F52A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711" w:type="pct"/>
            <w:tcBorders>
              <w:tl2br w:val="nil"/>
              <w:tr2bl w:val="nil"/>
            </w:tcBorders>
            <w:noWrap w:val="0"/>
            <w:vAlign w:val="center"/>
          </w:tcPr>
          <w:p w14:paraId="40D05E7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10</w:t>
            </w:r>
          </w:p>
        </w:tc>
        <w:tc>
          <w:tcPr>
            <w:tcW w:w="1303" w:type="pct"/>
            <w:tcBorders>
              <w:tl2br w:val="nil"/>
              <w:tr2bl w:val="nil"/>
            </w:tcBorders>
            <w:noWrap w:val="0"/>
            <w:vAlign w:val="center"/>
          </w:tcPr>
          <w:p w14:paraId="1922178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lang w:eastAsia="zh-CN"/>
              </w:rPr>
              <w:t>铝</w:t>
            </w:r>
          </w:p>
        </w:tc>
        <w:tc>
          <w:tcPr>
            <w:tcW w:w="1584" w:type="pct"/>
            <w:tcBorders>
              <w:tl2br w:val="nil"/>
              <w:tr2bl w:val="nil"/>
            </w:tcBorders>
            <w:noWrap w:val="0"/>
            <w:vAlign w:val="center"/>
          </w:tcPr>
          <w:p w14:paraId="7D47EDB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mg/L</w:t>
            </w:r>
          </w:p>
        </w:tc>
        <w:tc>
          <w:tcPr>
            <w:tcW w:w="1399" w:type="pct"/>
            <w:tcBorders>
              <w:tl2br w:val="nil"/>
              <w:tr2bl w:val="nil"/>
            </w:tcBorders>
            <w:noWrap w:val="0"/>
            <w:vAlign w:val="center"/>
          </w:tcPr>
          <w:p w14:paraId="35D413A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rPr>
            </w:pPr>
            <w:r>
              <w:rPr>
                <w:rFonts w:hint="default"/>
                <w:color w:val="auto"/>
                <w:spacing w:val="0"/>
                <w:w w:val="100"/>
                <w:position w:val="0"/>
                <w:highlight w:val="none"/>
                <w:lang w:eastAsia="zh-CN"/>
              </w:rPr>
              <w:t>≤</w:t>
            </w:r>
            <w:r>
              <w:rPr>
                <w:rFonts w:hint="default"/>
                <w:color w:val="auto"/>
                <w:spacing w:val="0"/>
                <w:w w:val="100"/>
                <w:position w:val="0"/>
                <w:highlight w:val="none"/>
                <w:lang w:val="en-US" w:eastAsia="zh-CN"/>
              </w:rPr>
              <w:t>0.20</w:t>
            </w:r>
          </w:p>
        </w:tc>
      </w:tr>
      <w:tr w14:paraId="51AD10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711" w:type="pct"/>
            <w:tcBorders>
              <w:tl2br w:val="nil"/>
              <w:tr2bl w:val="nil"/>
            </w:tcBorders>
            <w:noWrap w:val="0"/>
            <w:vAlign w:val="center"/>
          </w:tcPr>
          <w:p w14:paraId="5F0A5B1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11</w:t>
            </w:r>
          </w:p>
        </w:tc>
        <w:tc>
          <w:tcPr>
            <w:tcW w:w="1303" w:type="pct"/>
            <w:tcBorders>
              <w:tl2br w:val="nil"/>
              <w:tr2bl w:val="nil"/>
            </w:tcBorders>
            <w:noWrap w:val="0"/>
            <w:vAlign w:val="center"/>
          </w:tcPr>
          <w:p w14:paraId="27E51F3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挥发性酚类</w:t>
            </w:r>
          </w:p>
        </w:tc>
        <w:tc>
          <w:tcPr>
            <w:tcW w:w="1584" w:type="pct"/>
            <w:tcBorders>
              <w:tl2br w:val="nil"/>
              <w:tr2bl w:val="nil"/>
            </w:tcBorders>
            <w:noWrap w:val="0"/>
            <w:vAlign w:val="center"/>
          </w:tcPr>
          <w:p w14:paraId="0214D45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mg/L</w:t>
            </w:r>
          </w:p>
        </w:tc>
        <w:tc>
          <w:tcPr>
            <w:tcW w:w="1399" w:type="pct"/>
            <w:tcBorders>
              <w:tl2br w:val="nil"/>
              <w:tr2bl w:val="nil"/>
            </w:tcBorders>
            <w:noWrap w:val="0"/>
            <w:vAlign w:val="center"/>
          </w:tcPr>
          <w:p w14:paraId="61907D5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lang w:eastAsia="zh-CN"/>
              </w:rPr>
              <w:t>≤</w:t>
            </w:r>
            <w:r>
              <w:rPr>
                <w:rFonts w:hint="default"/>
                <w:color w:val="auto"/>
                <w:spacing w:val="0"/>
                <w:w w:val="100"/>
                <w:position w:val="0"/>
                <w:highlight w:val="none"/>
              </w:rPr>
              <w:t>0.002</w:t>
            </w:r>
          </w:p>
        </w:tc>
      </w:tr>
      <w:tr w14:paraId="650E27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711" w:type="pct"/>
            <w:tcBorders>
              <w:tl2br w:val="nil"/>
              <w:tr2bl w:val="nil"/>
            </w:tcBorders>
            <w:noWrap w:val="0"/>
            <w:vAlign w:val="center"/>
          </w:tcPr>
          <w:p w14:paraId="74BD85E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12</w:t>
            </w:r>
          </w:p>
        </w:tc>
        <w:tc>
          <w:tcPr>
            <w:tcW w:w="1303" w:type="pct"/>
            <w:tcBorders>
              <w:tl2br w:val="nil"/>
              <w:tr2bl w:val="nil"/>
            </w:tcBorders>
            <w:noWrap w:val="0"/>
            <w:vAlign w:val="center"/>
          </w:tcPr>
          <w:p w14:paraId="0536508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阴离子表面活性剂</w:t>
            </w:r>
          </w:p>
        </w:tc>
        <w:tc>
          <w:tcPr>
            <w:tcW w:w="1584" w:type="pct"/>
            <w:tcBorders>
              <w:tl2br w:val="nil"/>
              <w:tr2bl w:val="nil"/>
            </w:tcBorders>
            <w:noWrap w:val="0"/>
            <w:vAlign w:val="center"/>
          </w:tcPr>
          <w:p w14:paraId="560257D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mg/L</w:t>
            </w:r>
          </w:p>
        </w:tc>
        <w:tc>
          <w:tcPr>
            <w:tcW w:w="1399" w:type="pct"/>
            <w:tcBorders>
              <w:tl2br w:val="nil"/>
              <w:tr2bl w:val="nil"/>
            </w:tcBorders>
            <w:noWrap w:val="0"/>
            <w:vAlign w:val="center"/>
          </w:tcPr>
          <w:p w14:paraId="476FE81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rPr>
            </w:pPr>
            <w:r>
              <w:rPr>
                <w:rFonts w:hint="default"/>
                <w:color w:val="auto"/>
                <w:spacing w:val="0"/>
                <w:w w:val="100"/>
                <w:position w:val="0"/>
                <w:highlight w:val="none"/>
                <w:lang w:eastAsia="zh-CN"/>
              </w:rPr>
              <w:t>≤</w:t>
            </w:r>
            <w:r>
              <w:rPr>
                <w:rFonts w:hint="default"/>
                <w:color w:val="auto"/>
                <w:spacing w:val="0"/>
                <w:w w:val="100"/>
                <w:position w:val="0"/>
                <w:highlight w:val="none"/>
                <w:lang w:val="en-US" w:eastAsia="zh-CN"/>
              </w:rPr>
              <w:t>0.3</w:t>
            </w:r>
          </w:p>
        </w:tc>
      </w:tr>
      <w:tr w14:paraId="480810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711" w:type="pct"/>
            <w:tcBorders>
              <w:tl2br w:val="nil"/>
              <w:tr2bl w:val="nil"/>
            </w:tcBorders>
            <w:noWrap w:val="0"/>
            <w:vAlign w:val="center"/>
          </w:tcPr>
          <w:p w14:paraId="3E79B4F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13</w:t>
            </w:r>
          </w:p>
        </w:tc>
        <w:tc>
          <w:tcPr>
            <w:tcW w:w="1303" w:type="pct"/>
            <w:tcBorders>
              <w:tl2br w:val="nil"/>
              <w:tr2bl w:val="nil"/>
            </w:tcBorders>
            <w:noWrap w:val="0"/>
            <w:vAlign w:val="center"/>
          </w:tcPr>
          <w:p w14:paraId="7C85BB1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耗氧量</w:t>
            </w:r>
          </w:p>
        </w:tc>
        <w:tc>
          <w:tcPr>
            <w:tcW w:w="1584" w:type="pct"/>
            <w:tcBorders>
              <w:tl2br w:val="nil"/>
              <w:tr2bl w:val="nil"/>
            </w:tcBorders>
            <w:noWrap w:val="0"/>
            <w:vAlign w:val="center"/>
          </w:tcPr>
          <w:p w14:paraId="0BFE748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mg/L</w:t>
            </w:r>
          </w:p>
        </w:tc>
        <w:tc>
          <w:tcPr>
            <w:tcW w:w="1399" w:type="pct"/>
            <w:tcBorders>
              <w:tl2br w:val="nil"/>
              <w:tr2bl w:val="nil"/>
            </w:tcBorders>
            <w:noWrap w:val="0"/>
            <w:vAlign w:val="center"/>
          </w:tcPr>
          <w:p w14:paraId="003DC62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lang w:eastAsia="zh-CN"/>
              </w:rPr>
              <w:t>≤</w:t>
            </w:r>
            <w:r>
              <w:rPr>
                <w:rFonts w:hint="default"/>
                <w:color w:val="auto"/>
                <w:spacing w:val="0"/>
                <w:w w:val="100"/>
                <w:position w:val="0"/>
                <w:highlight w:val="none"/>
              </w:rPr>
              <w:t>3.0</w:t>
            </w:r>
          </w:p>
        </w:tc>
      </w:tr>
      <w:tr w14:paraId="6251BF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711" w:type="pct"/>
            <w:tcBorders>
              <w:tl2br w:val="nil"/>
              <w:tr2bl w:val="nil"/>
            </w:tcBorders>
            <w:noWrap w:val="0"/>
            <w:vAlign w:val="center"/>
          </w:tcPr>
          <w:p w14:paraId="36F7F4B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rPr>
              <w:t>1</w:t>
            </w:r>
            <w:r>
              <w:rPr>
                <w:rFonts w:hint="default"/>
                <w:color w:val="auto"/>
                <w:spacing w:val="0"/>
                <w:w w:val="100"/>
                <w:position w:val="0"/>
                <w:highlight w:val="none"/>
                <w:lang w:val="en-US" w:eastAsia="zh-CN"/>
              </w:rPr>
              <w:t>4</w:t>
            </w:r>
          </w:p>
        </w:tc>
        <w:tc>
          <w:tcPr>
            <w:tcW w:w="1303" w:type="pct"/>
            <w:tcBorders>
              <w:tl2br w:val="nil"/>
              <w:tr2bl w:val="nil"/>
            </w:tcBorders>
            <w:noWrap w:val="0"/>
            <w:vAlign w:val="center"/>
          </w:tcPr>
          <w:p w14:paraId="6F5A949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氨氮</w:t>
            </w:r>
          </w:p>
        </w:tc>
        <w:tc>
          <w:tcPr>
            <w:tcW w:w="1584" w:type="pct"/>
            <w:tcBorders>
              <w:tl2br w:val="nil"/>
              <w:tr2bl w:val="nil"/>
            </w:tcBorders>
            <w:noWrap w:val="0"/>
            <w:vAlign w:val="center"/>
          </w:tcPr>
          <w:p w14:paraId="27AD330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mg/L</w:t>
            </w:r>
          </w:p>
        </w:tc>
        <w:tc>
          <w:tcPr>
            <w:tcW w:w="1399" w:type="pct"/>
            <w:tcBorders>
              <w:tl2br w:val="nil"/>
              <w:tr2bl w:val="nil"/>
            </w:tcBorders>
            <w:noWrap w:val="0"/>
            <w:vAlign w:val="center"/>
          </w:tcPr>
          <w:p w14:paraId="77249A4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lang w:eastAsia="zh-CN"/>
              </w:rPr>
              <w:t>≤</w:t>
            </w:r>
            <w:r>
              <w:rPr>
                <w:rFonts w:hint="default"/>
                <w:color w:val="auto"/>
                <w:spacing w:val="0"/>
                <w:w w:val="100"/>
                <w:position w:val="0"/>
                <w:highlight w:val="none"/>
              </w:rPr>
              <w:t>0.50</w:t>
            </w:r>
          </w:p>
        </w:tc>
      </w:tr>
      <w:tr w14:paraId="40781E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711" w:type="pct"/>
            <w:tcBorders>
              <w:tl2br w:val="nil"/>
              <w:tr2bl w:val="nil"/>
            </w:tcBorders>
            <w:noWrap w:val="0"/>
            <w:vAlign w:val="center"/>
          </w:tcPr>
          <w:p w14:paraId="193CEB8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15</w:t>
            </w:r>
          </w:p>
        </w:tc>
        <w:tc>
          <w:tcPr>
            <w:tcW w:w="1303" w:type="pct"/>
            <w:tcBorders>
              <w:tl2br w:val="nil"/>
              <w:tr2bl w:val="nil"/>
            </w:tcBorders>
            <w:noWrap w:val="0"/>
            <w:vAlign w:val="center"/>
          </w:tcPr>
          <w:p w14:paraId="7BD8AF3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lang w:eastAsia="zh-CN"/>
              </w:rPr>
              <w:t>硫化物</w:t>
            </w:r>
          </w:p>
        </w:tc>
        <w:tc>
          <w:tcPr>
            <w:tcW w:w="1584" w:type="pct"/>
            <w:tcBorders>
              <w:tl2br w:val="nil"/>
              <w:tr2bl w:val="nil"/>
            </w:tcBorders>
            <w:noWrap w:val="0"/>
            <w:vAlign w:val="center"/>
          </w:tcPr>
          <w:p w14:paraId="015C479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mg/L</w:t>
            </w:r>
          </w:p>
        </w:tc>
        <w:tc>
          <w:tcPr>
            <w:tcW w:w="1399" w:type="pct"/>
            <w:tcBorders>
              <w:tl2br w:val="nil"/>
              <w:tr2bl w:val="nil"/>
            </w:tcBorders>
            <w:noWrap w:val="0"/>
            <w:vAlign w:val="center"/>
          </w:tcPr>
          <w:p w14:paraId="64CD934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rPr>
            </w:pPr>
            <w:r>
              <w:rPr>
                <w:rFonts w:hint="default"/>
                <w:color w:val="auto"/>
                <w:spacing w:val="0"/>
                <w:w w:val="100"/>
                <w:position w:val="0"/>
                <w:highlight w:val="none"/>
                <w:lang w:eastAsia="zh-CN"/>
              </w:rPr>
              <w:t>≤</w:t>
            </w:r>
            <w:r>
              <w:rPr>
                <w:rFonts w:hint="default"/>
                <w:color w:val="auto"/>
                <w:spacing w:val="0"/>
                <w:w w:val="100"/>
                <w:position w:val="0"/>
                <w:highlight w:val="none"/>
                <w:lang w:val="en-US" w:eastAsia="zh-CN"/>
              </w:rPr>
              <w:t>0.02</w:t>
            </w:r>
          </w:p>
        </w:tc>
      </w:tr>
      <w:tr w14:paraId="21FE75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711" w:type="pct"/>
            <w:tcBorders>
              <w:tl2br w:val="nil"/>
              <w:tr2bl w:val="nil"/>
            </w:tcBorders>
            <w:noWrap w:val="0"/>
            <w:vAlign w:val="center"/>
          </w:tcPr>
          <w:p w14:paraId="7CCE0E2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16</w:t>
            </w:r>
          </w:p>
        </w:tc>
        <w:tc>
          <w:tcPr>
            <w:tcW w:w="1303" w:type="pct"/>
            <w:tcBorders>
              <w:tl2br w:val="nil"/>
              <w:tr2bl w:val="nil"/>
            </w:tcBorders>
            <w:noWrap w:val="0"/>
            <w:vAlign w:val="center"/>
          </w:tcPr>
          <w:p w14:paraId="02D7B9A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lang w:eastAsia="zh-CN"/>
              </w:rPr>
              <w:t>钠</w:t>
            </w:r>
          </w:p>
        </w:tc>
        <w:tc>
          <w:tcPr>
            <w:tcW w:w="1584" w:type="pct"/>
            <w:tcBorders>
              <w:tl2br w:val="nil"/>
              <w:tr2bl w:val="nil"/>
            </w:tcBorders>
            <w:noWrap w:val="0"/>
            <w:vAlign w:val="center"/>
          </w:tcPr>
          <w:p w14:paraId="393A902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mg/L</w:t>
            </w:r>
          </w:p>
        </w:tc>
        <w:tc>
          <w:tcPr>
            <w:tcW w:w="1399" w:type="pct"/>
            <w:tcBorders>
              <w:tl2br w:val="nil"/>
              <w:tr2bl w:val="nil"/>
            </w:tcBorders>
            <w:noWrap w:val="0"/>
            <w:vAlign w:val="center"/>
          </w:tcPr>
          <w:p w14:paraId="6DF4668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rPr>
            </w:pPr>
            <w:r>
              <w:rPr>
                <w:rFonts w:hint="default"/>
                <w:color w:val="auto"/>
                <w:spacing w:val="0"/>
                <w:w w:val="100"/>
                <w:position w:val="0"/>
                <w:highlight w:val="none"/>
                <w:lang w:eastAsia="zh-CN"/>
              </w:rPr>
              <w:t>≤</w:t>
            </w:r>
            <w:r>
              <w:rPr>
                <w:rFonts w:hint="default"/>
                <w:color w:val="auto"/>
                <w:spacing w:val="0"/>
                <w:w w:val="100"/>
                <w:position w:val="0"/>
                <w:highlight w:val="none"/>
                <w:lang w:val="en-US" w:eastAsia="zh-CN"/>
              </w:rPr>
              <w:t>200</w:t>
            </w:r>
          </w:p>
        </w:tc>
      </w:tr>
      <w:tr w14:paraId="24E301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711" w:type="pct"/>
            <w:tcBorders>
              <w:tl2br w:val="nil"/>
              <w:tr2bl w:val="nil"/>
            </w:tcBorders>
            <w:noWrap w:val="0"/>
            <w:vAlign w:val="center"/>
          </w:tcPr>
          <w:p w14:paraId="2548979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17</w:t>
            </w:r>
          </w:p>
        </w:tc>
        <w:tc>
          <w:tcPr>
            <w:tcW w:w="1303" w:type="pct"/>
            <w:tcBorders>
              <w:tl2br w:val="nil"/>
              <w:tr2bl w:val="nil"/>
            </w:tcBorders>
            <w:noWrap w:val="0"/>
            <w:vAlign w:val="center"/>
          </w:tcPr>
          <w:p w14:paraId="1A4639A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亚硝酸盐氮</w:t>
            </w:r>
          </w:p>
        </w:tc>
        <w:tc>
          <w:tcPr>
            <w:tcW w:w="1584" w:type="pct"/>
            <w:tcBorders>
              <w:tl2br w:val="nil"/>
              <w:tr2bl w:val="nil"/>
            </w:tcBorders>
            <w:noWrap w:val="0"/>
            <w:vAlign w:val="center"/>
          </w:tcPr>
          <w:p w14:paraId="77893CC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mg/L</w:t>
            </w:r>
          </w:p>
        </w:tc>
        <w:tc>
          <w:tcPr>
            <w:tcW w:w="1399" w:type="pct"/>
            <w:tcBorders>
              <w:tl2br w:val="nil"/>
              <w:tr2bl w:val="nil"/>
            </w:tcBorders>
            <w:noWrap w:val="0"/>
            <w:vAlign w:val="center"/>
          </w:tcPr>
          <w:p w14:paraId="4E8F41C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lang w:eastAsia="zh-CN"/>
              </w:rPr>
              <w:t>≤</w:t>
            </w:r>
            <w:r>
              <w:rPr>
                <w:rFonts w:hint="default"/>
                <w:color w:val="auto"/>
                <w:spacing w:val="0"/>
                <w:w w:val="100"/>
                <w:position w:val="0"/>
                <w:highlight w:val="none"/>
              </w:rPr>
              <w:t>1.00</w:t>
            </w:r>
          </w:p>
        </w:tc>
      </w:tr>
      <w:tr w14:paraId="46EB22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711" w:type="pct"/>
            <w:tcBorders>
              <w:tl2br w:val="nil"/>
              <w:tr2bl w:val="nil"/>
            </w:tcBorders>
            <w:noWrap w:val="0"/>
            <w:vAlign w:val="center"/>
          </w:tcPr>
          <w:p w14:paraId="58B4349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18</w:t>
            </w:r>
          </w:p>
        </w:tc>
        <w:tc>
          <w:tcPr>
            <w:tcW w:w="1303" w:type="pct"/>
            <w:tcBorders>
              <w:tl2br w:val="nil"/>
              <w:tr2bl w:val="nil"/>
            </w:tcBorders>
            <w:noWrap w:val="0"/>
            <w:vAlign w:val="center"/>
          </w:tcPr>
          <w:p w14:paraId="2AC5BFC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硝酸盐氮</w:t>
            </w:r>
          </w:p>
        </w:tc>
        <w:tc>
          <w:tcPr>
            <w:tcW w:w="1584" w:type="pct"/>
            <w:tcBorders>
              <w:tl2br w:val="nil"/>
              <w:tr2bl w:val="nil"/>
            </w:tcBorders>
            <w:noWrap w:val="0"/>
            <w:vAlign w:val="center"/>
          </w:tcPr>
          <w:p w14:paraId="231182B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mg/L</w:t>
            </w:r>
          </w:p>
        </w:tc>
        <w:tc>
          <w:tcPr>
            <w:tcW w:w="1399" w:type="pct"/>
            <w:tcBorders>
              <w:tl2br w:val="nil"/>
              <w:tr2bl w:val="nil"/>
            </w:tcBorders>
            <w:noWrap w:val="0"/>
            <w:vAlign w:val="center"/>
          </w:tcPr>
          <w:p w14:paraId="086D6D1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lang w:eastAsia="zh-CN"/>
              </w:rPr>
              <w:t>≤</w:t>
            </w:r>
            <w:r>
              <w:rPr>
                <w:rFonts w:hint="default"/>
                <w:color w:val="auto"/>
                <w:spacing w:val="0"/>
                <w:w w:val="100"/>
                <w:position w:val="0"/>
                <w:highlight w:val="none"/>
              </w:rPr>
              <w:t>20.0</w:t>
            </w:r>
          </w:p>
        </w:tc>
      </w:tr>
      <w:tr w14:paraId="186A79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711" w:type="pct"/>
            <w:tcBorders>
              <w:tl2br w:val="nil"/>
              <w:tr2bl w:val="nil"/>
            </w:tcBorders>
            <w:noWrap w:val="0"/>
            <w:vAlign w:val="center"/>
          </w:tcPr>
          <w:p w14:paraId="3B6ECBA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19</w:t>
            </w:r>
          </w:p>
        </w:tc>
        <w:tc>
          <w:tcPr>
            <w:tcW w:w="1303" w:type="pct"/>
            <w:tcBorders>
              <w:tl2br w:val="nil"/>
              <w:tr2bl w:val="nil"/>
            </w:tcBorders>
            <w:noWrap w:val="0"/>
            <w:vAlign w:val="center"/>
          </w:tcPr>
          <w:p w14:paraId="3486D75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氰化物</w:t>
            </w:r>
          </w:p>
        </w:tc>
        <w:tc>
          <w:tcPr>
            <w:tcW w:w="1584" w:type="pct"/>
            <w:tcBorders>
              <w:tl2br w:val="nil"/>
              <w:tr2bl w:val="nil"/>
            </w:tcBorders>
            <w:noWrap w:val="0"/>
            <w:vAlign w:val="center"/>
          </w:tcPr>
          <w:p w14:paraId="7AFA8E5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mg/L</w:t>
            </w:r>
          </w:p>
        </w:tc>
        <w:tc>
          <w:tcPr>
            <w:tcW w:w="1399" w:type="pct"/>
            <w:tcBorders>
              <w:tl2br w:val="nil"/>
              <w:tr2bl w:val="nil"/>
            </w:tcBorders>
            <w:noWrap w:val="0"/>
            <w:vAlign w:val="center"/>
          </w:tcPr>
          <w:p w14:paraId="3FFD5E8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lang w:eastAsia="zh-CN"/>
              </w:rPr>
              <w:t>≤</w:t>
            </w:r>
            <w:r>
              <w:rPr>
                <w:rFonts w:hint="default"/>
                <w:color w:val="auto"/>
                <w:spacing w:val="0"/>
                <w:w w:val="100"/>
                <w:position w:val="0"/>
                <w:highlight w:val="none"/>
              </w:rPr>
              <w:t>0.05</w:t>
            </w:r>
          </w:p>
        </w:tc>
      </w:tr>
      <w:tr w14:paraId="17834B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711" w:type="pct"/>
            <w:tcBorders>
              <w:tl2br w:val="nil"/>
              <w:tr2bl w:val="nil"/>
            </w:tcBorders>
            <w:noWrap w:val="0"/>
            <w:vAlign w:val="center"/>
          </w:tcPr>
          <w:p w14:paraId="66B2CF2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20</w:t>
            </w:r>
          </w:p>
        </w:tc>
        <w:tc>
          <w:tcPr>
            <w:tcW w:w="1303" w:type="pct"/>
            <w:tcBorders>
              <w:tl2br w:val="nil"/>
              <w:tr2bl w:val="nil"/>
            </w:tcBorders>
            <w:noWrap w:val="0"/>
            <w:vAlign w:val="center"/>
          </w:tcPr>
          <w:p w14:paraId="373992D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氟化物</w:t>
            </w:r>
          </w:p>
        </w:tc>
        <w:tc>
          <w:tcPr>
            <w:tcW w:w="1584" w:type="pct"/>
            <w:tcBorders>
              <w:tl2br w:val="nil"/>
              <w:tr2bl w:val="nil"/>
            </w:tcBorders>
            <w:noWrap w:val="0"/>
            <w:vAlign w:val="center"/>
          </w:tcPr>
          <w:p w14:paraId="0BB8ECA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mg/L</w:t>
            </w:r>
          </w:p>
        </w:tc>
        <w:tc>
          <w:tcPr>
            <w:tcW w:w="1399" w:type="pct"/>
            <w:tcBorders>
              <w:tl2br w:val="nil"/>
              <w:tr2bl w:val="nil"/>
            </w:tcBorders>
            <w:noWrap w:val="0"/>
            <w:vAlign w:val="center"/>
          </w:tcPr>
          <w:p w14:paraId="49636F3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lang w:eastAsia="zh-CN"/>
              </w:rPr>
              <w:t>≤</w:t>
            </w:r>
            <w:r>
              <w:rPr>
                <w:rFonts w:hint="default"/>
                <w:color w:val="auto"/>
                <w:spacing w:val="0"/>
                <w:w w:val="100"/>
                <w:position w:val="0"/>
                <w:highlight w:val="none"/>
              </w:rPr>
              <w:t>1.0</w:t>
            </w:r>
          </w:p>
        </w:tc>
      </w:tr>
      <w:tr w14:paraId="629CF5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711" w:type="pct"/>
            <w:tcBorders>
              <w:tl2br w:val="nil"/>
              <w:tr2bl w:val="nil"/>
            </w:tcBorders>
            <w:noWrap w:val="0"/>
            <w:vAlign w:val="center"/>
          </w:tcPr>
          <w:p w14:paraId="0200DC7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21</w:t>
            </w:r>
          </w:p>
        </w:tc>
        <w:tc>
          <w:tcPr>
            <w:tcW w:w="1303" w:type="pct"/>
            <w:tcBorders>
              <w:tl2br w:val="nil"/>
              <w:tr2bl w:val="nil"/>
            </w:tcBorders>
            <w:noWrap w:val="0"/>
            <w:vAlign w:val="center"/>
          </w:tcPr>
          <w:p w14:paraId="36626BA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lang w:eastAsia="zh-CN"/>
              </w:rPr>
              <w:t>碘化物</w:t>
            </w:r>
          </w:p>
        </w:tc>
        <w:tc>
          <w:tcPr>
            <w:tcW w:w="1584" w:type="pct"/>
            <w:tcBorders>
              <w:tl2br w:val="nil"/>
              <w:tr2bl w:val="nil"/>
            </w:tcBorders>
            <w:noWrap w:val="0"/>
            <w:vAlign w:val="center"/>
          </w:tcPr>
          <w:p w14:paraId="3ECFD0F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mg/L</w:t>
            </w:r>
          </w:p>
        </w:tc>
        <w:tc>
          <w:tcPr>
            <w:tcW w:w="1399" w:type="pct"/>
            <w:tcBorders>
              <w:tl2br w:val="nil"/>
              <w:tr2bl w:val="nil"/>
            </w:tcBorders>
            <w:noWrap w:val="0"/>
            <w:vAlign w:val="center"/>
          </w:tcPr>
          <w:p w14:paraId="3700688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rPr>
            </w:pPr>
            <w:r>
              <w:rPr>
                <w:rFonts w:hint="default"/>
                <w:color w:val="auto"/>
                <w:spacing w:val="0"/>
                <w:w w:val="100"/>
                <w:position w:val="0"/>
                <w:highlight w:val="none"/>
                <w:lang w:eastAsia="zh-CN"/>
              </w:rPr>
              <w:t>≤</w:t>
            </w:r>
            <w:r>
              <w:rPr>
                <w:rFonts w:hint="default"/>
                <w:color w:val="auto"/>
                <w:spacing w:val="0"/>
                <w:w w:val="100"/>
                <w:position w:val="0"/>
                <w:highlight w:val="none"/>
                <w:lang w:val="en-US" w:eastAsia="zh-CN"/>
              </w:rPr>
              <w:t>0.08</w:t>
            </w:r>
          </w:p>
        </w:tc>
      </w:tr>
      <w:tr w14:paraId="3CF14C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711" w:type="pct"/>
            <w:tcBorders>
              <w:tl2br w:val="nil"/>
              <w:tr2bl w:val="nil"/>
            </w:tcBorders>
            <w:noWrap w:val="0"/>
            <w:vAlign w:val="center"/>
          </w:tcPr>
          <w:p w14:paraId="641F57A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22</w:t>
            </w:r>
          </w:p>
        </w:tc>
        <w:tc>
          <w:tcPr>
            <w:tcW w:w="1303" w:type="pct"/>
            <w:tcBorders>
              <w:tl2br w:val="nil"/>
              <w:tr2bl w:val="nil"/>
            </w:tcBorders>
            <w:noWrap w:val="0"/>
            <w:vAlign w:val="center"/>
          </w:tcPr>
          <w:p w14:paraId="331365F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汞</w:t>
            </w:r>
          </w:p>
        </w:tc>
        <w:tc>
          <w:tcPr>
            <w:tcW w:w="1584" w:type="pct"/>
            <w:tcBorders>
              <w:tl2br w:val="nil"/>
              <w:tr2bl w:val="nil"/>
            </w:tcBorders>
            <w:noWrap w:val="0"/>
            <w:vAlign w:val="center"/>
          </w:tcPr>
          <w:p w14:paraId="36F66A3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mg/L</w:t>
            </w:r>
          </w:p>
        </w:tc>
        <w:tc>
          <w:tcPr>
            <w:tcW w:w="1399" w:type="pct"/>
            <w:tcBorders>
              <w:tl2br w:val="nil"/>
              <w:tr2bl w:val="nil"/>
            </w:tcBorders>
            <w:noWrap w:val="0"/>
            <w:vAlign w:val="center"/>
          </w:tcPr>
          <w:p w14:paraId="0B371FE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lang w:eastAsia="zh-CN"/>
              </w:rPr>
              <w:t>≤</w:t>
            </w:r>
            <w:r>
              <w:rPr>
                <w:rFonts w:hint="default"/>
                <w:color w:val="auto"/>
                <w:spacing w:val="0"/>
                <w:w w:val="100"/>
                <w:position w:val="0"/>
                <w:highlight w:val="none"/>
              </w:rPr>
              <w:t>0.001</w:t>
            </w:r>
          </w:p>
        </w:tc>
      </w:tr>
      <w:tr w14:paraId="620610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711" w:type="pct"/>
            <w:tcBorders>
              <w:tl2br w:val="nil"/>
              <w:tr2bl w:val="nil"/>
            </w:tcBorders>
            <w:noWrap w:val="0"/>
            <w:vAlign w:val="center"/>
          </w:tcPr>
          <w:p w14:paraId="52673C8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23</w:t>
            </w:r>
          </w:p>
        </w:tc>
        <w:tc>
          <w:tcPr>
            <w:tcW w:w="1303" w:type="pct"/>
            <w:tcBorders>
              <w:tl2br w:val="nil"/>
              <w:tr2bl w:val="nil"/>
            </w:tcBorders>
            <w:noWrap w:val="0"/>
            <w:vAlign w:val="center"/>
          </w:tcPr>
          <w:p w14:paraId="4202321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砷</w:t>
            </w:r>
          </w:p>
        </w:tc>
        <w:tc>
          <w:tcPr>
            <w:tcW w:w="1584" w:type="pct"/>
            <w:tcBorders>
              <w:tl2br w:val="nil"/>
              <w:tr2bl w:val="nil"/>
            </w:tcBorders>
            <w:noWrap w:val="0"/>
            <w:vAlign w:val="center"/>
          </w:tcPr>
          <w:p w14:paraId="00569A8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mg/L</w:t>
            </w:r>
          </w:p>
        </w:tc>
        <w:tc>
          <w:tcPr>
            <w:tcW w:w="1399" w:type="pct"/>
            <w:tcBorders>
              <w:tl2br w:val="nil"/>
              <w:tr2bl w:val="nil"/>
            </w:tcBorders>
            <w:noWrap w:val="0"/>
            <w:vAlign w:val="center"/>
          </w:tcPr>
          <w:p w14:paraId="29CE206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lang w:eastAsia="zh-CN"/>
              </w:rPr>
              <w:t>≤</w:t>
            </w:r>
            <w:r>
              <w:rPr>
                <w:rFonts w:hint="default"/>
                <w:color w:val="auto"/>
                <w:spacing w:val="0"/>
                <w:w w:val="100"/>
                <w:position w:val="0"/>
                <w:highlight w:val="none"/>
              </w:rPr>
              <w:t>0.01</w:t>
            </w:r>
          </w:p>
        </w:tc>
      </w:tr>
      <w:tr w14:paraId="479B9E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711" w:type="pct"/>
            <w:tcBorders>
              <w:tl2br w:val="nil"/>
              <w:tr2bl w:val="nil"/>
            </w:tcBorders>
            <w:noWrap w:val="0"/>
            <w:vAlign w:val="center"/>
          </w:tcPr>
          <w:p w14:paraId="4C41597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24</w:t>
            </w:r>
          </w:p>
        </w:tc>
        <w:tc>
          <w:tcPr>
            <w:tcW w:w="1303" w:type="pct"/>
            <w:tcBorders>
              <w:tl2br w:val="nil"/>
              <w:tr2bl w:val="nil"/>
            </w:tcBorders>
            <w:noWrap w:val="0"/>
            <w:vAlign w:val="center"/>
          </w:tcPr>
          <w:p w14:paraId="5794CF9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硒</w:t>
            </w:r>
          </w:p>
        </w:tc>
        <w:tc>
          <w:tcPr>
            <w:tcW w:w="1584" w:type="pct"/>
            <w:tcBorders>
              <w:tl2br w:val="nil"/>
              <w:tr2bl w:val="nil"/>
            </w:tcBorders>
            <w:noWrap w:val="0"/>
            <w:vAlign w:val="center"/>
          </w:tcPr>
          <w:p w14:paraId="46A35B2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mg/L</w:t>
            </w:r>
          </w:p>
        </w:tc>
        <w:tc>
          <w:tcPr>
            <w:tcW w:w="1399" w:type="pct"/>
            <w:tcBorders>
              <w:tl2br w:val="nil"/>
              <w:tr2bl w:val="nil"/>
            </w:tcBorders>
            <w:noWrap w:val="0"/>
            <w:vAlign w:val="center"/>
          </w:tcPr>
          <w:p w14:paraId="3EE32DF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lang w:eastAsia="zh-CN"/>
              </w:rPr>
              <w:t>≤</w:t>
            </w:r>
            <w:r>
              <w:rPr>
                <w:rFonts w:hint="default"/>
                <w:color w:val="auto"/>
                <w:spacing w:val="0"/>
                <w:w w:val="100"/>
                <w:position w:val="0"/>
                <w:highlight w:val="none"/>
              </w:rPr>
              <w:t>0.01</w:t>
            </w:r>
          </w:p>
        </w:tc>
      </w:tr>
      <w:tr w14:paraId="0DE839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711" w:type="pct"/>
            <w:tcBorders>
              <w:tl2br w:val="nil"/>
              <w:tr2bl w:val="nil"/>
            </w:tcBorders>
            <w:noWrap w:val="0"/>
            <w:vAlign w:val="center"/>
          </w:tcPr>
          <w:p w14:paraId="67E4EEE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25</w:t>
            </w:r>
          </w:p>
        </w:tc>
        <w:tc>
          <w:tcPr>
            <w:tcW w:w="1303" w:type="pct"/>
            <w:tcBorders>
              <w:tl2br w:val="nil"/>
              <w:tr2bl w:val="nil"/>
            </w:tcBorders>
            <w:noWrap w:val="0"/>
            <w:vAlign w:val="center"/>
          </w:tcPr>
          <w:p w14:paraId="61E7450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镉</w:t>
            </w:r>
          </w:p>
        </w:tc>
        <w:tc>
          <w:tcPr>
            <w:tcW w:w="1584" w:type="pct"/>
            <w:tcBorders>
              <w:tl2br w:val="nil"/>
              <w:tr2bl w:val="nil"/>
            </w:tcBorders>
            <w:noWrap w:val="0"/>
            <w:vAlign w:val="center"/>
          </w:tcPr>
          <w:p w14:paraId="3704FF0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mg/L</w:t>
            </w:r>
          </w:p>
        </w:tc>
        <w:tc>
          <w:tcPr>
            <w:tcW w:w="1399" w:type="pct"/>
            <w:tcBorders>
              <w:tl2br w:val="nil"/>
              <w:tr2bl w:val="nil"/>
            </w:tcBorders>
            <w:noWrap w:val="0"/>
            <w:vAlign w:val="center"/>
          </w:tcPr>
          <w:p w14:paraId="2517ED2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lang w:eastAsia="zh-CN"/>
              </w:rPr>
              <w:t>≤</w:t>
            </w:r>
            <w:r>
              <w:rPr>
                <w:rFonts w:hint="default"/>
                <w:color w:val="auto"/>
                <w:spacing w:val="0"/>
                <w:w w:val="100"/>
                <w:position w:val="0"/>
                <w:highlight w:val="none"/>
              </w:rPr>
              <w:t>0.005</w:t>
            </w:r>
          </w:p>
        </w:tc>
      </w:tr>
      <w:tr w14:paraId="4B3CBE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711" w:type="pct"/>
            <w:tcBorders>
              <w:tl2br w:val="nil"/>
              <w:tr2bl w:val="nil"/>
            </w:tcBorders>
            <w:noWrap w:val="0"/>
            <w:vAlign w:val="center"/>
          </w:tcPr>
          <w:p w14:paraId="0CDD8C5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26</w:t>
            </w:r>
          </w:p>
        </w:tc>
        <w:tc>
          <w:tcPr>
            <w:tcW w:w="1303" w:type="pct"/>
            <w:tcBorders>
              <w:tl2br w:val="nil"/>
              <w:tr2bl w:val="nil"/>
            </w:tcBorders>
            <w:noWrap w:val="0"/>
            <w:vAlign w:val="center"/>
          </w:tcPr>
          <w:p w14:paraId="3C82998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铬</w:t>
            </w:r>
            <w:r>
              <w:rPr>
                <w:rFonts w:hint="default"/>
                <w:color w:val="auto"/>
                <w:spacing w:val="0"/>
                <w:w w:val="100"/>
                <w:position w:val="0"/>
                <w:highlight w:val="none"/>
                <w:lang w:eastAsia="zh-CN"/>
              </w:rPr>
              <w:t>（</w:t>
            </w:r>
            <w:r>
              <w:rPr>
                <w:rFonts w:hint="default"/>
                <w:color w:val="auto"/>
                <w:spacing w:val="0"/>
                <w:w w:val="100"/>
                <w:position w:val="0"/>
                <w:highlight w:val="none"/>
              </w:rPr>
              <w:t>六价</w:t>
            </w:r>
            <w:r>
              <w:rPr>
                <w:rFonts w:hint="default"/>
                <w:color w:val="auto"/>
                <w:spacing w:val="0"/>
                <w:w w:val="100"/>
                <w:position w:val="0"/>
                <w:highlight w:val="none"/>
                <w:lang w:eastAsia="zh-CN"/>
              </w:rPr>
              <w:t>）</w:t>
            </w:r>
          </w:p>
        </w:tc>
        <w:tc>
          <w:tcPr>
            <w:tcW w:w="1584" w:type="pct"/>
            <w:tcBorders>
              <w:tl2br w:val="nil"/>
              <w:tr2bl w:val="nil"/>
            </w:tcBorders>
            <w:noWrap w:val="0"/>
            <w:vAlign w:val="center"/>
          </w:tcPr>
          <w:p w14:paraId="2806842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mg/L</w:t>
            </w:r>
          </w:p>
        </w:tc>
        <w:tc>
          <w:tcPr>
            <w:tcW w:w="1399" w:type="pct"/>
            <w:tcBorders>
              <w:tl2br w:val="nil"/>
              <w:tr2bl w:val="nil"/>
            </w:tcBorders>
            <w:noWrap w:val="0"/>
            <w:vAlign w:val="center"/>
          </w:tcPr>
          <w:p w14:paraId="2931796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lang w:eastAsia="zh-CN"/>
              </w:rPr>
              <w:t>≤</w:t>
            </w:r>
            <w:r>
              <w:rPr>
                <w:rFonts w:hint="default"/>
                <w:color w:val="auto"/>
                <w:spacing w:val="0"/>
                <w:w w:val="100"/>
                <w:position w:val="0"/>
                <w:highlight w:val="none"/>
              </w:rPr>
              <w:t>0.05</w:t>
            </w:r>
          </w:p>
        </w:tc>
      </w:tr>
      <w:tr w14:paraId="541882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711" w:type="pct"/>
            <w:tcBorders>
              <w:tl2br w:val="nil"/>
              <w:tr2bl w:val="nil"/>
            </w:tcBorders>
            <w:noWrap w:val="0"/>
            <w:vAlign w:val="center"/>
          </w:tcPr>
          <w:p w14:paraId="000E9E3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27</w:t>
            </w:r>
          </w:p>
        </w:tc>
        <w:tc>
          <w:tcPr>
            <w:tcW w:w="1303" w:type="pct"/>
            <w:tcBorders>
              <w:tl2br w:val="nil"/>
              <w:tr2bl w:val="nil"/>
            </w:tcBorders>
            <w:noWrap w:val="0"/>
            <w:vAlign w:val="center"/>
          </w:tcPr>
          <w:p w14:paraId="38E18C8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铅</w:t>
            </w:r>
          </w:p>
        </w:tc>
        <w:tc>
          <w:tcPr>
            <w:tcW w:w="1584" w:type="pct"/>
            <w:tcBorders>
              <w:tl2br w:val="nil"/>
              <w:tr2bl w:val="nil"/>
            </w:tcBorders>
            <w:noWrap w:val="0"/>
            <w:vAlign w:val="center"/>
          </w:tcPr>
          <w:p w14:paraId="4FB1B19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mg/L</w:t>
            </w:r>
          </w:p>
        </w:tc>
        <w:tc>
          <w:tcPr>
            <w:tcW w:w="1399" w:type="pct"/>
            <w:tcBorders>
              <w:tl2br w:val="nil"/>
              <w:tr2bl w:val="nil"/>
            </w:tcBorders>
            <w:noWrap w:val="0"/>
            <w:vAlign w:val="center"/>
          </w:tcPr>
          <w:p w14:paraId="79DB8CB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lang w:eastAsia="zh-CN"/>
              </w:rPr>
              <w:t>≤</w:t>
            </w:r>
            <w:r>
              <w:rPr>
                <w:rFonts w:hint="default"/>
                <w:color w:val="auto"/>
                <w:spacing w:val="0"/>
                <w:w w:val="100"/>
                <w:position w:val="0"/>
                <w:highlight w:val="none"/>
              </w:rPr>
              <w:t>0.01</w:t>
            </w:r>
          </w:p>
        </w:tc>
      </w:tr>
      <w:tr w14:paraId="44BA5D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711" w:type="pct"/>
            <w:tcBorders>
              <w:tl2br w:val="nil"/>
              <w:tr2bl w:val="nil"/>
            </w:tcBorders>
            <w:noWrap w:val="0"/>
            <w:vAlign w:val="center"/>
          </w:tcPr>
          <w:p w14:paraId="4DF4A61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28</w:t>
            </w:r>
          </w:p>
        </w:tc>
        <w:tc>
          <w:tcPr>
            <w:tcW w:w="1303" w:type="pct"/>
            <w:tcBorders>
              <w:tl2br w:val="nil"/>
              <w:tr2bl w:val="nil"/>
            </w:tcBorders>
            <w:noWrap w:val="0"/>
            <w:vAlign w:val="center"/>
          </w:tcPr>
          <w:p w14:paraId="4E1783B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lang w:eastAsia="zh-CN"/>
              </w:rPr>
              <w:t>镍</w:t>
            </w:r>
          </w:p>
        </w:tc>
        <w:tc>
          <w:tcPr>
            <w:tcW w:w="1584" w:type="pct"/>
            <w:tcBorders>
              <w:tl2br w:val="nil"/>
              <w:tr2bl w:val="nil"/>
            </w:tcBorders>
            <w:noWrap w:val="0"/>
            <w:vAlign w:val="center"/>
          </w:tcPr>
          <w:p w14:paraId="0E3A4EF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mg/L</w:t>
            </w:r>
          </w:p>
        </w:tc>
        <w:tc>
          <w:tcPr>
            <w:tcW w:w="1399" w:type="pct"/>
            <w:tcBorders>
              <w:tl2br w:val="nil"/>
              <w:tr2bl w:val="nil"/>
            </w:tcBorders>
            <w:noWrap w:val="0"/>
            <w:vAlign w:val="center"/>
          </w:tcPr>
          <w:p w14:paraId="29446DA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rPr>
            </w:pPr>
            <w:r>
              <w:rPr>
                <w:rFonts w:hint="default"/>
                <w:color w:val="auto"/>
                <w:spacing w:val="0"/>
                <w:w w:val="100"/>
                <w:position w:val="0"/>
                <w:highlight w:val="none"/>
                <w:lang w:eastAsia="zh-CN"/>
              </w:rPr>
              <w:t>≤</w:t>
            </w:r>
            <w:r>
              <w:rPr>
                <w:rFonts w:hint="default"/>
                <w:color w:val="auto"/>
                <w:spacing w:val="0"/>
                <w:w w:val="100"/>
                <w:position w:val="0"/>
                <w:highlight w:val="none"/>
                <w:lang w:val="en-US" w:eastAsia="zh-CN"/>
              </w:rPr>
              <w:t>0.02</w:t>
            </w:r>
          </w:p>
        </w:tc>
      </w:tr>
      <w:tr w14:paraId="6E53BC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711" w:type="pct"/>
            <w:tcBorders>
              <w:tl2br w:val="nil"/>
              <w:tr2bl w:val="nil"/>
            </w:tcBorders>
            <w:noWrap w:val="0"/>
            <w:vAlign w:val="center"/>
          </w:tcPr>
          <w:p w14:paraId="1165524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29</w:t>
            </w:r>
          </w:p>
        </w:tc>
        <w:tc>
          <w:tcPr>
            <w:tcW w:w="1303" w:type="pct"/>
            <w:tcBorders>
              <w:tl2br w:val="nil"/>
              <w:tr2bl w:val="nil"/>
            </w:tcBorders>
            <w:noWrap w:val="0"/>
            <w:vAlign w:val="center"/>
          </w:tcPr>
          <w:p w14:paraId="17675EA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lang w:eastAsia="zh-CN"/>
              </w:rPr>
              <w:t>钴</w:t>
            </w:r>
          </w:p>
        </w:tc>
        <w:tc>
          <w:tcPr>
            <w:tcW w:w="1584" w:type="pct"/>
            <w:tcBorders>
              <w:tl2br w:val="nil"/>
              <w:tr2bl w:val="nil"/>
            </w:tcBorders>
            <w:noWrap w:val="0"/>
            <w:vAlign w:val="center"/>
          </w:tcPr>
          <w:p w14:paraId="0E56133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mg/L</w:t>
            </w:r>
          </w:p>
        </w:tc>
        <w:tc>
          <w:tcPr>
            <w:tcW w:w="1399" w:type="pct"/>
            <w:tcBorders>
              <w:tl2br w:val="nil"/>
              <w:tr2bl w:val="nil"/>
            </w:tcBorders>
            <w:noWrap w:val="0"/>
            <w:vAlign w:val="center"/>
          </w:tcPr>
          <w:p w14:paraId="3A1798B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rPr>
            </w:pPr>
            <w:r>
              <w:rPr>
                <w:rFonts w:hint="default"/>
                <w:color w:val="auto"/>
                <w:spacing w:val="0"/>
                <w:w w:val="100"/>
                <w:position w:val="0"/>
                <w:highlight w:val="none"/>
                <w:lang w:eastAsia="zh-CN"/>
              </w:rPr>
              <w:t>≤</w:t>
            </w:r>
            <w:r>
              <w:rPr>
                <w:rFonts w:hint="default"/>
                <w:color w:val="auto"/>
                <w:spacing w:val="0"/>
                <w:w w:val="100"/>
                <w:position w:val="0"/>
                <w:highlight w:val="none"/>
                <w:lang w:val="en-US" w:eastAsia="zh-CN"/>
              </w:rPr>
              <w:t>0.05</w:t>
            </w:r>
          </w:p>
        </w:tc>
      </w:tr>
      <w:tr w14:paraId="25EEA0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711" w:type="pct"/>
            <w:tcBorders>
              <w:tl2br w:val="nil"/>
              <w:tr2bl w:val="nil"/>
            </w:tcBorders>
            <w:noWrap w:val="0"/>
            <w:vAlign w:val="center"/>
          </w:tcPr>
          <w:p w14:paraId="56496EE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30</w:t>
            </w:r>
          </w:p>
        </w:tc>
        <w:tc>
          <w:tcPr>
            <w:tcW w:w="1303" w:type="pct"/>
            <w:tcBorders>
              <w:tl2br w:val="nil"/>
              <w:tr2bl w:val="nil"/>
            </w:tcBorders>
            <w:noWrap w:val="0"/>
            <w:vAlign w:val="center"/>
          </w:tcPr>
          <w:p w14:paraId="7810984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lang w:eastAsia="zh-CN"/>
              </w:rPr>
              <w:t>银</w:t>
            </w:r>
          </w:p>
        </w:tc>
        <w:tc>
          <w:tcPr>
            <w:tcW w:w="1584" w:type="pct"/>
            <w:tcBorders>
              <w:tl2br w:val="nil"/>
              <w:tr2bl w:val="nil"/>
            </w:tcBorders>
            <w:noWrap w:val="0"/>
            <w:vAlign w:val="center"/>
          </w:tcPr>
          <w:p w14:paraId="41BE052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mg/L</w:t>
            </w:r>
          </w:p>
        </w:tc>
        <w:tc>
          <w:tcPr>
            <w:tcW w:w="1399" w:type="pct"/>
            <w:tcBorders>
              <w:tl2br w:val="nil"/>
              <w:tr2bl w:val="nil"/>
            </w:tcBorders>
            <w:noWrap w:val="0"/>
            <w:vAlign w:val="center"/>
          </w:tcPr>
          <w:p w14:paraId="53735C0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rPr>
            </w:pPr>
            <w:r>
              <w:rPr>
                <w:rFonts w:hint="default"/>
                <w:color w:val="auto"/>
                <w:spacing w:val="0"/>
                <w:w w:val="100"/>
                <w:position w:val="0"/>
                <w:highlight w:val="none"/>
                <w:lang w:eastAsia="zh-CN"/>
              </w:rPr>
              <w:t>≤</w:t>
            </w:r>
            <w:r>
              <w:rPr>
                <w:rFonts w:hint="default"/>
                <w:color w:val="auto"/>
                <w:spacing w:val="0"/>
                <w:w w:val="100"/>
                <w:position w:val="0"/>
                <w:highlight w:val="none"/>
                <w:lang w:val="en-US" w:eastAsia="zh-CN"/>
              </w:rPr>
              <w:t>0.05</w:t>
            </w:r>
          </w:p>
        </w:tc>
      </w:tr>
      <w:tr w14:paraId="1923EB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711" w:type="pct"/>
            <w:tcBorders>
              <w:tl2br w:val="nil"/>
              <w:tr2bl w:val="nil"/>
            </w:tcBorders>
            <w:noWrap w:val="0"/>
            <w:vAlign w:val="center"/>
          </w:tcPr>
          <w:p w14:paraId="5A1D783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31</w:t>
            </w:r>
          </w:p>
        </w:tc>
        <w:tc>
          <w:tcPr>
            <w:tcW w:w="1303" w:type="pct"/>
            <w:tcBorders>
              <w:tl2br w:val="nil"/>
              <w:tr2bl w:val="nil"/>
            </w:tcBorders>
            <w:noWrap w:val="0"/>
            <w:vAlign w:val="center"/>
          </w:tcPr>
          <w:p w14:paraId="35388EA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rPr>
              <w:t>总大肠菌群</w:t>
            </w:r>
          </w:p>
        </w:tc>
        <w:tc>
          <w:tcPr>
            <w:tcW w:w="1584" w:type="pct"/>
            <w:tcBorders>
              <w:tl2br w:val="nil"/>
              <w:tr2bl w:val="nil"/>
            </w:tcBorders>
            <w:noWrap w:val="0"/>
            <w:vAlign w:val="center"/>
          </w:tcPr>
          <w:p w14:paraId="0C03268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rPr>
              <w:t>MPN/100mL</w:t>
            </w:r>
          </w:p>
        </w:tc>
        <w:tc>
          <w:tcPr>
            <w:tcW w:w="1399" w:type="pct"/>
            <w:tcBorders>
              <w:tl2br w:val="nil"/>
              <w:tr2bl w:val="nil"/>
            </w:tcBorders>
            <w:noWrap w:val="0"/>
            <w:vAlign w:val="center"/>
          </w:tcPr>
          <w:p w14:paraId="4312469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lang w:eastAsia="zh-CN"/>
              </w:rPr>
              <w:t>≤</w:t>
            </w:r>
            <w:r>
              <w:rPr>
                <w:rFonts w:hint="default"/>
                <w:color w:val="auto"/>
                <w:spacing w:val="0"/>
                <w:w w:val="100"/>
                <w:position w:val="0"/>
                <w:highlight w:val="none"/>
              </w:rPr>
              <w:t>3.0</w:t>
            </w:r>
          </w:p>
        </w:tc>
      </w:tr>
    </w:tbl>
    <w:p w14:paraId="19DA6780">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75" w:name="_Toc24479"/>
      <w:bookmarkStart w:id="176" w:name="_Toc15508"/>
      <w:r>
        <w:rPr>
          <w:rFonts w:hint="default"/>
          <w:color w:val="auto"/>
          <w:spacing w:val="0"/>
          <w:w w:val="100"/>
          <w:position w:val="0"/>
          <w:highlight w:val="none"/>
          <w:lang w:val="en-US" w:eastAsia="zh-CN"/>
        </w:rPr>
        <w:t>2.6.1.3声环境</w:t>
      </w:r>
      <w:bookmarkEnd w:id="173"/>
      <w:bookmarkEnd w:id="174"/>
      <w:bookmarkEnd w:id="175"/>
      <w:bookmarkEnd w:id="176"/>
    </w:p>
    <w:p w14:paraId="77C029B0">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r>
        <w:rPr>
          <w:rFonts w:hint="default"/>
          <w:color w:val="auto"/>
          <w:spacing w:val="0"/>
          <w:w w:val="100"/>
          <w:position w:val="0"/>
          <w:highlight w:val="none"/>
        </w:rPr>
        <w:t>项目声环境执行《声环境质量标准》（GB3096-2008）3类标准，标准值见表</w:t>
      </w:r>
      <w:r>
        <w:rPr>
          <w:rFonts w:hint="default"/>
          <w:color w:val="auto"/>
          <w:spacing w:val="0"/>
          <w:w w:val="100"/>
          <w:position w:val="0"/>
          <w:highlight w:val="none"/>
          <w:lang w:eastAsia="zh-CN"/>
        </w:rPr>
        <w:t>2.6</w:t>
      </w:r>
      <w:r>
        <w:rPr>
          <w:rFonts w:hint="eastAsia"/>
          <w:color w:val="auto"/>
          <w:spacing w:val="0"/>
          <w:w w:val="100"/>
          <w:position w:val="0"/>
          <w:highlight w:val="none"/>
          <w:lang w:val="en-US" w:eastAsia="zh-CN"/>
        </w:rPr>
        <w:t>.1</w:t>
      </w:r>
      <w:r>
        <w:rPr>
          <w:rFonts w:hint="default"/>
          <w:color w:val="auto"/>
          <w:spacing w:val="0"/>
          <w:w w:val="100"/>
          <w:position w:val="0"/>
          <w:highlight w:val="none"/>
        </w:rPr>
        <w:t>-</w:t>
      </w:r>
      <w:r>
        <w:rPr>
          <w:rFonts w:hint="default"/>
          <w:color w:val="auto"/>
          <w:spacing w:val="0"/>
          <w:w w:val="100"/>
          <w:position w:val="0"/>
          <w:highlight w:val="none"/>
          <w:lang w:val="en-US" w:eastAsia="zh-CN"/>
        </w:rPr>
        <w:t>3</w:t>
      </w:r>
      <w:r>
        <w:rPr>
          <w:rFonts w:hint="default"/>
          <w:color w:val="auto"/>
          <w:spacing w:val="0"/>
          <w:w w:val="100"/>
          <w:position w:val="0"/>
          <w:highlight w:val="none"/>
        </w:rPr>
        <w:t>所示。</w:t>
      </w:r>
    </w:p>
    <w:p w14:paraId="29ACE24F">
      <w:pPr>
        <w:pStyle w:val="3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r>
        <w:rPr>
          <w:rFonts w:hint="default"/>
          <w:color w:val="auto"/>
          <w:spacing w:val="0"/>
          <w:w w:val="100"/>
          <w:position w:val="0"/>
          <w:highlight w:val="none"/>
        </w:rPr>
        <w:t>表</w:t>
      </w:r>
      <w:r>
        <w:rPr>
          <w:rFonts w:hint="default"/>
          <w:color w:val="auto"/>
          <w:spacing w:val="0"/>
          <w:w w:val="100"/>
          <w:position w:val="0"/>
          <w:highlight w:val="none"/>
          <w:lang w:eastAsia="zh-CN"/>
        </w:rPr>
        <w:t>2.6</w:t>
      </w:r>
      <w:r>
        <w:rPr>
          <w:rFonts w:hint="eastAsia"/>
          <w:color w:val="auto"/>
          <w:spacing w:val="0"/>
          <w:w w:val="100"/>
          <w:position w:val="0"/>
          <w:highlight w:val="none"/>
          <w:lang w:val="en-US" w:eastAsia="zh-CN"/>
        </w:rPr>
        <w:t>.1</w:t>
      </w:r>
      <w:r>
        <w:rPr>
          <w:rFonts w:hint="default"/>
          <w:color w:val="auto"/>
          <w:spacing w:val="0"/>
          <w:w w:val="100"/>
          <w:position w:val="0"/>
          <w:highlight w:val="none"/>
        </w:rPr>
        <w:t>-</w:t>
      </w:r>
      <w:r>
        <w:rPr>
          <w:rFonts w:hint="default"/>
          <w:color w:val="auto"/>
          <w:spacing w:val="0"/>
          <w:w w:val="100"/>
          <w:position w:val="0"/>
          <w:highlight w:val="none"/>
          <w:lang w:val="en-US" w:eastAsia="zh-CN"/>
        </w:rPr>
        <w:t xml:space="preserve">3 </w:t>
      </w:r>
      <w:r>
        <w:rPr>
          <w:rFonts w:hint="default"/>
          <w:color w:val="auto"/>
          <w:spacing w:val="0"/>
          <w:w w:val="100"/>
          <w:position w:val="0"/>
          <w:highlight w:val="none"/>
        </w:rPr>
        <w:t xml:space="preserve"> 《声环境质量标准》（GB3096-2008）</w:t>
      </w:r>
    </w:p>
    <w:tbl>
      <w:tblPr>
        <w:tblStyle w:val="25"/>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1819"/>
        <w:gridCol w:w="1718"/>
        <w:gridCol w:w="2680"/>
        <w:gridCol w:w="2735"/>
      </w:tblGrid>
      <w:tr w14:paraId="668E20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016" w:type="pct"/>
            <w:tcBorders>
              <w:tl2br w:val="nil"/>
              <w:tr2bl w:val="nil"/>
            </w:tcBorders>
            <w:noWrap w:val="0"/>
            <w:vAlign w:val="top"/>
          </w:tcPr>
          <w:p w14:paraId="64C985E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功能区</w:t>
            </w:r>
          </w:p>
        </w:tc>
        <w:tc>
          <w:tcPr>
            <w:tcW w:w="959" w:type="pct"/>
            <w:tcBorders>
              <w:tl2br w:val="nil"/>
              <w:tr2bl w:val="nil"/>
            </w:tcBorders>
            <w:noWrap w:val="0"/>
            <w:vAlign w:val="top"/>
          </w:tcPr>
          <w:p w14:paraId="3E3795F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单位</w:t>
            </w:r>
          </w:p>
        </w:tc>
        <w:tc>
          <w:tcPr>
            <w:tcW w:w="1496" w:type="pct"/>
            <w:tcBorders>
              <w:tl2br w:val="nil"/>
              <w:tr2bl w:val="nil"/>
            </w:tcBorders>
            <w:noWrap w:val="0"/>
            <w:vAlign w:val="top"/>
          </w:tcPr>
          <w:p w14:paraId="4797608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昼间</w:t>
            </w:r>
          </w:p>
        </w:tc>
        <w:tc>
          <w:tcPr>
            <w:tcW w:w="1527" w:type="pct"/>
            <w:tcBorders>
              <w:tl2br w:val="nil"/>
              <w:tr2bl w:val="nil"/>
            </w:tcBorders>
            <w:noWrap w:val="0"/>
            <w:vAlign w:val="top"/>
          </w:tcPr>
          <w:p w14:paraId="30A15E1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夜间</w:t>
            </w:r>
          </w:p>
        </w:tc>
      </w:tr>
      <w:tr w14:paraId="156DCC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016" w:type="pct"/>
            <w:tcBorders>
              <w:tl2br w:val="nil"/>
              <w:tr2bl w:val="nil"/>
            </w:tcBorders>
            <w:noWrap w:val="0"/>
            <w:vAlign w:val="top"/>
          </w:tcPr>
          <w:p w14:paraId="58CBFC1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3类区</w:t>
            </w:r>
          </w:p>
        </w:tc>
        <w:tc>
          <w:tcPr>
            <w:tcW w:w="959" w:type="pct"/>
            <w:tcBorders>
              <w:tl2br w:val="nil"/>
              <w:tr2bl w:val="nil"/>
            </w:tcBorders>
            <w:noWrap w:val="0"/>
            <w:vAlign w:val="top"/>
          </w:tcPr>
          <w:p w14:paraId="41C7EAE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dB（A）</w:t>
            </w:r>
          </w:p>
        </w:tc>
        <w:tc>
          <w:tcPr>
            <w:tcW w:w="1496" w:type="pct"/>
            <w:tcBorders>
              <w:tl2br w:val="nil"/>
              <w:tr2bl w:val="nil"/>
            </w:tcBorders>
            <w:noWrap w:val="0"/>
            <w:vAlign w:val="top"/>
          </w:tcPr>
          <w:p w14:paraId="54D66BB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65</w:t>
            </w:r>
          </w:p>
        </w:tc>
        <w:tc>
          <w:tcPr>
            <w:tcW w:w="1527" w:type="pct"/>
            <w:tcBorders>
              <w:tl2br w:val="nil"/>
              <w:tr2bl w:val="nil"/>
            </w:tcBorders>
            <w:noWrap w:val="0"/>
            <w:vAlign w:val="top"/>
          </w:tcPr>
          <w:p w14:paraId="535BF4F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55</w:t>
            </w:r>
          </w:p>
        </w:tc>
      </w:tr>
    </w:tbl>
    <w:p w14:paraId="5377A256">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77" w:name="_Toc2158"/>
      <w:bookmarkStart w:id="178" w:name="_Toc13723"/>
      <w:bookmarkStart w:id="179" w:name="_Toc24628"/>
      <w:r>
        <w:rPr>
          <w:rFonts w:hint="default"/>
          <w:color w:val="auto"/>
          <w:spacing w:val="0"/>
          <w:w w:val="100"/>
          <w:position w:val="0"/>
          <w:highlight w:val="none"/>
          <w:lang w:val="en-US" w:eastAsia="zh-CN"/>
        </w:rPr>
        <w:t>2.6.2污染物排放标准</w:t>
      </w:r>
      <w:bookmarkEnd w:id="177"/>
      <w:bookmarkEnd w:id="178"/>
      <w:bookmarkEnd w:id="179"/>
    </w:p>
    <w:p w14:paraId="537D971E">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80" w:name="_Toc8288"/>
      <w:bookmarkStart w:id="181" w:name="_Toc2925"/>
      <w:bookmarkStart w:id="182" w:name="_Toc30739"/>
      <w:bookmarkStart w:id="183" w:name="_Toc15471"/>
      <w:r>
        <w:rPr>
          <w:rFonts w:hint="default"/>
          <w:color w:val="auto"/>
          <w:spacing w:val="0"/>
          <w:w w:val="100"/>
          <w:position w:val="0"/>
          <w:highlight w:val="none"/>
          <w:lang w:val="en-US" w:eastAsia="zh-CN"/>
        </w:rPr>
        <w:t>2.6.2.1大气污染物排放标准</w:t>
      </w:r>
      <w:bookmarkEnd w:id="180"/>
      <w:bookmarkEnd w:id="181"/>
      <w:bookmarkEnd w:id="182"/>
      <w:bookmarkEnd w:id="183"/>
    </w:p>
    <w:p w14:paraId="326E0E1B">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84" w:name="_Toc22748"/>
      <w:bookmarkStart w:id="185" w:name="_Toc31399"/>
      <w:r>
        <w:rPr>
          <w:rFonts w:hint="default"/>
          <w:color w:val="auto"/>
          <w:spacing w:val="0"/>
          <w:w w:val="100"/>
          <w:position w:val="0"/>
          <w:highlight w:val="none"/>
          <w:lang w:val="en-US" w:eastAsia="zh-CN"/>
        </w:rPr>
        <w:t>有组织废气：本项目有组织废气主要污染物为</w:t>
      </w:r>
      <w:r>
        <w:rPr>
          <w:rFonts w:hint="eastAsia"/>
          <w:color w:val="auto"/>
          <w:spacing w:val="0"/>
          <w:w w:val="100"/>
          <w:position w:val="0"/>
          <w:highlight w:val="none"/>
          <w:lang w:val="en-US" w:eastAsia="zh-CN"/>
        </w:rPr>
        <w:t>生产</w:t>
      </w:r>
      <w:r>
        <w:rPr>
          <w:rFonts w:hint="default"/>
          <w:color w:val="auto"/>
          <w:spacing w:val="0"/>
          <w:w w:val="100"/>
          <w:position w:val="0"/>
          <w:highlight w:val="none"/>
          <w:lang w:val="en-US" w:eastAsia="zh-CN"/>
        </w:rPr>
        <w:t>过程中产生的颗粒物、</w:t>
      </w:r>
      <w:r>
        <w:rPr>
          <w:rFonts w:hint="default"/>
          <w:color w:val="auto"/>
          <w:spacing w:val="0"/>
          <w:w w:val="100"/>
          <w:position w:val="0"/>
          <w:highlight w:val="none"/>
        </w:rPr>
        <w:t>非甲烷总烃</w:t>
      </w:r>
      <w:r>
        <w:rPr>
          <w:rFonts w:hint="default"/>
          <w:color w:val="auto"/>
          <w:spacing w:val="0"/>
          <w:w w:val="100"/>
          <w:position w:val="0"/>
          <w:highlight w:val="none"/>
          <w:lang w:eastAsia="zh-CN"/>
        </w:rPr>
        <w:t>，</w:t>
      </w:r>
      <w:r>
        <w:rPr>
          <w:rFonts w:hint="default"/>
          <w:color w:val="auto"/>
          <w:spacing w:val="0"/>
          <w:w w:val="100"/>
          <w:position w:val="0"/>
          <w:highlight w:val="none"/>
          <w:lang w:val="en-US" w:eastAsia="zh-CN"/>
        </w:rPr>
        <w:t>执行</w:t>
      </w:r>
      <w:r>
        <w:rPr>
          <w:rFonts w:hint="eastAsia"/>
          <w:color w:val="auto"/>
          <w:spacing w:val="0"/>
          <w:w w:val="100"/>
          <w:position w:val="0"/>
          <w:highlight w:val="none"/>
          <w:lang w:val="en-US" w:eastAsia="zh-CN"/>
        </w:rPr>
        <w:t>《合成树脂工业污染物排放标准》（GB31572-2015）（含2024年修改单）</w:t>
      </w:r>
      <w:r>
        <w:rPr>
          <w:rFonts w:hint="default"/>
          <w:color w:val="auto"/>
          <w:spacing w:val="0"/>
          <w:w w:val="100"/>
          <w:position w:val="0"/>
          <w:highlight w:val="none"/>
          <w:lang w:val="en-US" w:eastAsia="zh-CN"/>
        </w:rPr>
        <w:t>表5大气污染物特别排放限值。</w:t>
      </w:r>
    </w:p>
    <w:p w14:paraId="2E1885F2">
      <w:pPr>
        <w:pStyle w:val="32"/>
        <w:keepNext w:val="0"/>
        <w:keepLines w:val="0"/>
        <w:pageBreakBefore w:val="0"/>
        <w:widowControl w:val="0"/>
        <w:kinsoku/>
        <w:wordWrap/>
        <w:overflowPunct/>
        <w:topLinePunct w:val="0"/>
        <w:autoSpaceDE/>
        <w:autoSpaceDN/>
        <w:bidi w:val="0"/>
        <w:adjustRightInd/>
        <w:snapToGrid/>
        <w:rPr>
          <w:rFonts w:hint="default" w:eastAsia="宋体"/>
          <w:color w:val="auto"/>
          <w:spacing w:val="0"/>
          <w:w w:val="100"/>
          <w:position w:val="0"/>
          <w:highlight w:val="none"/>
          <w:lang w:val="en-US" w:eastAsia="zh-CN"/>
        </w:rPr>
      </w:pPr>
      <w:r>
        <w:rPr>
          <w:rFonts w:hint="default"/>
          <w:color w:val="auto"/>
          <w:spacing w:val="0"/>
          <w:w w:val="100"/>
          <w:position w:val="0"/>
          <w:highlight w:val="none"/>
          <w:lang w:val="en-US" w:eastAsia="zh-CN"/>
        </w:rPr>
        <w:t>无组织废气：厂界</w:t>
      </w:r>
      <w:r>
        <w:rPr>
          <w:rFonts w:hint="default"/>
          <w:color w:val="auto"/>
          <w:spacing w:val="0"/>
          <w:w w:val="100"/>
          <w:position w:val="0"/>
          <w:highlight w:val="none"/>
        </w:rPr>
        <w:t>无组织颗粒物</w:t>
      </w:r>
      <w:r>
        <w:rPr>
          <w:rFonts w:hint="default"/>
          <w:color w:val="auto"/>
          <w:spacing w:val="0"/>
          <w:w w:val="100"/>
          <w:position w:val="0"/>
          <w:highlight w:val="none"/>
          <w:lang w:eastAsia="zh-CN"/>
        </w:rPr>
        <w:t>、</w:t>
      </w:r>
      <w:r>
        <w:rPr>
          <w:rFonts w:hint="default"/>
          <w:color w:val="auto"/>
          <w:spacing w:val="0"/>
          <w:w w:val="100"/>
          <w:position w:val="0"/>
          <w:highlight w:val="none"/>
          <w:lang w:val="en-US" w:eastAsia="zh-CN"/>
        </w:rPr>
        <w:t>非甲烷总烃</w:t>
      </w:r>
      <w:r>
        <w:rPr>
          <w:rFonts w:hint="default"/>
          <w:color w:val="auto"/>
          <w:spacing w:val="0"/>
          <w:w w:val="100"/>
          <w:position w:val="0"/>
          <w:highlight w:val="none"/>
        </w:rPr>
        <w:t>执行</w:t>
      </w:r>
      <w:r>
        <w:rPr>
          <w:rFonts w:hint="eastAsia"/>
          <w:color w:val="auto"/>
          <w:spacing w:val="0"/>
          <w:w w:val="100"/>
          <w:position w:val="0"/>
          <w:highlight w:val="none"/>
          <w:lang w:eastAsia="zh-CN"/>
        </w:rPr>
        <w:t>《合成树脂工业污染物排放标准》（GB31572-2015）（含2024年修改单）</w:t>
      </w:r>
      <w:r>
        <w:rPr>
          <w:rFonts w:hint="default"/>
          <w:color w:val="auto"/>
          <w:spacing w:val="0"/>
          <w:w w:val="100"/>
          <w:position w:val="0"/>
          <w:highlight w:val="none"/>
        </w:rPr>
        <w:t>表9排放限值</w:t>
      </w:r>
      <w:r>
        <w:rPr>
          <w:rFonts w:hint="default"/>
          <w:color w:val="auto"/>
          <w:spacing w:val="0"/>
          <w:w w:val="100"/>
          <w:position w:val="0"/>
          <w:highlight w:val="none"/>
          <w:lang w:eastAsia="zh-CN"/>
        </w:rPr>
        <w:t>；</w:t>
      </w:r>
      <w:r>
        <w:rPr>
          <w:rFonts w:hint="default"/>
          <w:color w:val="auto"/>
          <w:spacing w:val="0"/>
          <w:w w:val="100"/>
          <w:position w:val="0"/>
          <w:highlight w:val="none"/>
          <w:lang w:val="en-US" w:eastAsia="zh-CN"/>
        </w:rPr>
        <w:t>厂区内无组织废气非甲烷总烃排放执行《挥发性有机物无组织排放控制标准》（GB37822-2019）附录A表A.1特别排放限值</w:t>
      </w:r>
      <w:r>
        <w:rPr>
          <w:rFonts w:hint="default"/>
          <w:color w:val="auto"/>
          <w:spacing w:val="0"/>
          <w:w w:val="100"/>
          <w:position w:val="0"/>
          <w:highlight w:val="none"/>
        </w:rPr>
        <w:t>。</w:t>
      </w:r>
    </w:p>
    <w:p w14:paraId="38DD1619">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本项目废气污染物执行标准具体指标详见表2.6</w:t>
      </w:r>
      <w:r>
        <w:rPr>
          <w:rFonts w:hint="eastAsia"/>
          <w:color w:val="auto"/>
          <w:spacing w:val="0"/>
          <w:w w:val="100"/>
          <w:position w:val="0"/>
          <w:highlight w:val="none"/>
          <w:lang w:val="en-US" w:eastAsia="zh-CN"/>
        </w:rPr>
        <w:t>.2-1</w:t>
      </w:r>
      <w:r>
        <w:rPr>
          <w:rFonts w:hint="default"/>
          <w:color w:val="auto"/>
          <w:spacing w:val="0"/>
          <w:w w:val="100"/>
          <w:position w:val="0"/>
          <w:highlight w:val="none"/>
          <w:lang w:val="en-US" w:eastAsia="zh-CN"/>
        </w:rPr>
        <w:t>。</w:t>
      </w:r>
    </w:p>
    <w:p w14:paraId="4739F9C3">
      <w:pPr>
        <w:pStyle w:val="3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表2.6</w:t>
      </w:r>
      <w:r>
        <w:rPr>
          <w:rFonts w:hint="eastAsia"/>
          <w:color w:val="auto"/>
          <w:spacing w:val="0"/>
          <w:w w:val="100"/>
          <w:position w:val="0"/>
          <w:highlight w:val="none"/>
          <w:lang w:val="en-US" w:eastAsia="zh-CN"/>
        </w:rPr>
        <w:t>.2-1</w:t>
      </w:r>
      <w:r>
        <w:rPr>
          <w:rFonts w:hint="default"/>
          <w:color w:val="auto"/>
          <w:spacing w:val="0"/>
          <w:w w:val="100"/>
          <w:position w:val="0"/>
          <w:highlight w:val="none"/>
          <w:lang w:val="en-US" w:eastAsia="zh-CN"/>
        </w:rPr>
        <w:t xml:space="preserve">  污染物排放所执行的标准</w:t>
      </w:r>
    </w:p>
    <w:tbl>
      <w:tblPr>
        <w:tblStyle w:val="25"/>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872"/>
        <w:gridCol w:w="1089"/>
        <w:gridCol w:w="804"/>
        <w:gridCol w:w="1994"/>
        <w:gridCol w:w="1445"/>
        <w:gridCol w:w="2748"/>
      </w:tblGrid>
      <w:tr w14:paraId="46BA31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487" w:type="pct"/>
            <w:tcBorders>
              <w:tl2br w:val="nil"/>
              <w:tr2bl w:val="nil"/>
            </w:tcBorders>
            <w:noWrap w:val="0"/>
            <w:vAlign w:val="center"/>
          </w:tcPr>
          <w:p w14:paraId="0206CB44">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污染物</w:t>
            </w:r>
          </w:p>
        </w:tc>
        <w:tc>
          <w:tcPr>
            <w:tcW w:w="608" w:type="pct"/>
            <w:tcBorders>
              <w:tl2br w:val="nil"/>
              <w:tr2bl w:val="nil"/>
            </w:tcBorders>
            <w:noWrap w:val="0"/>
            <w:vAlign w:val="center"/>
          </w:tcPr>
          <w:p w14:paraId="4E22B619">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排放</w:t>
            </w:r>
          </w:p>
          <w:p w14:paraId="4A64BEB6">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方式</w:t>
            </w:r>
          </w:p>
        </w:tc>
        <w:tc>
          <w:tcPr>
            <w:tcW w:w="449" w:type="pct"/>
            <w:tcBorders>
              <w:tl2br w:val="nil"/>
              <w:tr2bl w:val="nil"/>
            </w:tcBorders>
            <w:noWrap w:val="0"/>
            <w:vAlign w:val="center"/>
          </w:tcPr>
          <w:p w14:paraId="7EC2CD81">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排气筒高度</w:t>
            </w:r>
          </w:p>
        </w:tc>
        <w:tc>
          <w:tcPr>
            <w:tcW w:w="1920" w:type="pct"/>
            <w:gridSpan w:val="2"/>
            <w:tcBorders>
              <w:tl2br w:val="nil"/>
              <w:tr2bl w:val="nil"/>
            </w:tcBorders>
            <w:noWrap w:val="0"/>
            <w:vAlign w:val="center"/>
          </w:tcPr>
          <w:p w14:paraId="40DC2A66">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标准值</w:t>
            </w:r>
          </w:p>
        </w:tc>
        <w:tc>
          <w:tcPr>
            <w:tcW w:w="1534" w:type="pct"/>
            <w:tcBorders>
              <w:tl2br w:val="nil"/>
              <w:tr2bl w:val="nil"/>
            </w:tcBorders>
            <w:noWrap w:val="0"/>
            <w:vAlign w:val="center"/>
          </w:tcPr>
          <w:p w14:paraId="108CF6C0">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标准来源</w:t>
            </w:r>
          </w:p>
        </w:tc>
      </w:tr>
      <w:tr w14:paraId="634E92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487" w:type="pct"/>
            <w:vMerge w:val="restart"/>
            <w:tcBorders>
              <w:tl2br w:val="nil"/>
              <w:tr2bl w:val="nil"/>
            </w:tcBorders>
            <w:noWrap w:val="0"/>
            <w:vAlign w:val="center"/>
          </w:tcPr>
          <w:p w14:paraId="3C295658">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颗粒物</w:t>
            </w:r>
          </w:p>
        </w:tc>
        <w:tc>
          <w:tcPr>
            <w:tcW w:w="608" w:type="pct"/>
            <w:tcBorders>
              <w:tl2br w:val="nil"/>
              <w:tr2bl w:val="nil"/>
            </w:tcBorders>
            <w:noWrap w:val="0"/>
            <w:vAlign w:val="center"/>
          </w:tcPr>
          <w:p w14:paraId="3C1B611E">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有组织</w:t>
            </w:r>
          </w:p>
        </w:tc>
        <w:tc>
          <w:tcPr>
            <w:tcW w:w="449" w:type="pct"/>
            <w:tcBorders>
              <w:tl2br w:val="nil"/>
              <w:tr2bl w:val="nil"/>
            </w:tcBorders>
            <w:noWrap w:val="0"/>
            <w:vAlign w:val="center"/>
          </w:tcPr>
          <w:p w14:paraId="26AEB932">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15m</w:t>
            </w:r>
          </w:p>
        </w:tc>
        <w:tc>
          <w:tcPr>
            <w:tcW w:w="1113" w:type="pct"/>
            <w:tcBorders>
              <w:tl2br w:val="nil"/>
              <w:tr2bl w:val="nil"/>
            </w:tcBorders>
            <w:noWrap w:val="0"/>
            <w:vAlign w:val="center"/>
          </w:tcPr>
          <w:p w14:paraId="3FDCF502">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最高允许排放浓度</w:t>
            </w:r>
          </w:p>
        </w:tc>
        <w:tc>
          <w:tcPr>
            <w:tcW w:w="807" w:type="pct"/>
            <w:tcBorders>
              <w:tl2br w:val="nil"/>
              <w:tr2bl w:val="nil"/>
            </w:tcBorders>
            <w:noWrap w:val="0"/>
            <w:vAlign w:val="center"/>
          </w:tcPr>
          <w:p w14:paraId="23E9E0E6">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eastAsia" w:cs="Times New Roman"/>
                <w:caps w:val="0"/>
                <w:snapToGrid/>
                <w:color w:val="auto"/>
                <w:spacing w:val="0"/>
                <w:w w:val="100"/>
                <w:kern w:val="21"/>
                <w:position w:val="0"/>
                <w:sz w:val="21"/>
                <w:szCs w:val="21"/>
                <w:highlight w:val="none"/>
                <w:lang w:val="en-US" w:eastAsia="zh-CN"/>
              </w:rPr>
              <w:t>20</w:t>
            </w:r>
            <w:r>
              <w:rPr>
                <w:rFonts w:hint="default" w:ascii="Times New Roman" w:hAnsi="Times New Roman" w:eastAsia="宋体" w:cs="Times New Roman"/>
                <w:caps w:val="0"/>
                <w:snapToGrid/>
                <w:color w:val="auto"/>
                <w:spacing w:val="0"/>
                <w:w w:val="100"/>
                <w:kern w:val="21"/>
                <w:position w:val="0"/>
                <w:sz w:val="21"/>
                <w:szCs w:val="21"/>
                <w:highlight w:val="none"/>
              </w:rPr>
              <w:t>mg/m</w:t>
            </w:r>
            <w:r>
              <w:rPr>
                <w:rFonts w:hint="default" w:ascii="Times New Roman" w:hAnsi="Times New Roman" w:eastAsia="宋体" w:cs="Times New Roman"/>
                <w:caps w:val="0"/>
                <w:snapToGrid/>
                <w:color w:val="auto"/>
                <w:spacing w:val="0"/>
                <w:w w:val="100"/>
                <w:kern w:val="21"/>
                <w:position w:val="0"/>
                <w:sz w:val="21"/>
                <w:szCs w:val="21"/>
                <w:highlight w:val="none"/>
                <w:vertAlign w:val="superscript"/>
              </w:rPr>
              <w:t>3</w:t>
            </w:r>
          </w:p>
        </w:tc>
        <w:tc>
          <w:tcPr>
            <w:tcW w:w="1534" w:type="pct"/>
            <w:tcBorders>
              <w:tl2br w:val="nil"/>
              <w:tr2bl w:val="nil"/>
            </w:tcBorders>
            <w:noWrap w:val="0"/>
            <w:vAlign w:val="center"/>
          </w:tcPr>
          <w:p w14:paraId="13372A7F">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eastAsia" w:cs="Times New Roman"/>
                <w:caps w:val="0"/>
                <w:snapToGrid/>
                <w:color w:val="auto"/>
                <w:spacing w:val="0"/>
                <w:w w:val="100"/>
                <w:kern w:val="21"/>
                <w:position w:val="0"/>
                <w:sz w:val="21"/>
                <w:szCs w:val="21"/>
                <w:highlight w:val="none"/>
                <w:lang w:val="en-US" w:eastAsia="zh-CN" w:bidi="ar-SA"/>
              </w:rPr>
              <w:t>《合成树脂工业污染物排放标准》（GB31572-2015）（含2024年修改单）</w:t>
            </w: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t>表</w:t>
            </w:r>
            <w:r>
              <w:rPr>
                <w:rFonts w:hint="eastAsia" w:cs="Times New Roman"/>
                <w:caps w:val="0"/>
                <w:snapToGrid/>
                <w:color w:val="auto"/>
                <w:spacing w:val="0"/>
                <w:w w:val="100"/>
                <w:kern w:val="21"/>
                <w:position w:val="0"/>
                <w:sz w:val="21"/>
                <w:szCs w:val="21"/>
                <w:highlight w:val="none"/>
                <w:lang w:val="en-US" w:eastAsia="zh-CN" w:bidi="ar-SA"/>
              </w:rPr>
              <w:t>5</w:t>
            </w: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t>大气污染物特别排放限值</w:t>
            </w:r>
          </w:p>
        </w:tc>
      </w:tr>
      <w:tr w14:paraId="32F8A6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487" w:type="pct"/>
            <w:vMerge w:val="continue"/>
            <w:tcBorders>
              <w:tl2br w:val="nil"/>
              <w:tr2bl w:val="nil"/>
            </w:tcBorders>
            <w:noWrap w:val="0"/>
            <w:vAlign w:val="center"/>
          </w:tcPr>
          <w:p w14:paraId="6A50B8BF">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c>
          <w:tcPr>
            <w:tcW w:w="608" w:type="pct"/>
            <w:tcBorders>
              <w:tl2br w:val="nil"/>
              <w:tr2bl w:val="nil"/>
            </w:tcBorders>
            <w:noWrap w:val="0"/>
            <w:vAlign w:val="center"/>
          </w:tcPr>
          <w:p w14:paraId="39095B3E">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无组织</w:t>
            </w:r>
          </w:p>
        </w:tc>
        <w:tc>
          <w:tcPr>
            <w:tcW w:w="449" w:type="pct"/>
            <w:tcBorders>
              <w:tl2br w:val="nil"/>
              <w:tr2bl w:val="nil"/>
            </w:tcBorders>
            <w:noWrap w:val="0"/>
            <w:vAlign w:val="center"/>
          </w:tcPr>
          <w:p w14:paraId="425C90D7">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w:t>
            </w:r>
          </w:p>
        </w:tc>
        <w:tc>
          <w:tcPr>
            <w:tcW w:w="1113" w:type="pct"/>
            <w:tcBorders>
              <w:tl2br w:val="nil"/>
              <w:tr2bl w:val="nil"/>
            </w:tcBorders>
            <w:noWrap w:val="0"/>
            <w:vAlign w:val="center"/>
          </w:tcPr>
          <w:p w14:paraId="1493851F">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eastAsia" w:cs="Times New Roman"/>
                <w:caps w:val="0"/>
                <w:snapToGrid/>
                <w:color w:val="auto"/>
                <w:spacing w:val="0"/>
                <w:w w:val="100"/>
                <w:kern w:val="21"/>
                <w:position w:val="0"/>
                <w:sz w:val="21"/>
                <w:szCs w:val="21"/>
                <w:highlight w:val="none"/>
                <w:lang w:val="en-US" w:eastAsia="zh-CN"/>
              </w:rPr>
              <w:t>企业边界任何1h</w:t>
            </w:r>
          </w:p>
        </w:tc>
        <w:tc>
          <w:tcPr>
            <w:tcW w:w="807" w:type="pct"/>
            <w:tcBorders>
              <w:tl2br w:val="nil"/>
              <w:tr2bl w:val="nil"/>
            </w:tcBorders>
            <w:noWrap w:val="0"/>
            <w:vAlign w:val="center"/>
          </w:tcPr>
          <w:p w14:paraId="33855BAA">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cs="Times New Roman"/>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rPr>
              <w:t>1.0mg/m</w:t>
            </w:r>
            <w:r>
              <w:rPr>
                <w:rFonts w:hint="default" w:ascii="Times New Roman" w:hAnsi="Times New Roman" w:eastAsia="宋体" w:cs="Times New Roman"/>
                <w:caps w:val="0"/>
                <w:snapToGrid/>
                <w:color w:val="auto"/>
                <w:spacing w:val="0"/>
                <w:w w:val="100"/>
                <w:kern w:val="21"/>
                <w:position w:val="0"/>
                <w:sz w:val="21"/>
                <w:szCs w:val="21"/>
                <w:highlight w:val="none"/>
                <w:vertAlign w:val="superscript"/>
              </w:rPr>
              <w:t>3</w:t>
            </w:r>
          </w:p>
        </w:tc>
        <w:tc>
          <w:tcPr>
            <w:tcW w:w="1534" w:type="pct"/>
            <w:tcBorders>
              <w:tl2br w:val="nil"/>
              <w:tr2bl w:val="nil"/>
            </w:tcBorders>
            <w:noWrap w:val="0"/>
            <w:vAlign w:val="center"/>
          </w:tcPr>
          <w:p w14:paraId="3FB7B820">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eastAsia" w:cs="Times New Roman"/>
                <w:caps w:val="0"/>
                <w:snapToGrid/>
                <w:color w:val="auto"/>
                <w:spacing w:val="0"/>
                <w:w w:val="100"/>
                <w:kern w:val="21"/>
                <w:position w:val="0"/>
                <w:sz w:val="21"/>
                <w:szCs w:val="21"/>
                <w:highlight w:val="none"/>
                <w:lang w:val="en-US" w:eastAsia="zh-CN" w:bidi="ar-SA"/>
              </w:rPr>
              <w:t>《合成树脂工业污染物排放标准》（GB31572-2015）（含2024年修改单）</w:t>
            </w: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t>表</w:t>
            </w:r>
            <w:r>
              <w:rPr>
                <w:rFonts w:hint="eastAsia" w:cs="Times New Roman"/>
                <w:caps w:val="0"/>
                <w:snapToGrid/>
                <w:color w:val="auto"/>
                <w:spacing w:val="0"/>
                <w:w w:val="100"/>
                <w:kern w:val="21"/>
                <w:position w:val="0"/>
                <w:sz w:val="21"/>
                <w:szCs w:val="21"/>
                <w:highlight w:val="none"/>
                <w:lang w:val="en-US" w:eastAsia="zh-CN" w:bidi="ar-SA"/>
              </w:rPr>
              <w:t>9</w:t>
            </w: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t>排放限值</w:t>
            </w:r>
          </w:p>
        </w:tc>
      </w:tr>
      <w:tr w14:paraId="7B67E2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487" w:type="pct"/>
            <w:vMerge w:val="restart"/>
            <w:tcBorders>
              <w:tl2br w:val="nil"/>
              <w:tr2bl w:val="nil"/>
            </w:tcBorders>
            <w:noWrap w:val="0"/>
            <w:vAlign w:val="center"/>
          </w:tcPr>
          <w:p w14:paraId="5D222AEF">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臭气浓度</w:t>
            </w:r>
          </w:p>
        </w:tc>
        <w:tc>
          <w:tcPr>
            <w:tcW w:w="608" w:type="pct"/>
            <w:tcBorders>
              <w:tl2br w:val="nil"/>
              <w:tr2bl w:val="nil"/>
            </w:tcBorders>
            <w:noWrap w:val="0"/>
            <w:vAlign w:val="center"/>
          </w:tcPr>
          <w:p w14:paraId="13D9CAA3">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有组织</w:t>
            </w:r>
          </w:p>
        </w:tc>
        <w:tc>
          <w:tcPr>
            <w:tcW w:w="449" w:type="pct"/>
            <w:tcBorders>
              <w:tl2br w:val="nil"/>
              <w:tr2bl w:val="nil"/>
            </w:tcBorders>
            <w:noWrap w:val="0"/>
            <w:vAlign w:val="center"/>
          </w:tcPr>
          <w:p w14:paraId="16888027">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eastAsia" w:cs="Times New Roman"/>
                <w:caps w:val="0"/>
                <w:snapToGrid/>
                <w:color w:val="auto"/>
                <w:spacing w:val="0"/>
                <w:w w:val="100"/>
                <w:kern w:val="21"/>
                <w:position w:val="0"/>
                <w:sz w:val="21"/>
                <w:szCs w:val="21"/>
                <w:highlight w:val="none"/>
                <w:lang w:val="en-US" w:eastAsia="zh-CN"/>
              </w:rPr>
              <w:t>15m</w:t>
            </w:r>
          </w:p>
        </w:tc>
        <w:tc>
          <w:tcPr>
            <w:tcW w:w="1113" w:type="pct"/>
            <w:tcBorders>
              <w:tl2br w:val="nil"/>
              <w:tr2bl w:val="nil"/>
            </w:tcBorders>
            <w:noWrap w:val="0"/>
            <w:vAlign w:val="center"/>
          </w:tcPr>
          <w:p w14:paraId="3609DB28">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排放量</w:t>
            </w:r>
          </w:p>
        </w:tc>
        <w:tc>
          <w:tcPr>
            <w:tcW w:w="807" w:type="pct"/>
            <w:tcBorders>
              <w:tl2br w:val="nil"/>
              <w:tr2bl w:val="nil"/>
            </w:tcBorders>
            <w:noWrap w:val="0"/>
            <w:vAlign w:val="center"/>
          </w:tcPr>
          <w:p w14:paraId="62A2CB71">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2000（无量纲）</w:t>
            </w:r>
          </w:p>
        </w:tc>
        <w:tc>
          <w:tcPr>
            <w:tcW w:w="1534" w:type="pct"/>
            <w:vMerge w:val="restart"/>
            <w:tcBorders>
              <w:tl2br w:val="nil"/>
              <w:tr2bl w:val="nil"/>
            </w:tcBorders>
            <w:noWrap w:val="0"/>
            <w:vAlign w:val="center"/>
          </w:tcPr>
          <w:p w14:paraId="7387EDC5">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cs="Times New Roman"/>
                <w:caps w:val="0"/>
                <w:snapToGrid/>
                <w:color w:val="auto"/>
                <w:spacing w:val="0"/>
                <w:w w:val="100"/>
                <w:kern w:val="21"/>
                <w:position w:val="0"/>
                <w:sz w:val="21"/>
                <w:szCs w:val="21"/>
                <w:highlight w:val="none"/>
                <w:lang w:val="en-US" w:eastAsia="zh-CN" w:bidi="ar-SA"/>
              </w:rPr>
            </w:pPr>
            <w:r>
              <w:rPr>
                <w:rFonts w:hint="eastAsia" w:cs="Times New Roman"/>
                <w:caps w:val="0"/>
                <w:snapToGrid/>
                <w:color w:val="auto"/>
                <w:spacing w:val="0"/>
                <w:w w:val="100"/>
                <w:kern w:val="21"/>
                <w:position w:val="0"/>
                <w:sz w:val="21"/>
                <w:szCs w:val="21"/>
                <w:highlight w:val="none"/>
                <w:lang w:val="en-US" w:eastAsia="zh-CN" w:bidi="ar-SA"/>
              </w:rPr>
              <w:t>《恶臭污染物排放标准》（GB14554-93）</w:t>
            </w:r>
          </w:p>
        </w:tc>
      </w:tr>
      <w:tr w14:paraId="6E2526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487" w:type="pct"/>
            <w:vMerge w:val="continue"/>
            <w:tcBorders>
              <w:tl2br w:val="nil"/>
              <w:tr2bl w:val="nil"/>
            </w:tcBorders>
            <w:noWrap w:val="0"/>
            <w:vAlign w:val="center"/>
          </w:tcPr>
          <w:p w14:paraId="7E21D90F">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c>
          <w:tcPr>
            <w:tcW w:w="608" w:type="pct"/>
            <w:tcBorders>
              <w:tl2br w:val="nil"/>
              <w:tr2bl w:val="nil"/>
            </w:tcBorders>
            <w:noWrap w:val="0"/>
            <w:vAlign w:val="center"/>
          </w:tcPr>
          <w:p w14:paraId="0A49E3BD">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无组织</w:t>
            </w:r>
          </w:p>
        </w:tc>
        <w:tc>
          <w:tcPr>
            <w:tcW w:w="449" w:type="pct"/>
            <w:tcBorders>
              <w:tl2br w:val="nil"/>
              <w:tr2bl w:val="nil"/>
            </w:tcBorders>
            <w:noWrap w:val="0"/>
            <w:vAlign w:val="center"/>
          </w:tcPr>
          <w:p w14:paraId="215A3F2C">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w:t>
            </w:r>
          </w:p>
        </w:tc>
        <w:tc>
          <w:tcPr>
            <w:tcW w:w="1113" w:type="pct"/>
            <w:tcBorders>
              <w:tl2br w:val="nil"/>
              <w:tr2bl w:val="nil"/>
            </w:tcBorders>
            <w:noWrap w:val="0"/>
            <w:vAlign w:val="center"/>
          </w:tcPr>
          <w:p w14:paraId="002A3F0E">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企业边界</w:t>
            </w:r>
          </w:p>
        </w:tc>
        <w:tc>
          <w:tcPr>
            <w:tcW w:w="807" w:type="pct"/>
            <w:tcBorders>
              <w:tl2br w:val="nil"/>
              <w:tr2bl w:val="nil"/>
            </w:tcBorders>
            <w:noWrap w:val="0"/>
            <w:vAlign w:val="center"/>
          </w:tcPr>
          <w:p w14:paraId="2C36AC1B">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20（无量纲）</w:t>
            </w:r>
          </w:p>
        </w:tc>
        <w:tc>
          <w:tcPr>
            <w:tcW w:w="1534" w:type="pct"/>
            <w:vMerge w:val="continue"/>
            <w:tcBorders>
              <w:tl2br w:val="nil"/>
              <w:tr2bl w:val="nil"/>
            </w:tcBorders>
            <w:noWrap w:val="0"/>
            <w:vAlign w:val="center"/>
          </w:tcPr>
          <w:p w14:paraId="3AA3D7BB">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cs="Times New Roman"/>
                <w:caps w:val="0"/>
                <w:snapToGrid/>
                <w:color w:val="auto"/>
                <w:spacing w:val="0"/>
                <w:w w:val="100"/>
                <w:kern w:val="21"/>
                <w:position w:val="0"/>
                <w:sz w:val="21"/>
                <w:szCs w:val="21"/>
                <w:highlight w:val="none"/>
                <w:lang w:val="en-US" w:eastAsia="zh-CN" w:bidi="ar-SA"/>
              </w:rPr>
            </w:pPr>
          </w:p>
        </w:tc>
      </w:tr>
      <w:tr w14:paraId="1CB31D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487" w:type="pct"/>
            <w:vMerge w:val="restart"/>
            <w:tcBorders>
              <w:tl2br w:val="nil"/>
              <w:tr2bl w:val="nil"/>
            </w:tcBorders>
            <w:noWrap w:val="0"/>
            <w:vAlign w:val="center"/>
          </w:tcPr>
          <w:p w14:paraId="3CF479F7">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rPr>
              <w:t>非甲烷总烃</w:t>
            </w:r>
          </w:p>
        </w:tc>
        <w:tc>
          <w:tcPr>
            <w:tcW w:w="608" w:type="pct"/>
            <w:tcBorders>
              <w:tl2br w:val="nil"/>
              <w:tr2bl w:val="nil"/>
            </w:tcBorders>
            <w:noWrap w:val="0"/>
            <w:vAlign w:val="center"/>
          </w:tcPr>
          <w:p w14:paraId="5F0F83AB">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有组织</w:t>
            </w:r>
          </w:p>
        </w:tc>
        <w:tc>
          <w:tcPr>
            <w:tcW w:w="449" w:type="pct"/>
            <w:tcBorders>
              <w:tl2br w:val="nil"/>
              <w:tr2bl w:val="nil"/>
            </w:tcBorders>
            <w:noWrap w:val="0"/>
            <w:vAlign w:val="center"/>
          </w:tcPr>
          <w:p w14:paraId="0B3AEB11">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eastAsia="zh-CN"/>
              </w:rPr>
            </w:pPr>
            <w:r>
              <w:rPr>
                <w:rFonts w:hint="eastAsia" w:cs="Times New Roman"/>
                <w:caps w:val="0"/>
                <w:snapToGrid/>
                <w:color w:val="auto"/>
                <w:spacing w:val="0"/>
                <w:w w:val="100"/>
                <w:kern w:val="21"/>
                <w:position w:val="0"/>
                <w:sz w:val="21"/>
                <w:szCs w:val="21"/>
                <w:highlight w:val="none"/>
                <w:lang w:val="en-US" w:eastAsia="zh-CN"/>
              </w:rPr>
              <w:t>15</w:t>
            </w:r>
            <w:r>
              <w:rPr>
                <w:rFonts w:hint="eastAsia" w:cs="Times New Roman"/>
                <w:caps w:val="0"/>
                <w:snapToGrid/>
                <w:color w:val="auto"/>
                <w:spacing w:val="0"/>
                <w:w w:val="100"/>
                <w:kern w:val="21"/>
                <w:position w:val="0"/>
                <w:sz w:val="21"/>
                <w:szCs w:val="21"/>
                <w:highlight w:val="none"/>
                <w:lang w:eastAsia="zh-CN"/>
              </w:rPr>
              <w:t>m</w:t>
            </w:r>
          </w:p>
        </w:tc>
        <w:tc>
          <w:tcPr>
            <w:tcW w:w="1113" w:type="pct"/>
            <w:tcBorders>
              <w:tl2br w:val="nil"/>
              <w:tr2bl w:val="nil"/>
            </w:tcBorders>
            <w:noWrap w:val="0"/>
            <w:vAlign w:val="center"/>
          </w:tcPr>
          <w:p w14:paraId="22438E23">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最高允许排放浓度</w:t>
            </w:r>
          </w:p>
        </w:tc>
        <w:tc>
          <w:tcPr>
            <w:tcW w:w="807" w:type="pct"/>
            <w:tcBorders>
              <w:tl2br w:val="nil"/>
              <w:tr2bl w:val="nil"/>
            </w:tcBorders>
            <w:noWrap w:val="0"/>
            <w:vAlign w:val="center"/>
          </w:tcPr>
          <w:p w14:paraId="09306EED">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eastAsia" w:cs="Times New Roman"/>
                <w:caps w:val="0"/>
                <w:snapToGrid/>
                <w:color w:val="auto"/>
                <w:spacing w:val="0"/>
                <w:w w:val="100"/>
                <w:kern w:val="21"/>
                <w:position w:val="0"/>
                <w:sz w:val="21"/>
                <w:szCs w:val="21"/>
                <w:highlight w:val="none"/>
                <w:lang w:val="en-US" w:eastAsia="zh-CN"/>
              </w:rPr>
              <w:t>60</w:t>
            </w:r>
            <w:r>
              <w:rPr>
                <w:rFonts w:hint="default" w:ascii="Times New Roman" w:hAnsi="Times New Roman" w:eastAsia="宋体" w:cs="Times New Roman"/>
                <w:caps w:val="0"/>
                <w:snapToGrid/>
                <w:color w:val="auto"/>
                <w:spacing w:val="0"/>
                <w:w w:val="100"/>
                <w:kern w:val="21"/>
                <w:position w:val="0"/>
                <w:sz w:val="21"/>
                <w:szCs w:val="21"/>
                <w:highlight w:val="none"/>
              </w:rPr>
              <w:t>mg/m</w:t>
            </w:r>
            <w:r>
              <w:rPr>
                <w:rFonts w:hint="default" w:ascii="Times New Roman" w:hAnsi="Times New Roman" w:eastAsia="宋体" w:cs="Times New Roman"/>
                <w:caps w:val="0"/>
                <w:snapToGrid/>
                <w:color w:val="auto"/>
                <w:spacing w:val="0"/>
                <w:w w:val="100"/>
                <w:kern w:val="21"/>
                <w:position w:val="0"/>
                <w:sz w:val="21"/>
                <w:szCs w:val="21"/>
                <w:highlight w:val="none"/>
                <w:vertAlign w:val="superscript"/>
              </w:rPr>
              <w:t>3</w:t>
            </w:r>
          </w:p>
        </w:tc>
        <w:tc>
          <w:tcPr>
            <w:tcW w:w="1534" w:type="pct"/>
            <w:tcBorders>
              <w:tl2br w:val="nil"/>
              <w:tr2bl w:val="nil"/>
            </w:tcBorders>
            <w:noWrap w:val="0"/>
            <w:vAlign w:val="center"/>
          </w:tcPr>
          <w:p w14:paraId="33F4123A">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eastAsia" w:cs="Times New Roman"/>
                <w:caps w:val="0"/>
                <w:snapToGrid/>
                <w:color w:val="auto"/>
                <w:spacing w:val="0"/>
                <w:w w:val="100"/>
                <w:kern w:val="21"/>
                <w:position w:val="0"/>
                <w:sz w:val="21"/>
                <w:szCs w:val="21"/>
                <w:highlight w:val="none"/>
                <w:lang w:val="en-US" w:eastAsia="zh-CN" w:bidi="ar-SA"/>
              </w:rPr>
              <w:t>《合成树脂工业污染物排放标准》（GB31572-2015）（含2024年修改单）</w:t>
            </w: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t>表</w:t>
            </w:r>
            <w:r>
              <w:rPr>
                <w:rFonts w:hint="eastAsia" w:cs="Times New Roman"/>
                <w:caps w:val="0"/>
                <w:snapToGrid/>
                <w:color w:val="auto"/>
                <w:spacing w:val="0"/>
                <w:w w:val="100"/>
                <w:kern w:val="21"/>
                <w:position w:val="0"/>
                <w:sz w:val="21"/>
                <w:szCs w:val="21"/>
                <w:highlight w:val="none"/>
                <w:lang w:val="en-US" w:eastAsia="zh-CN" w:bidi="ar-SA"/>
              </w:rPr>
              <w:t>5</w:t>
            </w: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t>大气污染物特别排放限值</w:t>
            </w:r>
          </w:p>
        </w:tc>
      </w:tr>
      <w:tr w14:paraId="410C9F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487" w:type="pct"/>
            <w:vMerge w:val="continue"/>
            <w:tcBorders>
              <w:tl2br w:val="nil"/>
              <w:tr2bl w:val="nil"/>
            </w:tcBorders>
            <w:noWrap w:val="0"/>
            <w:vAlign w:val="center"/>
          </w:tcPr>
          <w:p w14:paraId="799C2D56">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c>
          <w:tcPr>
            <w:tcW w:w="608" w:type="pct"/>
            <w:vMerge w:val="restart"/>
            <w:tcBorders>
              <w:tl2br w:val="nil"/>
              <w:tr2bl w:val="nil"/>
            </w:tcBorders>
            <w:noWrap w:val="0"/>
            <w:vAlign w:val="center"/>
          </w:tcPr>
          <w:p w14:paraId="125C2336">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厂区内</w:t>
            </w:r>
            <w:r>
              <w:rPr>
                <w:rFonts w:hint="default" w:ascii="Times New Roman" w:hAnsi="Times New Roman" w:eastAsia="宋体" w:cs="Times New Roman"/>
                <w:caps w:val="0"/>
                <w:snapToGrid/>
                <w:color w:val="auto"/>
                <w:spacing w:val="0"/>
                <w:w w:val="100"/>
                <w:kern w:val="21"/>
                <w:position w:val="0"/>
                <w:sz w:val="21"/>
                <w:szCs w:val="21"/>
                <w:highlight w:val="none"/>
              </w:rPr>
              <w:t>无组织</w:t>
            </w:r>
          </w:p>
        </w:tc>
        <w:tc>
          <w:tcPr>
            <w:tcW w:w="449" w:type="pct"/>
            <w:vMerge w:val="restart"/>
            <w:tcBorders>
              <w:tl2br w:val="nil"/>
              <w:tr2bl w:val="nil"/>
            </w:tcBorders>
            <w:noWrap w:val="0"/>
            <w:vAlign w:val="center"/>
          </w:tcPr>
          <w:p w14:paraId="0DECFC39">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w:t>
            </w:r>
          </w:p>
        </w:tc>
        <w:tc>
          <w:tcPr>
            <w:tcW w:w="1920" w:type="pct"/>
            <w:gridSpan w:val="2"/>
            <w:tcBorders>
              <w:tl2br w:val="nil"/>
              <w:tr2bl w:val="nil"/>
            </w:tcBorders>
            <w:noWrap w:val="0"/>
            <w:vAlign w:val="center"/>
          </w:tcPr>
          <w:p w14:paraId="56030C6E">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vertAlign w:val="baseline"/>
                <w:lang w:eastAsia="zh-CN"/>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6</w:t>
            </w:r>
            <w:r>
              <w:rPr>
                <w:rFonts w:hint="default" w:ascii="Times New Roman" w:hAnsi="Times New Roman" w:eastAsia="宋体" w:cs="Times New Roman"/>
                <w:caps w:val="0"/>
                <w:snapToGrid/>
                <w:color w:val="auto"/>
                <w:spacing w:val="0"/>
                <w:w w:val="100"/>
                <w:kern w:val="21"/>
                <w:position w:val="0"/>
                <w:sz w:val="21"/>
                <w:szCs w:val="21"/>
                <w:highlight w:val="none"/>
              </w:rPr>
              <w:t>mg/m</w:t>
            </w:r>
            <w:r>
              <w:rPr>
                <w:rFonts w:hint="default" w:ascii="Times New Roman" w:hAnsi="Times New Roman" w:eastAsia="宋体" w:cs="Times New Roman"/>
                <w:caps w:val="0"/>
                <w:snapToGrid/>
                <w:color w:val="auto"/>
                <w:spacing w:val="0"/>
                <w:w w:val="100"/>
                <w:kern w:val="21"/>
                <w:position w:val="0"/>
                <w:sz w:val="21"/>
                <w:szCs w:val="21"/>
                <w:highlight w:val="none"/>
                <w:vertAlign w:val="superscript"/>
              </w:rPr>
              <w:t>3</w:t>
            </w:r>
            <w:r>
              <w:rPr>
                <w:rFonts w:hint="default" w:ascii="Times New Roman" w:hAnsi="Times New Roman" w:eastAsia="宋体" w:cs="Times New Roman"/>
                <w:caps w:val="0"/>
                <w:snapToGrid/>
                <w:color w:val="auto"/>
                <w:spacing w:val="0"/>
                <w:w w:val="100"/>
                <w:kern w:val="21"/>
                <w:position w:val="0"/>
                <w:sz w:val="21"/>
                <w:szCs w:val="21"/>
                <w:highlight w:val="none"/>
                <w:vertAlign w:val="baseline"/>
                <w:lang w:eastAsia="zh-CN"/>
              </w:rPr>
              <w:t>（</w:t>
            </w:r>
            <w:r>
              <w:rPr>
                <w:rFonts w:hint="default" w:ascii="Times New Roman" w:hAnsi="Times New Roman" w:eastAsia="宋体" w:cs="Times New Roman"/>
                <w:caps w:val="0"/>
                <w:snapToGrid/>
                <w:color w:val="auto"/>
                <w:spacing w:val="0"/>
                <w:w w:val="100"/>
                <w:kern w:val="21"/>
                <w:position w:val="0"/>
                <w:sz w:val="21"/>
                <w:szCs w:val="21"/>
                <w:highlight w:val="none"/>
              </w:rPr>
              <w:t>监控点处1h平均浓度值</w:t>
            </w:r>
            <w:r>
              <w:rPr>
                <w:rFonts w:hint="default" w:ascii="Times New Roman" w:hAnsi="Times New Roman" w:eastAsia="宋体" w:cs="Times New Roman"/>
                <w:caps w:val="0"/>
                <w:snapToGrid/>
                <w:color w:val="auto"/>
                <w:spacing w:val="0"/>
                <w:w w:val="100"/>
                <w:kern w:val="21"/>
                <w:position w:val="0"/>
                <w:sz w:val="21"/>
                <w:szCs w:val="21"/>
                <w:highlight w:val="none"/>
                <w:vertAlign w:val="baseline"/>
                <w:lang w:eastAsia="zh-CN"/>
              </w:rPr>
              <w:t>）</w:t>
            </w:r>
          </w:p>
        </w:tc>
        <w:tc>
          <w:tcPr>
            <w:tcW w:w="1534" w:type="pct"/>
            <w:vMerge w:val="restart"/>
            <w:tcBorders>
              <w:tl2br w:val="nil"/>
              <w:tr2bl w:val="nil"/>
            </w:tcBorders>
            <w:noWrap w:val="0"/>
            <w:vAlign w:val="center"/>
          </w:tcPr>
          <w:p w14:paraId="08154DD2">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rPr>
              <w:t>《挥发性有机物无组织排放控制标准》（GB37822-2019）</w:t>
            </w: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附录A表A.1中特别排放限值</w:t>
            </w:r>
          </w:p>
        </w:tc>
      </w:tr>
      <w:tr w14:paraId="0BB23A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487" w:type="pct"/>
            <w:vMerge w:val="continue"/>
            <w:tcBorders>
              <w:tl2br w:val="nil"/>
              <w:tr2bl w:val="nil"/>
            </w:tcBorders>
            <w:noWrap w:val="0"/>
            <w:vAlign w:val="center"/>
          </w:tcPr>
          <w:p w14:paraId="43942500">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c>
          <w:tcPr>
            <w:tcW w:w="608" w:type="pct"/>
            <w:vMerge w:val="continue"/>
            <w:tcBorders>
              <w:tl2br w:val="nil"/>
              <w:tr2bl w:val="nil"/>
            </w:tcBorders>
            <w:noWrap w:val="0"/>
            <w:vAlign w:val="center"/>
          </w:tcPr>
          <w:p w14:paraId="6CE470EF">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c>
          <w:tcPr>
            <w:tcW w:w="449" w:type="pct"/>
            <w:vMerge w:val="continue"/>
            <w:tcBorders>
              <w:tl2br w:val="nil"/>
              <w:tr2bl w:val="nil"/>
            </w:tcBorders>
            <w:noWrap w:val="0"/>
            <w:vAlign w:val="center"/>
          </w:tcPr>
          <w:p w14:paraId="63367943">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c>
          <w:tcPr>
            <w:tcW w:w="1920" w:type="pct"/>
            <w:gridSpan w:val="2"/>
            <w:tcBorders>
              <w:tl2br w:val="nil"/>
              <w:tr2bl w:val="nil"/>
            </w:tcBorders>
            <w:noWrap w:val="0"/>
            <w:vAlign w:val="center"/>
          </w:tcPr>
          <w:p w14:paraId="77C5AC8B">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vertAlign w:val="baseline"/>
                <w:lang w:eastAsia="zh-CN"/>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20</w:t>
            </w:r>
            <w:r>
              <w:rPr>
                <w:rFonts w:hint="default" w:ascii="Times New Roman" w:hAnsi="Times New Roman" w:eastAsia="宋体" w:cs="Times New Roman"/>
                <w:caps w:val="0"/>
                <w:snapToGrid/>
                <w:color w:val="auto"/>
                <w:spacing w:val="0"/>
                <w:w w:val="100"/>
                <w:kern w:val="21"/>
                <w:position w:val="0"/>
                <w:sz w:val="21"/>
                <w:szCs w:val="21"/>
                <w:highlight w:val="none"/>
              </w:rPr>
              <w:t>mg/m</w:t>
            </w:r>
            <w:r>
              <w:rPr>
                <w:rFonts w:hint="default" w:ascii="Times New Roman" w:hAnsi="Times New Roman" w:eastAsia="宋体" w:cs="Times New Roman"/>
                <w:caps w:val="0"/>
                <w:snapToGrid/>
                <w:color w:val="auto"/>
                <w:spacing w:val="0"/>
                <w:w w:val="100"/>
                <w:kern w:val="21"/>
                <w:position w:val="0"/>
                <w:sz w:val="21"/>
                <w:szCs w:val="21"/>
                <w:highlight w:val="none"/>
                <w:vertAlign w:val="superscript"/>
              </w:rPr>
              <w:t>3</w:t>
            </w:r>
            <w:r>
              <w:rPr>
                <w:rFonts w:hint="default" w:ascii="Times New Roman" w:hAnsi="Times New Roman" w:eastAsia="宋体" w:cs="Times New Roman"/>
                <w:caps w:val="0"/>
                <w:snapToGrid/>
                <w:color w:val="auto"/>
                <w:spacing w:val="0"/>
                <w:w w:val="100"/>
                <w:kern w:val="21"/>
                <w:position w:val="0"/>
                <w:sz w:val="21"/>
                <w:szCs w:val="21"/>
                <w:highlight w:val="none"/>
                <w:vertAlign w:val="baseline"/>
                <w:lang w:eastAsia="zh-CN"/>
              </w:rPr>
              <w:t>（监控点处任意一次浓度值）</w:t>
            </w:r>
          </w:p>
        </w:tc>
        <w:tc>
          <w:tcPr>
            <w:tcW w:w="1534" w:type="pct"/>
            <w:vMerge w:val="continue"/>
            <w:tcBorders>
              <w:tl2br w:val="nil"/>
              <w:tr2bl w:val="nil"/>
            </w:tcBorders>
            <w:noWrap w:val="0"/>
            <w:vAlign w:val="center"/>
          </w:tcPr>
          <w:p w14:paraId="6D96FE48">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r>
      <w:tr w14:paraId="787E3D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487" w:type="pct"/>
            <w:vMerge w:val="continue"/>
            <w:tcBorders>
              <w:tl2br w:val="nil"/>
              <w:tr2bl w:val="nil"/>
            </w:tcBorders>
            <w:noWrap w:val="0"/>
            <w:vAlign w:val="center"/>
          </w:tcPr>
          <w:p w14:paraId="6EB0C122">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c>
          <w:tcPr>
            <w:tcW w:w="608" w:type="pct"/>
            <w:tcBorders>
              <w:tl2br w:val="nil"/>
              <w:tr2bl w:val="nil"/>
            </w:tcBorders>
            <w:noWrap w:val="0"/>
            <w:vAlign w:val="center"/>
          </w:tcPr>
          <w:p w14:paraId="2BE97EF0">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厂界无组织</w:t>
            </w:r>
          </w:p>
        </w:tc>
        <w:tc>
          <w:tcPr>
            <w:tcW w:w="449" w:type="pct"/>
            <w:tcBorders>
              <w:tl2br w:val="nil"/>
              <w:tr2bl w:val="nil"/>
            </w:tcBorders>
            <w:noWrap w:val="0"/>
            <w:vAlign w:val="center"/>
          </w:tcPr>
          <w:p w14:paraId="2E3BEF40">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w:t>
            </w:r>
          </w:p>
        </w:tc>
        <w:tc>
          <w:tcPr>
            <w:tcW w:w="1113" w:type="pct"/>
            <w:tcBorders>
              <w:tl2br w:val="nil"/>
              <w:tr2bl w:val="nil"/>
            </w:tcBorders>
            <w:noWrap w:val="0"/>
            <w:vAlign w:val="center"/>
          </w:tcPr>
          <w:p w14:paraId="351A6B9C">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eastAsia" w:cs="Times New Roman"/>
                <w:caps w:val="0"/>
                <w:snapToGrid/>
                <w:color w:val="auto"/>
                <w:spacing w:val="0"/>
                <w:w w:val="100"/>
                <w:kern w:val="21"/>
                <w:position w:val="0"/>
                <w:sz w:val="21"/>
                <w:szCs w:val="21"/>
                <w:highlight w:val="none"/>
                <w:lang w:val="en-US" w:eastAsia="zh-CN"/>
              </w:rPr>
              <w:t>企业边界任何1h</w:t>
            </w:r>
          </w:p>
        </w:tc>
        <w:tc>
          <w:tcPr>
            <w:tcW w:w="807" w:type="pct"/>
            <w:tcBorders>
              <w:tl2br w:val="nil"/>
              <w:tr2bl w:val="nil"/>
            </w:tcBorders>
            <w:noWrap w:val="0"/>
            <w:vAlign w:val="center"/>
          </w:tcPr>
          <w:p w14:paraId="137C309A">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4</w:t>
            </w:r>
            <w:r>
              <w:rPr>
                <w:rFonts w:hint="default" w:ascii="Times New Roman" w:hAnsi="Times New Roman" w:eastAsia="宋体" w:cs="Times New Roman"/>
                <w:caps w:val="0"/>
                <w:snapToGrid/>
                <w:color w:val="auto"/>
                <w:spacing w:val="0"/>
                <w:w w:val="100"/>
                <w:kern w:val="21"/>
                <w:position w:val="0"/>
                <w:sz w:val="21"/>
                <w:szCs w:val="21"/>
                <w:highlight w:val="none"/>
              </w:rPr>
              <w:t>.0mg/m</w:t>
            </w:r>
            <w:r>
              <w:rPr>
                <w:rFonts w:hint="default" w:ascii="Times New Roman" w:hAnsi="Times New Roman" w:eastAsia="宋体" w:cs="Times New Roman"/>
                <w:caps w:val="0"/>
                <w:snapToGrid/>
                <w:color w:val="auto"/>
                <w:spacing w:val="0"/>
                <w:w w:val="100"/>
                <w:kern w:val="21"/>
                <w:position w:val="0"/>
                <w:sz w:val="21"/>
                <w:szCs w:val="21"/>
                <w:highlight w:val="none"/>
                <w:vertAlign w:val="superscript"/>
              </w:rPr>
              <w:t>3</w:t>
            </w:r>
          </w:p>
        </w:tc>
        <w:tc>
          <w:tcPr>
            <w:tcW w:w="1534" w:type="pct"/>
            <w:tcBorders>
              <w:tl2br w:val="nil"/>
              <w:tr2bl w:val="nil"/>
            </w:tcBorders>
            <w:noWrap w:val="0"/>
            <w:vAlign w:val="center"/>
          </w:tcPr>
          <w:p w14:paraId="7906F474">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eastAsia" w:cs="Times New Roman"/>
                <w:caps w:val="0"/>
                <w:snapToGrid/>
                <w:color w:val="auto"/>
                <w:spacing w:val="0"/>
                <w:w w:val="100"/>
                <w:kern w:val="21"/>
                <w:position w:val="0"/>
                <w:sz w:val="21"/>
                <w:szCs w:val="21"/>
                <w:highlight w:val="none"/>
                <w:lang w:val="en-US" w:eastAsia="zh-CN" w:bidi="ar-SA"/>
              </w:rPr>
              <w:t>《合成树脂工业污染物排放标准》（GB31572-2015）（含2024年修改单）</w:t>
            </w: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t>表</w:t>
            </w:r>
            <w:r>
              <w:rPr>
                <w:rFonts w:hint="eastAsia" w:cs="Times New Roman"/>
                <w:caps w:val="0"/>
                <w:snapToGrid/>
                <w:color w:val="auto"/>
                <w:spacing w:val="0"/>
                <w:w w:val="100"/>
                <w:kern w:val="21"/>
                <w:position w:val="0"/>
                <w:sz w:val="21"/>
                <w:szCs w:val="21"/>
                <w:highlight w:val="none"/>
                <w:lang w:val="en-US" w:eastAsia="zh-CN" w:bidi="ar-SA"/>
              </w:rPr>
              <w:t>9</w:t>
            </w: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t>排放限值</w:t>
            </w:r>
          </w:p>
        </w:tc>
      </w:tr>
    </w:tbl>
    <w:p w14:paraId="4C9BC54A">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86" w:name="_Toc19269"/>
      <w:bookmarkStart w:id="187" w:name="_Toc11941"/>
      <w:r>
        <w:rPr>
          <w:rFonts w:hint="default"/>
          <w:color w:val="auto"/>
          <w:spacing w:val="0"/>
          <w:w w:val="100"/>
          <w:position w:val="0"/>
          <w:highlight w:val="none"/>
          <w:lang w:val="en-US" w:eastAsia="zh-CN"/>
        </w:rPr>
        <w:t>2.6.2.2水污染物排放标准</w:t>
      </w:r>
      <w:bookmarkEnd w:id="184"/>
      <w:bookmarkEnd w:id="185"/>
      <w:bookmarkEnd w:id="186"/>
      <w:bookmarkEnd w:id="187"/>
    </w:p>
    <w:p w14:paraId="5ECBA4C2">
      <w:pPr>
        <w:pStyle w:val="32"/>
        <w:keepNext w:val="0"/>
        <w:keepLines w:val="0"/>
        <w:pageBreakBefore w:val="0"/>
        <w:widowControl w:val="0"/>
        <w:kinsoku/>
        <w:wordWrap/>
        <w:overflowPunct/>
        <w:topLinePunct w:val="0"/>
        <w:autoSpaceDE/>
        <w:autoSpaceDN/>
        <w:bidi w:val="0"/>
        <w:adjustRightInd/>
        <w:snapToGrid/>
        <w:rPr>
          <w:rFonts w:hint="default" w:eastAsia="宋体"/>
          <w:color w:val="auto"/>
          <w:spacing w:val="0"/>
          <w:w w:val="100"/>
          <w:position w:val="0"/>
          <w:highlight w:val="none"/>
          <w:lang w:val="en-US" w:eastAsia="zh-CN"/>
        </w:rPr>
      </w:pPr>
      <w:bookmarkStart w:id="188" w:name="_Toc19640"/>
      <w:bookmarkStart w:id="189" w:name="_Toc27239"/>
      <w:r>
        <w:rPr>
          <w:rFonts w:hint="eastAsia"/>
          <w:color w:val="auto"/>
          <w:spacing w:val="0"/>
          <w:w w:val="100"/>
          <w:position w:val="0"/>
          <w:highlight w:val="none"/>
          <w:lang w:val="en-US" w:eastAsia="zh-CN"/>
        </w:rPr>
        <w:t>项目运营期生产废水与生活污水经厂内污水处理站处理达标后排入园区污水管网，最终排入阜西区污水处理厂</w:t>
      </w:r>
      <w:r>
        <w:rPr>
          <w:rFonts w:hint="eastAsia" w:eastAsia="宋体"/>
          <w:color w:val="auto"/>
          <w:spacing w:val="0"/>
          <w:w w:val="100"/>
          <w:position w:val="0"/>
          <w:highlight w:val="none"/>
          <w:lang w:val="en-US" w:eastAsia="zh-CN"/>
        </w:rPr>
        <w:t>处理，执行</w:t>
      </w:r>
      <w:r>
        <w:rPr>
          <w:rFonts w:hint="default" w:eastAsia="宋体"/>
          <w:color w:val="auto"/>
          <w:spacing w:val="0"/>
          <w:w w:val="100"/>
          <w:position w:val="0"/>
          <w:highlight w:val="none"/>
          <w:lang w:val="en-US" w:eastAsia="zh-CN"/>
        </w:rPr>
        <w:t>《污水综合排放标准》（GB8978-1996）</w:t>
      </w:r>
      <w:r>
        <w:rPr>
          <w:rFonts w:hint="eastAsia" w:eastAsia="宋体"/>
          <w:color w:val="auto"/>
          <w:spacing w:val="0"/>
          <w:w w:val="100"/>
          <w:position w:val="0"/>
          <w:highlight w:val="none"/>
          <w:lang w:val="en-US" w:eastAsia="zh-CN"/>
        </w:rPr>
        <w:t>三级标准及《污水排入城镇下水道水质标准》（</w:t>
      </w:r>
      <w:r>
        <w:rPr>
          <w:rFonts w:hint="default" w:eastAsia="宋体"/>
          <w:color w:val="auto"/>
          <w:spacing w:val="0"/>
          <w:w w:val="100"/>
          <w:position w:val="0"/>
          <w:highlight w:val="none"/>
          <w:lang w:val="en-US" w:eastAsia="zh-CN"/>
        </w:rPr>
        <w:t>GB/T31962-2015</w:t>
      </w:r>
      <w:r>
        <w:rPr>
          <w:rFonts w:hint="eastAsia" w:eastAsia="宋体"/>
          <w:color w:val="auto"/>
          <w:spacing w:val="0"/>
          <w:w w:val="100"/>
          <w:position w:val="0"/>
          <w:highlight w:val="none"/>
          <w:lang w:val="en-US" w:eastAsia="zh-CN"/>
        </w:rPr>
        <w:t>）中</w:t>
      </w:r>
      <w:r>
        <w:rPr>
          <w:rFonts w:hint="default" w:eastAsia="宋体"/>
          <w:color w:val="auto"/>
          <w:spacing w:val="0"/>
          <w:w w:val="100"/>
          <w:position w:val="0"/>
          <w:highlight w:val="none"/>
          <w:lang w:val="en-US" w:eastAsia="zh-CN"/>
        </w:rPr>
        <w:t>NH</w:t>
      </w:r>
      <w:r>
        <w:rPr>
          <w:rFonts w:hint="default" w:eastAsia="宋体"/>
          <w:color w:val="auto"/>
          <w:spacing w:val="0"/>
          <w:w w:val="100"/>
          <w:position w:val="0"/>
          <w:highlight w:val="none"/>
          <w:vertAlign w:val="subscript"/>
          <w:lang w:val="en-US" w:eastAsia="zh-CN"/>
        </w:rPr>
        <w:t>3</w:t>
      </w:r>
      <w:r>
        <w:rPr>
          <w:rFonts w:hint="default" w:eastAsia="宋体"/>
          <w:color w:val="auto"/>
          <w:spacing w:val="0"/>
          <w:w w:val="100"/>
          <w:position w:val="0"/>
          <w:highlight w:val="none"/>
          <w:lang w:val="en-US" w:eastAsia="zh-CN"/>
        </w:rPr>
        <w:t>-N</w:t>
      </w:r>
      <w:r>
        <w:rPr>
          <w:rFonts w:hint="eastAsia" w:eastAsia="宋体"/>
          <w:color w:val="auto"/>
          <w:spacing w:val="0"/>
          <w:w w:val="100"/>
          <w:position w:val="0"/>
          <w:highlight w:val="none"/>
          <w:lang w:val="en-US" w:eastAsia="zh-CN"/>
        </w:rPr>
        <w:t>最高允许值</w:t>
      </w:r>
      <w:r>
        <w:rPr>
          <w:rFonts w:hint="default" w:eastAsia="宋体"/>
          <w:color w:val="auto"/>
          <w:spacing w:val="0"/>
          <w:w w:val="100"/>
          <w:position w:val="0"/>
          <w:highlight w:val="none"/>
          <w:lang w:val="en-US" w:eastAsia="zh-CN"/>
        </w:rPr>
        <w:t>B</w:t>
      </w:r>
      <w:r>
        <w:rPr>
          <w:rFonts w:hint="eastAsia" w:eastAsia="宋体"/>
          <w:color w:val="auto"/>
          <w:spacing w:val="0"/>
          <w:w w:val="100"/>
          <w:position w:val="0"/>
          <w:highlight w:val="none"/>
          <w:lang w:val="en-US" w:eastAsia="zh-CN"/>
        </w:rPr>
        <w:t>级标准</w:t>
      </w:r>
      <w:r>
        <w:rPr>
          <w:rFonts w:hint="default" w:eastAsia="宋体"/>
          <w:color w:val="auto"/>
          <w:spacing w:val="0"/>
          <w:w w:val="100"/>
          <w:position w:val="0"/>
          <w:highlight w:val="none"/>
          <w:lang w:val="en-US" w:eastAsia="zh-CN"/>
        </w:rPr>
        <w:t>45mg/L。</w:t>
      </w:r>
    </w:p>
    <w:p w14:paraId="751D89D7">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90" w:name="_Toc32066"/>
      <w:bookmarkStart w:id="191" w:name="_Toc29501"/>
      <w:r>
        <w:rPr>
          <w:rFonts w:hint="default"/>
          <w:color w:val="auto"/>
          <w:spacing w:val="0"/>
          <w:w w:val="100"/>
          <w:position w:val="0"/>
          <w:highlight w:val="none"/>
          <w:lang w:val="en-US" w:eastAsia="zh-CN"/>
        </w:rPr>
        <w:t>2.6.2.3噪声排放标准</w:t>
      </w:r>
      <w:bookmarkEnd w:id="188"/>
      <w:bookmarkEnd w:id="189"/>
      <w:bookmarkEnd w:id="190"/>
      <w:bookmarkEnd w:id="191"/>
    </w:p>
    <w:p w14:paraId="71676F09">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r>
        <w:rPr>
          <w:rFonts w:hint="default"/>
          <w:color w:val="auto"/>
          <w:spacing w:val="0"/>
          <w:w w:val="100"/>
          <w:position w:val="0"/>
          <w:highlight w:val="none"/>
        </w:rPr>
        <w:t>运行期厂界噪声</w:t>
      </w:r>
      <w:r>
        <w:rPr>
          <w:rFonts w:hint="default"/>
          <w:color w:val="auto"/>
          <w:spacing w:val="0"/>
          <w:w w:val="100"/>
          <w:position w:val="0"/>
          <w:highlight w:val="none"/>
          <w:lang w:val="en-US" w:eastAsia="zh-CN"/>
        </w:rPr>
        <w:t>排放</w:t>
      </w:r>
      <w:r>
        <w:rPr>
          <w:rFonts w:hint="default"/>
          <w:color w:val="auto"/>
          <w:spacing w:val="0"/>
          <w:w w:val="100"/>
          <w:position w:val="0"/>
          <w:highlight w:val="none"/>
        </w:rPr>
        <w:t>执行《工业企业厂界环境噪声排放标准》（GB12348-2008）3类标准</w:t>
      </w:r>
      <w:r>
        <w:rPr>
          <w:rFonts w:hint="default"/>
          <w:color w:val="auto"/>
          <w:spacing w:val="0"/>
          <w:w w:val="100"/>
          <w:position w:val="0"/>
          <w:highlight w:val="none"/>
          <w:lang w:eastAsia="zh-CN"/>
        </w:rPr>
        <w:t>，</w:t>
      </w:r>
      <w:r>
        <w:rPr>
          <w:rFonts w:hint="default"/>
          <w:color w:val="auto"/>
          <w:spacing w:val="0"/>
          <w:w w:val="100"/>
          <w:position w:val="0"/>
          <w:highlight w:val="none"/>
        </w:rPr>
        <w:t>噪声排放标准见表2.</w:t>
      </w:r>
      <w:r>
        <w:rPr>
          <w:rFonts w:hint="default"/>
          <w:color w:val="auto"/>
          <w:spacing w:val="0"/>
          <w:w w:val="100"/>
          <w:position w:val="0"/>
          <w:highlight w:val="none"/>
          <w:lang w:val="en-US" w:eastAsia="zh-CN"/>
        </w:rPr>
        <w:t>6</w:t>
      </w:r>
      <w:r>
        <w:rPr>
          <w:rFonts w:hint="eastAsia"/>
          <w:color w:val="auto"/>
          <w:spacing w:val="0"/>
          <w:w w:val="100"/>
          <w:position w:val="0"/>
          <w:highlight w:val="none"/>
          <w:lang w:val="en-US" w:eastAsia="zh-CN"/>
        </w:rPr>
        <w:t>.2-2</w:t>
      </w:r>
      <w:r>
        <w:rPr>
          <w:rFonts w:hint="default"/>
          <w:color w:val="auto"/>
          <w:spacing w:val="0"/>
          <w:w w:val="100"/>
          <w:position w:val="0"/>
          <w:highlight w:val="none"/>
        </w:rPr>
        <w:t>。</w:t>
      </w:r>
    </w:p>
    <w:p w14:paraId="6911CB3C">
      <w:pPr>
        <w:pStyle w:val="3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r>
        <w:rPr>
          <w:rFonts w:hint="default"/>
          <w:color w:val="auto"/>
          <w:spacing w:val="0"/>
          <w:w w:val="100"/>
          <w:position w:val="0"/>
          <w:highlight w:val="none"/>
        </w:rPr>
        <w:t>表</w:t>
      </w:r>
      <w:r>
        <w:rPr>
          <w:rFonts w:hint="default"/>
          <w:color w:val="auto"/>
          <w:spacing w:val="0"/>
          <w:w w:val="100"/>
          <w:position w:val="0"/>
          <w:highlight w:val="none"/>
          <w:lang w:eastAsia="zh-CN"/>
        </w:rPr>
        <w:t>2.6</w:t>
      </w:r>
      <w:r>
        <w:rPr>
          <w:rFonts w:hint="eastAsia"/>
          <w:color w:val="auto"/>
          <w:spacing w:val="0"/>
          <w:w w:val="100"/>
          <w:position w:val="0"/>
          <w:highlight w:val="none"/>
          <w:lang w:val="en-US" w:eastAsia="zh-CN"/>
        </w:rPr>
        <w:t>.2-2</w:t>
      </w:r>
      <w:r>
        <w:rPr>
          <w:rFonts w:hint="default"/>
          <w:color w:val="auto"/>
          <w:spacing w:val="0"/>
          <w:w w:val="100"/>
          <w:position w:val="0"/>
          <w:highlight w:val="none"/>
        </w:rPr>
        <w:t xml:space="preserve">  噪声排放标准限值</w:t>
      </w:r>
    </w:p>
    <w:tbl>
      <w:tblPr>
        <w:tblStyle w:val="25"/>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4643"/>
        <w:gridCol w:w="1252"/>
        <w:gridCol w:w="912"/>
        <w:gridCol w:w="1424"/>
        <w:gridCol w:w="721"/>
      </w:tblGrid>
      <w:tr w14:paraId="7313CF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cantSplit/>
          <w:trHeight w:val="0" w:hRule="atLeast"/>
          <w:jc w:val="center"/>
        </w:trPr>
        <w:tc>
          <w:tcPr>
            <w:tcW w:w="2592" w:type="pct"/>
            <w:tcBorders>
              <w:tl2br w:val="nil"/>
              <w:tr2bl w:val="nil"/>
            </w:tcBorders>
            <w:vAlign w:val="center"/>
          </w:tcPr>
          <w:p w14:paraId="0D15612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标准</w:t>
            </w:r>
          </w:p>
        </w:tc>
        <w:tc>
          <w:tcPr>
            <w:tcW w:w="699" w:type="pct"/>
            <w:tcBorders>
              <w:tl2br w:val="nil"/>
              <w:tr2bl w:val="nil"/>
            </w:tcBorders>
            <w:vAlign w:val="center"/>
          </w:tcPr>
          <w:p w14:paraId="65D2327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时期</w:t>
            </w:r>
          </w:p>
        </w:tc>
        <w:tc>
          <w:tcPr>
            <w:tcW w:w="509" w:type="pct"/>
            <w:tcBorders>
              <w:tl2br w:val="nil"/>
              <w:tr2bl w:val="nil"/>
            </w:tcBorders>
            <w:vAlign w:val="center"/>
          </w:tcPr>
          <w:p w14:paraId="4331659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单位</w:t>
            </w:r>
          </w:p>
        </w:tc>
        <w:tc>
          <w:tcPr>
            <w:tcW w:w="795" w:type="pct"/>
            <w:tcBorders>
              <w:tl2br w:val="nil"/>
              <w:tr2bl w:val="nil"/>
            </w:tcBorders>
            <w:vAlign w:val="center"/>
          </w:tcPr>
          <w:p w14:paraId="0C8FE7E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时段</w:t>
            </w:r>
          </w:p>
        </w:tc>
        <w:tc>
          <w:tcPr>
            <w:tcW w:w="402" w:type="pct"/>
            <w:tcBorders>
              <w:tl2br w:val="nil"/>
              <w:tr2bl w:val="nil"/>
            </w:tcBorders>
            <w:vAlign w:val="center"/>
          </w:tcPr>
          <w:p w14:paraId="1E50C8D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限值</w:t>
            </w:r>
          </w:p>
        </w:tc>
      </w:tr>
      <w:tr w14:paraId="37E34B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cantSplit/>
          <w:trHeight w:val="0" w:hRule="atLeast"/>
          <w:jc w:val="center"/>
        </w:trPr>
        <w:tc>
          <w:tcPr>
            <w:tcW w:w="2592" w:type="pct"/>
            <w:vMerge w:val="restart"/>
            <w:tcBorders>
              <w:tl2br w:val="nil"/>
              <w:tr2bl w:val="nil"/>
            </w:tcBorders>
            <w:vAlign w:val="center"/>
          </w:tcPr>
          <w:p w14:paraId="4834426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《建筑施工噪声排放标准》（GB12523-2025）中表1建筑施工场界环境噪声排放限值</w:t>
            </w:r>
          </w:p>
        </w:tc>
        <w:tc>
          <w:tcPr>
            <w:tcW w:w="699" w:type="pct"/>
            <w:vMerge w:val="restart"/>
            <w:tcBorders>
              <w:tl2br w:val="nil"/>
              <w:tr2bl w:val="nil"/>
            </w:tcBorders>
            <w:vAlign w:val="center"/>
          </w:tcPr>
          <w:p w14:paraId="7CA6BE4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施工期</w:t>
            </w:r>
          </w:p>
        </w:tc>
        <w:tc>
          <w:tcPr>
            <w:tcW w:w="509" w:type="pct"/>
            <w:vMerge w:val="restart"/>
            <w:tcBorders>
              <w:tl2br w:val="nil"/>
              <w:tr2bl w:val="nil"/>
            </w:tcBorders>
            <w:vAlign w:val="center"/>
          </w:tcPr>
          <w:p w14:paraId="338DBB7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dB（A）</w:t>
            </w:r>
          </w:p>
        </w:tc>
        <w:tc>
          <w:tcPr>
            <w:tcW w:w="795" w:type="pct"/>
            <w:tcBorders>
              <w:tl2br w:val="nil"/>
              <w:tr2bl w:val="nil"/>
            </w:tcBorders>
            <w:shd w:val="clear" w:color="auto" w:fill="auto"/>
            <w:vAlign w:val="center"/>
          </w:tcPr>
          <w:p w14:paraId="2CC9A66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rPr>
              <w:t>昼间</w:t>
            </w:r>
          </w:p>
        </w:tc>
        <w:tc>
          <w:tcPr>
            <w:tcW w:w="402" w:type="pct"/>
            <w:tcBorders>
              <w:tl2br w:val="nil"/>
              <w:tr2bl w:val="nil"/>
            </w:tcBorders>
            <w:shd w:val="clear" w:color="auto" w:fill="auto"/>
            <w:vAlign w:val="center"/>
          </w:tcPr>
          <w:p w14:paraId="4586ACB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rPr>
              <w:t>70</w:t>
            </w:r>
          </w:p>
        </w:tc>
      </w:tr>
      <w:tr w14:paraId="4E0EE7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cantSplit/>
          <w:trHeight w:val="0" w:hRule="atLeast"/>
          <w:jc w:val="center"/>
        </w:trPr>
        <w:tc>
          <w:tcPr>
            <w:tcW w:w="2592" w:type="pct"/>
            <w:vMerge w:val="continue"/>
            <w:tcBorders>
              <w:tl2br w:val="nil"/>
              <w:tr2bl w:val="nil"/>
            </w:tcBorders>
            <w:vAlign w:val="center"/>
          </w:tcPr>
          <w:p w14:paraId="0A9559F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699" w:type="pct"/>
            <w:vMerge w:val="continue"/>
            <w:tcBorders>
              <w:tl2br w:val="nil"/>
              <w:tr2bl w:val="nil"/>
            </w:tcBorders>
            <w:vAlign w:val="center"/>
          </w:tcPr>
          <w:p w14:paraId="076D150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509" w:type="pct"/>
            <w:vMerge w:val="continue"/>
            <w:tcBorders>
              <w:tl2br w:val="nil"/>
              <w:tr2bl w:val="nil"/>
            </w:tcBorders>
            <w:vAlign w:val="center"/>
          </w:tcPr>
          <w:p w14:paraId="43E836B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795" w:type="pct"/>
            <w:tcBorders>
              <w:tl2br w:val="nil"/>
              <w:tr2bl w:val="nil"/>
            </w:tcBorders>
            <w:shd w:val="clear" w:color="auto" w:fill="auto"/>
            <w:vAlign w:val="center"/>
          </w:tcPr>
          <w:p w14:paraId="40FDECD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rPr>
              <w:t>夜间</w:t>
            </w:r>
          </w:p>
        </w:tc>
        <w:tc>
          <w:tcPr>
            <w:tcW w:w="402" w:type="pct"/>
            <w:tcBorders>
              <w:tl2br w:val="nil"/>
              <w:tr2bl w:val="nil"/>
            </w:tcBorders>
            <w:shd w:val="clear" w:color="auto" w:fill="auto"/>
            <w:vAlign w:val="center"/>
          </w:tcPr>
          <w:p w14:paraId="1FCF648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rPr>
              <w:t>55</w:t>
            </w:r>
          </w:p>
        </w:tc>
      </w:tr>
      <w:tr w14:paraId="5203C8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cantSplit/>
          <w:trHeight w:val="0" w:hRule="atLeast"/>
          <w:jc w:val="center"/>
        </w:trPr>
        <w:tc>
          <w:tcPr>
            <w:tcW w:w="2592" w:type="pct"/>
            <w:vMerge w:val="restart"/>
            <w:tcBorders>
              <w:tl2br w:val="nil"/>
              <w:tr2bl w:val="nil"/>
            </w:tcBorders>
            <w:vAlign w:val="center"/>
          </w:tcPr>
          <w:p w14:paraId="735FD65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《工业企业厂界环境噪声排放标准》</w:t>
            </w:r>
          </w:p>
          <w:p w14:paraId="5E6D3F3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（GB12348-2008）表1中</w:t>
            </w:r>
            <w:r>
              <w:rPr>
                <w:rFonts w:hint="default"/>
                <w:color w:val="auto"/>
                <w:spacing w:val="0"/>
                <w:w w:val="100"/>
                <w:position w:val="0"/>
                <w:highlight w:val="none"/>
                <w:lang w:val="en-US" w:eastAsia="zh-CN"/>
              </w:rPr>
              <w:t>3</w:t>
            </w:r>
            <w:r>
              <w:rPr>
                <w:rFonts w:hint="default"/>
                <w:color w:val="auto"/>
                <w:spacing w:val="0"/>
                <w:w w:val="100"/>
                <w:position w:val="0"/>
                <w:highlight w:val="none"/>
              </w:rPr>
              <w:t>类区标准限值</w:t>
            </w:r>
          </w:p>
        </w:tc>
        <w:tc>
          <w:tcPr>
            <w:tcW w:w="699" w:type="pct"/>
            <w:vMerge w:val="restart"/>
            <w:tcBorders>
              <w:tl2br w:val="nil"/>
              <w:tr2bl w:val="nil"/>
            </w:tcBorders>
            <w:vAlign w:val="center"/>
          </w:tcPr>
          <w:p w14:paraId="718CA89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运营期</w:t>
            </w:r>
          </w:p>
        </w:tc>
        <w:tc>
          <w:tcPr>
            <w:tcW w:w="509" w:type="pct"/>
            <w:vMerge w:val="continue"/>
            <w:tcBorders>
              <w:tl2br w:val="nil"/>
              <w:tr2bl w:val="nil"/>
            </w:tcBorders>
            <w:vAlign w:val="center"/>
          </w:tcPr>
          <w:p w14:paraId="289E9E5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795" w:type="pct"/>
            <w:tcBorders>
              <w:tl2br w:val="nil"/>
              <w:tr2bl w:val="nil"/>
            </w:tcBorders>
            <w:shd w:val="clear" w:color="auto" w:fill="auto"/>
            <w:vAlign w:val="center"/>
          </w:tcPr>
          <w:p w14:paraId="7EC19EB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rPr>
              <w:t>昼间</w:t>
            </w:r>
          </w:p>
        </w:tc>
        <w:tc>
          <w:tcPr>
            <w:tcW w:w="402" w:type="pct"/>
            <w:tcBorders>
              <w:tl2br w:val="nil"/>
              <w:tr2bl w:val="nil"/>
            </w:tcBorders>
            <w:shd w:val="clear" w:color="auto" w:fill="auto"/>
            <w:vAlign w:val="center"/>
          </w:tcPr>
          <w:p w14:paraId="4E2B7FD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rPr>
              <w:t>6</w:t>
            </w:r>
            <w:r>
              <w:rPr>
                <w:rFonts w:hint="default"/>
                <w:color w:val="auto"/>
                <w:spacing w:val="0"/>
                <w:w w:val="100"/>
                <w:position w:val="0"/>
                <w:highlight w:val="none"/>
                <w:lang w:val="en-US" w:eastAsia="zh-CN"/>
              </w:rPr>
              <w:t>5</w:t>
            </w:r>
          </w:p>
        </w:tc>
      </w:tr>
      <w:tr w14:paraId="533B66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cantSplit/>
          <w:trHeight w:val="0" w:hRule="atLeast"/>
          <w:jc w:val="center"/>
        </w:trPr>
        <w:tc>
          <w:tcPr>
            <w:tcW w:w="2592" w:type="pct"/>
            <w:vMerge w:val="continue"/>
            <w:tcBorders>
              <w:tl2br w:val="nil"/>
              <w:tr2bl w:val="nil"/>
            </w:tcBorders>
            <w:vAlign w:val="center"/>
          </w:tcPr>
          <w:p w14:paraId="44194CB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699" w:type="pct"/>
            <w:vMerge w:val="continue"/>
            <w:tcBorders>
              <w:tl2br w:val="nil"/>
              <w:tr2bl w:val="nil"/>
            </w:tcBorders>
            <w:vAlign w:val="center"/>
          </w:tcPr>
          <w:p w14:paraId="2383DF3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509" w:type="pct"/>
            <w:vMerge w:val="continue"/>
            <w:tcBorders>
              <w:tl2br w:val="nil"/>
              <w:tr2bl w:val="nil"/>
            </w:tcBorders>
            <w:vAlign w:val="center"/>
          </w:tcPr>
          <w:p w14:paraId="56CCC54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795" w:type="pct"/>
            <w:tcBorders>
              <w:tl2br w:val="nil"/>
              <w:tr2bl w:val="nil"/>
            </w:tcBorders>
            <w:shd w:val="clear" w:color="auto" w:fill="auto"/>
            <w:vAlign w:val="center"/>
          </w:tcPr>
          <w:p w14:paraId="5A13666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rPr>
              <w:t>夜间</w:t>
            </w:r>
          </w:p>
        </w:tc>
        <w:tc>
          <w:tcPr>
            <w:tcW w:w="402" w:type="pct"/>
            <w:tcBorders>
              <w:tl2br w:val="nil"/>
              <w:tr2bl w:val="nil"/>
            </w:tcBorders>
            <w:shd w:val="clear" w:color="auto" w:fill="auto"/>
            <w:vAlign w:val="center"/>
          </w:tcPr>
          <w:p w14:paraId="51E69AC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rPr>
              <w:t>5</w:t>
            </w:r>
            <w:r>
              <w:rPr>
                <w:rFonts w:hint="default"/>
                <w:color w:val="auto"/>
                <w:spacing w:val="0"/>
                <w:w w:val="100"/>
                <w:position w:val="0"/>
                <w:highlight w:val="none"/>
                <w:lang w:val="en-US" w:eastAsia="zh-CN"/>
              </w:rPr>
              <w:t>5</w:t>
            </w:r>
          </w:p>
        </w:tc>
      </w:tr>
    </w:tbl>
    <w:p w14:paraId="5C6AF25C">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92" w:name="_Toc16096"/>
      <w:bookmarkStart w:id="193" w:name="_Toc3800"/>
      <w:bookmarkStart w:id="194" w:name="_Toc24598"/>
      <w:bookmarkStart w:id="195" w:name="_Toc13278"/>
      <w:r>
        <w:rPr>
          <w:rFonts w:hint="default"/>
          <w:color w:val="auto"/>
          <w:spacing w:val="0"/>
          <w:w w:val="100"/>
          <w:position w:val="0"/>
          <w:highlight w:val="none"/>
          <w:lang w:val="en-US" w:eastAsia="zh-CN"/>
        </w:rPr>
        <w:t>2.6.2.4固体废物控制标准</w:t>
      </w:r>
      <w:bookmarkEnd w:id="192"/>
      <w:bookmarkEnd w:id="193"/>
      <w:bookmarkEnd w:id="194"/>
      <w:bookmarkEnd w:id="195"/>
    </w:p>
    <w:p w14:paraId="3A784320">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r>
        <w:rPr>
          <w:rFonts w:hint="default"/>
          <w:color w:val="auto"/>
          <w:spacing w:val="0"/>
          <w:w w:val="100"/>
          <w:position w:val="0"/>
          <w:highlight w:val="none"/>
        </w:rPr>
        <w:t>一般固废执行《一般工业固体废物贮存和填埋污染控制标准》（GB18599-2020）标准要求；危险废物执行《危险废物贮存污染控制标准》（GB18597-2023）。</w:t>
      </w:r>
    </w:p>
    <w:p w14:paraId="38440DDB">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p>
    <w:p w14:paraId="4B023DFF">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sectPr>
          <w:pgSz w:w="11905" w:h="16838"/>
          <w:pgMar w:top="1531" w:right="1531" w:bottom="1531" w:left="1531" w:header="850" w:footer="850" w:gutter="0"/>
          <w:pgBorders>
            <w:top w:val="none" w:sz="0" w:space="0"/>
            <w:left w:val="none" w:sz="0" w:space="0"/>
            <w:bottom w:val="none" w:sz="0" w:space="0"/>
            <w:right w:val="none" w:sz="0" w:space="0"/>
          </w:pgBorders>
          <w:pgNumType w:fmt="decimal"/>
          <w:cols w:space="0" w:num="1"/>
          <w:rtlGutter w:val="0"/>
          <w:docGrid w:linePitch="312" w:charSpace="0"/>
        </w:sectPr>
      </w:pPr>
    </w:p>
    <w:p w14:paraId="75938F35">
      <w:pPr>
        <w:pStyle w:val="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96" w:name="_Toc9914"/>
      <w:bookmarkStart w:id="197" w:name="_Toc11700"/>
      <w:r>
        <w:rPr>
          <w:rFonts w:hint="default"/>
          <w:color w:val="auto"/>
          <w:spacing w:val="0"/>
          <w:w w:val="100"/>
          <w:position w:val="0"/>
          <w:highlight w:val="none"/>
          <w:lang w:val="en-US" w:eastAsia="zh-CN"/>
        </w:rPr>
        <w:t>3建设项目工程分析</w:t>
      </w:r>
      <w:bookmarkEnd w:id="196"/>
      <w:bookmarkEnd w:id="197"/>
    </w:p>
    <w:p w14:paraId="43D47172">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98" w:name="_Toc18193"/>
      <w:bookmarkStart w:id="199" w:name="_Toc6560"/>
      <w:r>
        <w:rPr>
          <w:rFonts w:hint="default"/>
          <w:color w:val="auto"/>
          <w:spacing w:val="0"/>
          <w:w w:val="100"/>
          <w:position w:val="0"/>
          <w:highlight w:val="none"/>
          <w:lang w:val="en-US" w:eastAsia="zh-CN"/>
        </w:rPr>
        <w:t>3.1项目概况</w:t>
      </w:r>
      <w:bookmarkEnd w:id="198"/>
      <w:bookmarkEnd w:id="199"/>
    </w:p>
    <w:p w14:paraId="6D9442DC">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200" w:name="_Toc11636"/>
      <w:r>
        <w:rPr>
          <w:rFonts w:hint="default"/>
          <w:color w:val="auto"/>
          <w:spacing w:val="0"/>
          <w:w w:val="100"/>
          <w:position w:val="0"/>
          <w:highlight w:val="none"/>
          <w:lang w:val="en-US" w:eastAsia="zh-CN"/>
        </w:rPr>
        <w:t>3.1.1基本概况</w:t>
      </w:r>
      <w:bookmarkEnd w:id="200"/>
    </w:p>
    <w:p w14:paraId="3C5C744F">
      <w:pPr>
        <w:pStyle w:val="32"/>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（1）项目名称：</w:t>
      </w:r>
      <w:r>
        <w:rPr>
          <w:rFonts w:hint="eastAsia"/>
          <w:color w:val="auto"/>
          <w:spacing w:val="0"/>
          <w:w w:val="100"/>
          <w:position w:val="0"/>
          <w:highlight w:val="none"/>
          <w:lang w:val="en-US" w:eastAsia="zh-CN"/>
        </w:rPr>
        <w:t>新疆吉宸建材有限公司建设年产120万平方米铝塑复合板生产线项目</w:t>
      </w:r>
      <w:r>
        <w:rPr>
          <w:rFonts w:hint="default"/>
          <w:color w:val="auto"/>
          <w:spacing w:val="0"/>
          <w:w w:val="100"/>
          <w:position w:val="0"/>
          <w:highlight w:val="none"/>
          <w:lang w:val="en-US" w:eastAsia="zh-CN"/>
        </w:rPr>
        <w:t>；</w:t>
      </w:r>
    </w:p>
    <w:p w14:paraId="61E857FE">
      <w:pPr>
        <w:pStyle w:val="32"/>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（2）建设单位：</w:t>
      </w:r>
      <w:r>
        <w:rPr>
          <w:rFonts w:hint="eastAsia"/>
          <w:color w:val="auto"/>
          <w:spacing w:val="0"/>
          <w:w w:val="100"/>
          <w:position w:val="0"/>
          <w:highlight w:val="none"/>
          <w:lang w:val="en-US" w:eastAsia="zh-CN"/>
        </w:rPr>
        <w:t>新疆吉宸建材有限公司</w:t>
      </w:r>
      <w:r>
        <w:rPr>
          <w:rFonts w:hint="default"/>
          <w:color w:val="auto"/>
          <w:spacing w:val="0"/>
          <w:w w:val="100"/>
          <w:position w:val="0"/>
          <w:highlight w:val="none"/>
          <w:lang w:val="en-US" w:eastAsia="zh-CN"/>
        </w:rPr>
        <w:t>；</w:t>
      </w:r>
    </w:p>
    <w:p w14:paraId="48148E2A">
      <w:pPr>
        <w:pStyle w:val="32"/>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（3）建设性质：新建；</w:t>
      </w:r>
    </w:p>
    <w:p w14:paraId="4158BBEB">
      <w:pPr>
        <w:pStyle w:val="32"/>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（4）地理位置：本</w:t>
      </w:r>
      <w:r>
        <w:rPr>
          <w:rFonts w:hint="eastAsia"/>
          <w:color w:val="auto"/>
          <w:spacing w:val="0"/>
          <w:w w:val="100"/>
          <w:position w:val="0"/>
          <w:highlight w:val="none"/>
          <w:lang w:val="en-US" w:eastAsia="zh-CN"/>
        </w:rPr>
        <w:t>项目位于</w:t>
      </w:r>
      <w:r>
        <w:rPr>
          <w:rFonts w:hint="eastAsia" w:cs="Times New Roman"/>
          <w:caps w:val="0"/>
          <w:snapToGrid/>
          <w:color w:val="auto"/>
          <w:spacing w:val="0"/>
          <w:w w:val="100"/>
          <w:kern w:val="21"/>
          <w:position w:val="0"/>
          <w:sz w:val="24"/>
          <w:szCs w:val="24"/>
          <w:highlight w:val="none"/>
          <w:lang w:eastAsia="zh-CN"/>
        </w:rPr>
        <w:t>甘泉堡工业园区中小微企业创新区</w:t>
      </w:r>
      <w:r>
        <w:rPr>
          <w:rFonts w:hint="eastAsia"/>
          <w:color w:val="auto"/>
          <w:spacing w:val="0"/>
          <w:w w:val="100"/>
          <w:position w:val="0"/>
          <w:highlight w:val="none"/>
          <w:lang w:val="en-US" w:eastAsia="zh-CN"/>
        </w:rPr>
        <w:t>，厂区东侧、南侧、西侧均为园区生产厂房，北侧为阜锦路，地理位置坐标为：</w:t>
      </w:r>
      <w:r>
        <w:rPr>
          <w:rFonts w:hint="default" w:ascii="Times New Roman" w:hAnsi="Times New Roman" w:cs="Times New Roman"/>
          <w:color w:val="auto"/>
          <w:spacing w:val="0"/>
          <w:w w:val="100"/>
          <w:position w:val="0"/>
          <w:highlight w:val="none"/>
          <w:lang w:val="en-US" w:eastAsia="zh-CN"/>
        </w:rPr>
        <w:t>东经87°50'39.048"，北纬44°09'44.799"</w:t>
      </w:r>
      <w:r>
        <w:rPr>
          <w:rFonts w:hint="eastAsia" w:cs="Times New Roman"/>
          <w:color w:val="auto"/>
          <w:spacing w:val="0"/>
          <w:w w:val="100"/>
          <w:position w:val="0"/>
          <w:highlight w:val="none"/>
          <w:lang w:val="en-US" w:eastAsia="zh-CN"/>
        </w:rPr>
        <w:t>。</w:t>
      </w:r>
      <w:r>
        <w:rPr>
          <w:rFonts w:hint="default"/>
          <w:color w:val="auto"/>
          <w:spacing w:val="0"/>
          <w:w w:val="100"/>
          <w:position w:val="0"/>
          <w:highlight w:val="none"/>
          <w:lang w:val="en-US" w:eastAsia="zh-CN"/>
        </w:rPr>
        <w:t>地理位置图见图3.1</w:t>
      </w:r>
      <w:r>
        <w:rPr>
          <w:rFonts w:hint="eastAsia"/>
          <w:color w:val="auto"/>
          <w:spacing w:val="0"/>
          <w:w w:val="100"/>
          <w:position w:val="0"/>
          <w:highlight w:val="none"/>
          <w:lang w:val="en-US" w:eastAsia="zh-CN"/>
        </w:rPr>
        <w:t>.1</w:t>
      </w:r>
      <w:r>
        <w:rPr>
          <w:rFonts w:hint="default"/>
          <w:color w:val="auto"/>
          <w:spacing w:val="0"/>
          <w:w w:val="100"/>
          <w:position w:val="0"/>
          <w:highlight w:val="none"/>
          <w:lang w:val="en-US" w:eastAsia="zh-CN"/>
        </w:rPr>
        <w:t>-1；</w:t>
      </w:r>
      <w:r>
        <w:rPr>
          <w:rFonts w:hint="eastAsia"/>
          <w:color w:val="auto"/>
          <w:spacing w:val="0"/>
          <w:w w:val="100"/>
          <w:position w:val="0"/>
          <w:highlight w:val="none"/>
          <w:lang w:val="en-US" w:eastAsia="zh-CN"/>
        </w:rPr>
        <w:t>项目所在地项目区卫星影像及周边关系图</w:t>
      </w:r>
      <w:r>
        <w:rPr>
          <w:rFonts w:hint="default"/>
          <w:color w:val="auto"/>
          <w:spacing w:val="0"/>
          <w:w w:val="100"/>
          <w:position w:val="0"/>
          <w:highlight w:val="none"/>
          <w:lang w:val="en-US" w:eastAsia="zh-CN"/>
        </w:rPr>
        <w:t>见图3.1</w:t>
      </w:r>
      <w:r>
        <w:rPr>
          <w:rFonts w:hint="eastAsia"/>
          <w:color w:val="auto"/>
          <w:spacing w:val="0"/>
          <w:w w:val="100"/>
          <w:position w:val="0"/>
          <w:highlight w:val="none"/>
          <w:lang w:val="en-US" w:eastAsia="zh-CN"/>
        </w:rPr>
        <w:t>.1</w:t>
      </w:r>
      <w:r>
        <w:rPr>
          <w:rFonts w:hint="default"/>
          <w:color w:val="auto"/>
          <w:spacing w:val="0"/>
          <w:w w:val="100"/>
          <w:position w:val="0"/>
          <w:highlight w:val="none"/>
          <w:lang w:val="en-US" w:eastAsia="zh-CN"/>
        </w:rPr>
        <w:t>-</w:t>
      </w:r>
      <w:r>
        <w:rPr>
          <w:rFonts w:hint="eastAsia"/>
          <w:color w:val="auto"/>
          <w:spacing w:val="0"/>
          <w:w w:val="100"/>
          <w:position w:val="0"/>
          <w:highlight w:val="none"/>
          <w:lang w:val="en-US" w:eastAsia="zh-CN"/>
        </w:rPr>
        <w:t>2</w:t>
      </w:r>
      <w:r>
        <w:rPr>
          <w:rFonts w:hint="default"/>
          <w:color w:val="auto"/>
          <w:spacing w:val="0"/>
          <w:w w:val="100"/>
          <w:position w:val="0"/>
          <w:highlight w:val="none"/>
          <w:lang w:val="en-US" w:eastAsia="zh-CN"/>
        </w:rPr>
        <w:t>。</w:t>
      </w:r>
    </w:p>
    <w:p w14:paraId="20104771">
      <w:pPr>
        <w:pStyle w:val="32"/>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color w:val="auto"/>
          <w:spacing w:val="0"/>
          <w:w w:val="100"/>
          <w:position w:val="0"/>
          <w:highlight w:val="none"/>
          <w:lang w:val="en-US" w:eastAsia="zh-CN"/>
        </w:rPr>
      </w:pPr>
      <w:r>
        <w:rPr>
          <w:rFonts w:hint="default" w:ascii="Times New Roman" w:hAnsi="Times New Roman" w:eastAsia="宋体" w:cstheme="minorBidi"/>
          <w:color w:val="auto"/>
          <w:spacing w:val="0"/>
          <w:w w:val="100"/>
          <w:kern w:val="2"/>
          <w:position w:val="0"/>
          <w:sz w:val="24"/>
          <w:szCs w:val="24"/>
          <w:highlight w:val="none"/>
          <w:lang w:val="en-US" w:eastAsia="zh-CN" w:bidi="ar-SA"/>
        </w:rPr>
        <w:t>（5）</w:t>
      </w:r>
      <w:r>
        <w:rPr>
          <w:rFonts w:hint="default"/>
          <w:color w:val="auto"/>
          <w:spacing w:val="0"/>
          <w:w w:val="100"/>
          <w:position w:val="0"/>
          <w:highlight w:val="none"/>
          <w:lang w:val="en-US" w:eastAsia="zh-CN"/>
        </w:rPr>
        <w:t>项目投资：本</w:t>
      </w:r>
      <w:r>
        <w:rPr>
          <w:rFonts w:hint="eastAsia"/>
          <w:color w:val="auto"/>
          <w:spacing w:val="0"/>
          <w:w w:val="100"/>
          <w:position w:val="0"/>
          <w:highlight w:val="none"/>
          <w:lang w:val="en-US" w:eastAsia="zh-CN"/>
        </w:rPr>
        <w:t>项目总投资1000万元，资金来源为企业自筹</w:t>
      </w:r>
      <w:r>
        <w:rPr>
          <w:rFonts w:hint="default"/>
          <w:color w:val="auto"/>
          <w:spacing w:val="0"/>
          <w:w w:val="100"/>
          <w:position w:val="0"/>
          <w:highlight w:val="none"/>
          <w:lang w:val="en-US" w:eastAsia="zh-CN"/>
        </w:rPr>
        <w:t>。</w:t>
      </w:r>
    </w:p>
    <w:p w14:paraId="19D8D4EA">
      <w:pPr>
        <w:pStyle w:val="32"/>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color w:val="auto"/>
          <w:spacing w:val="0"/>
          <w:w w:val="100"/>
          <w:position w:val="0"/>
          <w:highlight w:val="none"/>
          <w:lang w:val="en-US" w:eastAsia="zh-CN"/>
        </w:rPr>
      </w:pPr>
      <w:r>
        <w:rPr>
          <w:rFonts w:hint="default" w:ascii="Times New Roman" w:hAnsi="Times New Roman" w:eastAsia="宋体" w:cstheme="minorBidi"/>
          <w:color w:val="auto"/>
          <w:spacing w:val="0"/>
          <w:w w:val="100"/>
          <w:kern w:val="2"/>
          <w:position w:val="0"/>
          <w:sz w:val="24"/>
          <w:szCs w:val="24"/>
          <w:highlight w:val="none"/>
          <w:lang w:val="en-US" w:eastAsia="zh-CN" w:bidi="ar-SA"/>
        </w:rPr>
        <w:t>（6）</w:t>
      </w:r>
      <w:r>
        <w:rPr>
          <w:rFonts w:hint="default"/>
          <w:color w:val="auto"/>
          <w:spacing w:val="0"/>
          <w:w w:val="100"/>
          <w:position w:val="0"/>
          <w:highlight w:val="none"/>
          <w:lang w:val="en-US" w:eastAsia="zh-CN"/>
        </w:rPr>
        <w:t>建设周期：项目总建设周期为</w:t>
      </w:r>
      <w:r>
        <w:rPr>
          <w:rFonts w:hint="eastAsia"/>
          <w:color w:val="auto"/>
          <w:spacing w:val="0"/>
          <w:w w:val="100"/>
          <w:position w:val="0"/>
          <w:highlight w:val="none"/>
          <w:lang w:val="en-US" w:eastAsia="zh-CN"/>
        </w:rPr>
        <w:t>12个月。</w:t>
      </w:r>
    </w:p>
    <w:p w14:paraId="3069530F">
      <w:pPr>
        <w:pStyle w:val="32"/>
        <w:keepNext w:val="0"/>
        <w:keepLines w:val="0"/>
        <w:pageBreakBefore w:val="0"/>
        <w:widowControl w:val="0"/>
        <w:numPr>
          <w:ilvl w:val="0"/>
          <w:numId w:val="0"/>
        </w:numPr>
        <w:kinsoku/>
        <w:wordWrap/>
        <w:overflowPunct/>
        <w:topLinePunct w:val="0"/>
        <w:autoSpaceDE/>
        <w:autoSpaceDN/>
        <w:bidi w:val="0"/>
        <w:adjustRightInd/>
        <w:snapToGrid/>
        <w:ind w:firstLine="480" w:firstLineChars="200"/>
        <w:rPr>
          <w:rFonts w:hint="default"/>
          <w:color w:val="auto"/>
          <w:spacing w:val="0"/>
          <w:w w:val="100"/>
          <w:position w:val="0"/>
          <w:highlight w:val="none"/>
          <w:lang w:val="en-US" w:eastAsia="zh-CN"/>
        </w:rPr>
      </w:pPr>
      <w:r>
        <w:rPr>
          <w:rFonts w:hint="default" w:ascii="Times New Roman" w:hAnsi="Times New Roman" w:eastAsia="宋体" w:cstheme="minorBidi"/>
          <w:color w:val="auto"/>
          <w:spacing w:val="0"/>
          <w:w w:val="100"/>
          <w:kern w:val="2"/>
          <w:position w:val="0"/>
          <w:sz w:val="24"/>
          <w:szCs w:val="24"/>
          <w:highlight w:val="none"/>
          <w:lang w:val="en-US" w:eastAsia="zh-CN" w:bidi="ar-SA"/>
        </w:rPr>
        <w:t>（7）</w:t>
      </w:r>
      <w:r>
        <w:rPr>
          <w:rFonts w:hint="default"/>
          <w:color w:val="auto"/>
          <w:spacing w:val="0"/>
          <w:w w:val="100"/>
          <w:position w:val="0"/>
          <w:highlight w:val="none"/>
          <w:lang w:val="en-US" w:eastAsia="zh-CN"/>
        </w:rPr>
        <w:t>劳动定员及工作制度：</w:t>
      </w:r>
      <w:bookmarkStart w:id="201" w:name="OLE_LINK11"/>
      <w:r>
        <w:rPr>
          <w:rFonts w:hint="eastAsia"/>
          <w:color w:val="auto"/>
          <w:spacing w:val="0"/>
          <w:w w:val="100"/>
          <w:position w:val="0"/>
          <w:highlight w:val="none"/>
          <w:lang w:val="en-US" w:eastAsia="zh-CN"/>
        </w:rPr>
        <w:t>本项目劳动定员为55人；</w:t>
      </w:r>
      <w:bookmarkEnd w:id="201"/>
      <w:bookmarkStart w:id="202" w:name="OLE_LINK7"/>
      <w:r>
        <w:rPr>
          <w:rFonts w:hint="eastAsia"/>
          <w:color w:val="auto"/>
          <w:spacing w:val="0"/>
          <w:w w:val="100"/>
          <w:position w:val="0"/>
          <w:highlight w:val="none"/>
          <w:lang w:val="en-US" w:eastAsia="zh-CN"/>
        </w:rPr>
        <w:t>实行二班制，每班8h，年运行天数为300天，全年工作4800小时。</w:t>
      </w:r>
    </w:p>
    <w:bookmarkEnd w:id="202"/>
    <w:p w14:paraId="094D3BB4">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w:t>
      </w:r>
      <w:r>
        <w:rPr>
          <w:rFonts w:hint="eastAsia"/>
          <w:color w:val="auto"/>
          <w:spacing w:val="0"/>
          <w:w w:val="100"/>
          <w:position w:val="0"/>
          <w:highlight w:val="none"/>
          <w:lang w:val="en-US" w:eastAsia="zh-CN"/>
        </w:rPr>
        <w:t>8</w:t>
      </w:r>
      <w:r>
        <w:rPr>
          <w:rFonts w:hint="default"/>
          <w:color w:val="auto"/>
          <w:spacing w:val="0"/>
          <w:w w:val="100"/>
          <w:position w:val="0"/>
          <w:highlight w:val="none"/>
          <w:lang w:val="en-US" w:eastAsia="zh-CN"/>
        </w:rPr>
        <w:t>）建设内容及规模：本项目</w:t>
      </w:r>
      <w:r>
        <w:rPr>
          <w:rFonts w:hint="eastAsia"/>
          <w:color w:val="auto"/>
          <w:spacing w:val="0"/>
          <w:w w:val="100"/>
          <w:position w:val="0"/>
          <w:highlight w:val="none"/>
          <w:lang w:val="en-US" w:eastAsia="zh-CN"/>
        </w:rPr>
        <w:t>租赁</w:t>
      </w:r>
      <w:r>
        <w:rPr>
          <w:rFonts w:hint="default" w:ascii="Times New Roman" w:hAnsi="Times New Roman" w:cs="Times New Roman"/>
          <w:color w:val="auto"/>
          <w:spacing w:val="0"/>
          <w:sz w:val="24"/>
        </w:rPr>
        <w:t>新疆鑫古龙建材有限责任</w:t>
      </w:r>
      <w:r>
        <w:rPr>
          <w:rFonts w:hint="eastAsia" w:ascii="Times New Roman" w:hAnsi="Times New Roman" w:cs="Times New Roman"/>
          <w:color w:val="auto"/>
          <w:spacing w:val="0"/>
          <w:sz w:val="24"/>
          <w:lang w:val="en-US" w:eastAsia="zh-CN"/>
        </w:rPr>
        <w:t>公司生产</w:t>
      </w:r>
      <w:r>
        <w:rPr>
          <w:rFonts w:hint="eastAsia"/>
          <w:color w:val="auto"/>
          <w:spacing w:val="0"/>
          <w:w w:val="100"/>
          <w:position w:val="0"/>
          <w:highlight w:val="none"/>
          <w:lang w:val="en-US" w:eastAsia="zh-CN"/>
        </w:rPr>
        <w:t>厂房中空置区域，面积约2800m</w:t>
      </w:r>
      <w:r>
        <w:rPr>
          <w:rFonts w:hint="eastAsia"/>
          <w:color w:val="auto"/>
          <w:spacing w:val="0"/>
          <w:w w:val="100"/>
          <w:position w:val="0"/>
          <w:highlight w:val="none"/>
          <w:vertAlign w:val="superscript"/>
          <w:lang w:val="en-US" w:eastAsia="zh-CN"/>
        </w:rPr>
        <w:t>2</w:t>
      </w:r>
      <w:r>
        <w:rPr>
          <w:rFonts w:hint="eastAsia"/>
          <w:color w:val="auto"/>
          <w:spacing w:val="0"/>
          <w:w w:val="100"/>
          <w:position w:val="0"/>
          <w:highlight w:val="none"/>
          <w:lang w:val="en-US" w:eastAsia="zh-CN"/>
        </w:rPr>
        <w:t>，新购置安装铝塑复合板生产线3条，建成运行后</w:t>
      </w:r>
      <w:bookmarkStart w:id="203" w:name="OLE_LINK4"/>
      <w:r>
        <w:rPr>
          <w:rFonts w:hint="eastAsia"/>
          <w:color w:val="auto"/>
          <w:spacing w:val="0"/>
          <w:w w:val="100"/>
          <w:position w:val="0"/>
          <w:highlight w:val="none"/>
          <w:lang w:val="en-US" w:eastAsia="zh-CN"/>
        </w:rPr>
        <w:t>年产120万平方米铝塑复合板</w:t>
      </w:r>
      <w:bookmarkEnd w:id="203"/>
      <w:r>
        <w:rPr>
          <w:rFonts w:hint="eastAsia"/>
          <w:color w:val="auto"/>
          <w:spacing w:val="0"/>
          <w:w w:val="100"/>
          <w:position w:val="0"/>
          <w:highlight w:val="none"/>
          <w:lang w:val="en-US" w:eastAsia="zh-CN"/>
        </w:rPr>
        <w:t>。</w:t>
      </w:r>
    </w:p>
    <w:p w14:paraId="5545A45B">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本项目主要建设内容见表3.1</w:t>
      </w:r>
      <w:r>
        <w:rPr>
          <w:rFonts w:hint="eastAsia"/>
          <w:color w:val="auto"/>
          <w:spacing w:val="0"/>
          <w:w w:val="100"/>
          <w:position w:val="0"/>
          <w:highlight w:val="none"/>
          <w:lang w:val="en-US" w:eastAsia="zh-CN"/>
        </w:rPr>
        <w:t>.1</w:t>
      </w:r>
      <w:r>
        <w:rPr>
          <w:rFonts w:hint="default"/>
          <w:color w:val="auto"/>
          <w:spacing w:val="0"/>
          <w:w w:val="100"/>
          <w:position w:val="0"/>
          <w:highlight w:val="none"/>
          <w:lang w:val="en-US" w:eastAsia="zh-CN"/>
        </w:rPr>
        <w:t>-1。</w:t>
      </w:r>
    </w:p>
    <w:p w14:paraId="505970C5">
      <w:pPr>
        <w:pStyle w:val="3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r>
        <w:rPr>
          <w:rFonts w:hint="default"/>
          <w:color w:val="auto"/>
          <w:spacing w:val="0"/>
          <w:w w:val="100"/>
          <w:position w:val="0"/>
          <w:highlight w:val="none"/>
        </w:rPr>
        <w:t>表3.</w:t>
      </w:r>
      <w:r>
        <w:rPr>
          <w:rFonts w:hint="eastAsia"/>
          <w:color w:val="auto"/>
          <w:spacing w:val="0"/>
          <w:w w:val="100"/>
          <w:position w:val="0"/>
          <w:highlight w:val="none"/>
          <w:lang w:val="en-US" w:eastAsia="zh-CN"/>
        </w:rPr>
        <w:t>1.1-1</w:t>
      </w:r>
      <w:r>
        <w:rPr>
          <w:rFonts w:hint="default"/>
          <w:color w:val="auto"/>
          <w:spacing w:val="0"/>
          <w:w w:val="100"/>
          <w:position w:val="0"/>
          <w:highlight w:val="none"/>
        </w:rPr>
        <w:t xml:space="preserve">  项目建设内容一览表</w:t>
      </w:r>
    </w:p>
    <w:tbl>
      <w:tblPr>
        <w:tblStyle w:val="25"/>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autofit"/>
        <w:tblCellMar>
          <w:top w:w="57" w:type="dxa"/>
          <w:left w:w="57" w:type="dxa"/>
          <w:bottom w:w="57" w:type="dxa"/>
          <w:right w:w="57" w:type="dxa"/>
        </w:tblCellMar>
      </w:tblPr>
      <w:tblGrid>
        <w:gridCol w:w="583"/>
        <w:gridCol w:w="1154"/>
        <w:gridCol w:w="1012"/>
        <w:gridCol w:w="4612"/>
        <w:gridCol w:w="1056"/>
      </w:tblGrid>
      <w:tr w14:paraId="55CD82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57" w:type="dxa"/>
            <w:left w:w="57" w:type="dxa"/>
            <w:bottom w:w="57" w:type="dxa"/>
            <w:right w:w="57" w:type="dxa"/>
          </w:tblCellMar>
        </w:tblPrEx>
        <w:trPr>
          <w:jc w:val="center"/>
        </w:trPr>
        <w:tc>
          <w:tcPr>
            <w:tcW w:w="1031" w:type="pct"/>
            <w:gridSpan w:val="2"/>
            <w:tcBorders>
              <w:tl2br w:val="nil"/>
              <w:tr2bl w:val="nil"/>
            </w:tcBorders>
            <w:shd w:val="clear" w:color="auto" w:fill="auto"/>
            <w:vAlign w:val="center"/>
          </w:tcPr>
          <w:p w14:paraId="24985AB1">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b/>
                <w:bCs/>
                <w:color w:val="auto"/>
                <w:spacing w:val="0"/>
                <w:w w:val="100"/>
                <w:kern w:val="0"/>
                <w:position w:val="0"/>
                <w:sz w:val="21"/>
                <w:szCs w:val="21"/>
              </w:rPr>
            </w:pPr>
            <w:bookmarkStart w:id="204" w:name="_Toc31882"/>
            <w:r>
              <w:rPr>
                <w:rFonts w:hint="eastAsia" w:ascii="宋体" w:hAnsi="宋体" w:eastAsia="宋体" w:cs="宋体"/>
                <w:b/>
                <w:bCs/>
                <w:color w:val="auto"/>
                <w:spacing w:val="0"/>
                <w:w w:val="100"/>
                <w:kern w:val="0"/>
                <w:position w:val="0"/>
                <w:sz w:val="21"/>
                <w:szCs w:val="21"/>
                <w:lang w:val="en-US" w:eastAsia="zh-CN" w:bidi="ar"/>
              </w:rPr>
              <w:t>工程组成</w:t>
            </w:r>
          </w:p>
        </w:tc>
        <w:tc>
          <w:tcPr>
            <w:tcW w:w="3340" w:type="pct"/>
            <w:gridSpan w:val="2"/>
            <w:tcBorders>
              <w:tl2br w:val="nil"/>
              <w:tr2bl w:val="nil"/>
            </w:tcBorders>
            <w:shd w:val="clear" w:color="auto" w:fill="auto"/>
            <w:vAlign w:val="center"/>
          </w:tcPr>
          <w:p w14:paraId="4C8B1C47">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b/>
                <w:bCs/>
                <w:color w:val="auto"/>
                <w:spacing w:val="0"/>
                <w:w w:val="100"/>
                <w:kern w:val="0"/>
                <w:position w:val="0"/>
                <w:sz w:val="21"/>
                <w:szCs w:val="21"/>
              </w:rPr>
            </w:pPr>
            <w:r>
              <w:rPr>
                <w:rFonts w:hint="eastAsia" w:ascii="宋体" w:hAnsi="宋体" w:eastAsia="宋体" w:cs="宋体"/>
                <w:b/>
                <w:bCs/>
                <w:color w:val="auto"/>
                <w:spacing w:val="0"/>
                <w:w w:val="100"/>
                <w:kern w:val="0"/>
                <w:position w:val="0"/>
                <w:sz w:val="21"/>
                <w:szCs w:val="21"/>
                <w:lang w:val="en-US" w:eastAsia="zh-CN" w:bidi="ar"/>
              </w:rPr>
              <w:t>建设内容与规模</w:t>
            </w:r>
          </w:p>
        </w:tc>
        <w:tc>
          <w:tcPr>
            <w:tcW w:w="627" w:type="pct"/>
            <w:tcBorders>
              <w:tl2br w:val="nil"/>
              <w:tr2bl w:val="nil"/>
            </w:tcBorders>
            <w:shd w:val="clear" w:color="auto" w:fill="auto"/>
            <w:vAlign w:val="center"/>
          </w:tcPr>
          <w:p w14:paraId="0B1BA458">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b/>
                <w:bCs/>
                <w:color w:val="auto"/>
                <w:spacing w:val="0"/>
                <w:w w:val="100"/>
                <w:kern w:val="0"/>
                <w:position w:val="0"/>
                <w:sz w:val="21"/>
                <w:szCs w:val="21"/>
              </w:rPr>
            </w:pPr>
            <w:r>
              <w:rPr>
                <w:rFonts w:hint="eastAsia" w:ascii="宋体" w:hAnsi="宋体" w:eastAsia="宋体" w:cs="宋体"/>
                <w:b/>
                <w:bCs/>
                <w:color w:val="auto"/>
                <w:spacing w:val="0"/>
                <w:w w:val="100"/>
                <w:kern w:val="0"/>
                <w:position w:val="0"/>
                <w:sz w:val="21"/>
                <w:szCs w:val="21"/>
                <w:lang w:val="en-US" w:eastAsia="zh-CN" w:bidi="ar"/>
              </w:rPr>
              <w:t>备注</w:t>
            </w:r>
          </w:p>
        </w:tc>
      </w:tr>
      <w:tr w14:paraId="51AC67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346" w:type="pct"/>
            <w:vMerge w:val="restart"/>
            <w:tcBorders>
              <w:tl2br w:val="nil"/>
              <w:tr2bl w:val="nil"/>
            </w:tcBorders>
            <w:shd w:val="clear" w:color="auto" w:fill="auto"/>
            <w:vAlign w:val="center"/>
          </w:tcPr>
          <w:p w14:paraId="513DB9A8">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主体工程</w:t>
            </w:r>
          </w:p>
        </w:tc>
        <w:tc>
          <w:tcPr>
            <w:tcW w:w="685" w:type="pct"/>
            <w:vMerge w:val="restart"/>
            <w:tcBorders>
              <w:tl2br w:val="nil"/>
              <w:tr2bl w:val="nil"/>
            </w:tcBorders>
            <w:shd w:val="clear" w:color="auto" w:fill="auto"/>
            <w:vAlign w:val="center"/>
          </w:tcPr>
          <w:p w14:paraId="00162779">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eastAsia"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生产车间</w:t>
            </w:r>
          </w:p>
        </w:tc>
        <w:tc>
          <w:tcPr>
            <w:tcW w:w="3340" w:type="pct"/>
            <w:gridSpan w:val="2"/>
            <w:tcBorders>
              <w:tl2br w:val="nil"/>
              <w:tr2bl w:val="nil"/>
            </w:tcBorders>
            <w:shd w:val="clear" w:color="auto" w:fill="auto"/>
            <w:vAlign w:val="center"/>
          </w:tcPr>
          <w:p w14:paraId="17A6FA5C">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cs="宋体"/>
                <w:color w:val="auto"/>
                <w:spacing w:val="0"/>
                <w:w w:val="100"/>
                <w:kern w:val="0"/>
                <w:position w:val="0"/>
                <w:sz w:val="21"/>
                <w:szCs w:val="21"/>
                <w:lang w:val="en-US" w:eastAsia="zh-CN" w:bidi="ar"/>
              </w:rPr>
              <w:t>租赁空置厂房用于项目建设，</w:t>
            </w:r>
            <w:r>
              <w:rPr>
                <w:rFonts w:hint="eastAsia" w:ascii="宋体" w:hAnsi="宋体" w:eastAsia="宋体" w:cs="宋体"/>
                <w:color w:val="auto"/>
                <w:spacing w:val="0"/>
                <w:w w:val="100"/>
                <w:kern w:val="0"/>
                <w:position w:val="0"/>
                <w:sz w:val="21"/>
                <w:szCs w:val="21"/>
                <w:lang w:val="en-US" w:eastAsia="zh-CN" w:bidi="ar"/>
              </w:rPr>
              <w:t>地上</w:t>
            </w:r>
            <w:r>
              <w:rPr>
                <w:rFonts w:hint="default" w:ascii="Times New Roman" w:hAnsi="Times New Roman" w:eastAsia="宋体" w:cs="Times New Roman"/>
                <w:color w:val="auto"/>
                <w:spacing w:val="0"/>
                <w:w w:val="100"/>
                <w:kern w:val="0"/>
                <w:position w:val="0"/>
                <w:sz w:val="21"/>
                <w:szCs w:val="21"/>
                <w:lang w:val="en-US" w:eastAsia="zh-CN" w:bidi="ar"/>
              </w:rPr>
              <w:t>1</w:t>
            </w:r>
            <w:r>
              <w:rPr>
                <w:rFonts w:hint="eastAsia" w:ascii="宋体" w:hAnsi="宋体" w:eastAsia="宋体" w:cs="宋体"/>
                <w:color w:val="auto"/>
                <w:spacing w:val="0"/>
                <w:w w:val="100"/>
                <w:kern w:val="0"/>
                <w:position w:val="0"/>
                <w:sz w:val="21"/>
                <w:szCs w:val="21"/>
                <w:lang w:val="en-US" w:eastAsia="zh-CN" w:bidi="ar"/>
              </w:rPr>
              <w:t>层，建筑面积为</w:t>
            </w:r>
            <w:r>
              <w:rPr>
                <w:rFonts w:hint="eastAsia" w:cs="宋体"/>
                <w:color w:val="auto"/>
                <w:spacing w:val="0"/>
                <w:w w:val="100"/>
                <w:kern w:val="0"/>
                <w:position w:val="0"/>
                <w:sz w:val="21"/>
                <w:szCs w:val="21"/>
                <w:lang w:val="en-US" w:eastAsia="zh-CN" w:bidi="ar"/>
              </w:rPr>
              <w:t>2800</w:t>
            </w:r>
            <w:r>
              <w:rPr>
                <w:rFonts w:hint="default" w:ascii="Times New Roman" w:hAnsi="Times New Roman" w:eastAsia="宋体" w:cs="Times New Roman"/>
                <w:color w:val="auto"/>
                <w:spacing w:val="0"/>
                <w:w w:val="100"/>
                <w:kern w:val="0"/>
                <w:position w:val="0"/>
                <w:sz w:val="21"/>
                <w:szCs w:val="21"/>
                <w:lang w:val="en-US" w:eastAsia="zh-CN" w:bidi="ar"/>
              </w:rPr>
              <w:t>m</w:t>
            </w:r>
            <w:r>
              <w:rPr>
                <w:rFonts w:hint="default" w:ascii="Times New Roman" w:hAnsi="Times New Roman" w:eastAsia="宋体" w:cs="Times New Roman"/>
                <w:color w:val="auto"/>
                <w:spacing w:val="0"/>
                <w:w w:val="100"/>
                <w:kern w:val="0"/>
                <w:position w:val="0"/>
                <w:sz w:val="21"/>
                <w:szCs w:val="21"/>
                <w:vertAlign w:val="superscript"/>
                <w:lang w:val="en-US" w:eastAsia="zh-CN" w:bidi="ar"/>
              </w:rPr>
              <w:t>2</w:t>
            </w:r>
          </w:p>
        </w:tc>
        <w:tc>
          <w:tcPr>
            <w:tcW w:w="627" w:type="pct"/>
            <w:tcBorders>
              <w:tl2br w:val="nil"/>
              <w:tr2bl w:val="nil"/>
            </w:tcBorders>
            <w:shd w:val="clear" w:color="auto" w:fill="auto"/>
            <w:vAlign w:val="center"/>
          </w:tcPr>
          <w:p w14:paraId="329427D5">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eastAsia" w:ascii="Times New Roman" w:hAnsi="Times New Roman" w:eastAsia="宋体" w:cs="Times New Roman"/>
                <w:color w:val="auto"/>
                <w:spacing w:val="0"/>
                <w:w w:val="100"/>
                <w:kern w:val="0"/>
                <w:position w:val="0"/>
                <w:sz w:val="21"/>
                <w:szCs w:val="21"/>
                <w:lang w:val="en-US" w:eastAsia="zh-CN"/>
              </w:rPr>
            </w:pPr>
            <w:r>
              <w:rPr>
                <w:rFonts w:hint="eastAsia" w:ascii="Times New Roman" w:hAnsi="Times New Roman" w:cs="Times New Roman"/>
                <w:color w:val="auto"/>
                <w:spacing w:val="0"/>
                <w:w w:val="100"/>
                <w:kern w:val="0"/>
                <w:position w:val="0"/>
                <w:sz w:val="21"/>
                <w:szCs w:val="21"/>
                <w:lang w:val="en-US" w:eastAsia="zh-CN"/>
              </w:rPr>
              <w:t>租赁</w:t>
            </w:r>
          </w:p>
        </w:tc>
      </w:tr>
      <w:tr w14:paraId="1B3949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346" w:type="pct"/>
            <w:vMerge w:val="continue"/>
            <w:tcBorders>
              <w:tl2br w:val="nil"/>
              <w:tr2bl w:val="nil"/>
            </w:tcBorders>
            <w:shd w:val="clear" w:color="auto" w:fill="auto"/>
            <w:vAlign w:val="center"/>
          </w:tcPr>
          <w:p w14:paraId="226D73BE">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eastAsia" w:ascii="宋体" w:hAnsi="宋体" w:eastAsia="宋体" w:cs="宋体"/>
                <w:color w:val="auto"/>
                <w:spacing w:val="0"/>
                <w:w w:val="100"/>
                <w:kern w:val="0"/>
                <w:position w:val="0"/>
                <w:sz w:val="21"/>
                <w:szCs w:val="21"/>
                <w:lang w:val="en-US" w:eastAsia="zh-CN" w:bidi="ar"/>
              </w:rPr>
            </w:pPr>
          </w:p>
        </w:tc>
        <w:tc>
          <w:tcPr>
            <w:tcW w:w="685" w:type="pct"/>
            <w:vMerge w:val="continue"/>
            <w:tcBorders>
              <w:tl2br w:val="nil"/>
              <w:tr2bl w:val="nil"/>
            </w:tcBorders>
            <w:shd w:val="clear" w:color="auto" w:fill="auto"/>
            <w:vAlign w:val="center"/>
          </w:tcPr>
          <w:p w14:paraId="2382CE23">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eastAsia" w:ascii="宋体" w:hAnsi="宋体" w:eastAsia="宋体" w:cs="宋体"/>
                <w:color w:val="auto"/>
                <w:spacing w:val="0"/>
                <w:w w:val="100"/>
                <w:kern w:val="0"/>
                <w:position w:val="0"/>
                <w:sz w:val="21"/>
                <w:szCs w:val="21"/>
                <w:lang w:val="en-US" w:eastAsia="zh-CN" w:bidi="ar"/>
              </w:rPr>
            </w:pPr>
          </w:p>
        </w:tc>
        <w:tc>
          <w:tcPr>
            <w:tcW w:w="3340" w:type="pct"/>
            <w:gridSpan w:val="2"/>
            <w:tcBorders>
              <w:tl2br w:val="nil"/>
              <w:tr2bl w:val="nil"/>
            </w:tcBorders>
            <w:shd w:val="clear" w:color="auto" w:fill="auto"/>
            <w:vAlign w:val="center"/>
          </w:tcPr>
          <w:p w14:paraId="27703292">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宋体" w:hAnsi="宋体" w:eastAsia="宋体" w:cs="宋体"/>
                <w:color w:val="auto"/>
                <w:spacing w:val="0"/>
                <w:w w:val="100"/>
                <w:kern w:val="0"/>
                <w:position w:val="0"/>
                <w:sz w:val="21"/>
                <w:szCs w:val="21"/>
                <w:lang w:val="en-US" w:eastAsia="zh-CN" w:bidi="ar"/>
              </w:rPr>
            </w:pPr>
            <w:r>
              <w:rPr>
                <w:rFonts w:hint="eastAsia" w:cs="宋体"/>
                <w:color w:val="auto"/>
                <w:spacing w:val="0"/>
                <w:w w:val="100"/>
                <w:kern w:val="0"/>
                <w:position w:val="0"/>
                <w:sz w:val="21"/>
                <w:szCs w:val="21"/>
                <w:lang w:val="en-US" w:eastAsia="zh-CN" w:bidi="ar"/>
              </w:rPr>
              <w:t>新购置3条铝塑复合板生产线</w:t>
            </w:r>
          </w:p>
        </w:tc>
        <w:tc>
          <w:tcPr>
            <w:tcW w:w="627" w:type="pct"/>
            <w:tcBorders>
              <w:tl2br w:val="nil"/>
              <w:tr2bl w:val="nil"/>
            </w:tcBorders>
            <w:shd w:val="clear" w:color="auto" w:fill="auto"/>
            <w:vAlign w:val="center"/>
          </w:tcPr>
          <w:p w14:paraId="7C60EB82">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宋体" w:hAnsi="宋体" w:eastAsia="宋体" w:cs="宋体"/>
                <w:color w:val="auto"/>
                <w:spacing w:val="0"/>
                <w:w w:val="100"/>
                <w:kern w:val="0"/>
                <w:position w:val="0"/>
                <w:sz w:val="21"/>
                <w:szCs w:val="21"/>
                <w:lang w:val="en-US" w:eastAsia="zh-CN" w:bidi="ar"/>
              </w:rPr>
            </w:pPr>
            <w:r>
              <w:rPr>
                <w:rFonts w:hint="eastAsia" w:cs="宋体"/>
                <w:color w:val="auto"/>
                <w:spacing w:val="0"/>
                <w:w w:val="100"/>
                <w:kern w:val="0"/>
                <w:position w:val="0"/>
                <w:sz w:val="21"/>
                <w:szCs w:val="21"/>
                <w:lang w:val="en-US" w:eastAsia="zh-CN" w:bidi="ar"/>
              </w:rPr>
              <w:t>新建</w:t>
            </w:r>
          </w:p>
        </w:tc>
      </w:tr>
      <w:tr w14:paraId="729768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662" w:hRule="atLeast"/>
          <w:jc w:val="center"/>
        </w:trPr>
        <w:tc>
          <w:tcPr>
            <w:tcW w:w="346" w:type="pct"/>
            <w:tcBorders>
              <w:tl2br w:val="nil"/>
              <w:tr2bl w:val="nil"/>
            </w:tcBorders>
            <w:shd w:val="clear" w:color="auto" w:fill="auto"/>
            <w:vAlign w:val="center"/>
          </w:tcPr>
          <w:p w14:paraId="45F4219D">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辅助工程</w:t>
            </w:r>
          </w:p>
        </w:tc>
        <w:tc>
          <w:tcPr>
            <w:tcW w:w="685" w:type="pct"/>
            <w:tcBorders>
              <w:tl2br w:val="nil"/>
              <w:tr2bl w:val="nil"/>
            </w:tcBorders>
            <w:shd w:val="clear" w:color="auto" w:fill="auto"/>
            <w:vAlign w:val="center"/>
          </w:tcPr>
          <w:p w14:paraId="5A52DE66">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lang w:val="en-US"/>
              </w:rPr>
            </w:pPr>
            <w:r>
              <w:rPr>
                <w:rFonts w:hint="eastAsia" w:cs="宋体"/>
                <w:color w:val="auto"/>
                <w:spacing w:val="0"/>
                <w:w w:val="100"/>
                <w:kern w:val="0"/>
                <w:position w:val="0"/>
                <w:sz w:val="21"/>
                <w:szCs w:val="21"/>
                <w:lang w:val="en-US" w:eastAsia="zh-CN" w:bidi="ar"/>
              </w:rPr>
              <w:t>办公区</w:t>
            </w:r>
          </w:p>
        </w:tc>
        <w:tc>
          <w:tcPr>
            <w:tcW w:w="3340" w:type="pct"/>
            <w:gridSpan w:val="2"/>
            <w:tcBorders>
              <w:tl2br w:val="nil"/>
              <w:tr2bl w:val="nil"/>
            </w:tcBorders>
            <w:shd w:val="clear" w:color="auto" w:fill="auto"/>
            <w:vAlign w:val="center"/>
          </w:tcPr>
          <w:p w14:paraId="2049223E">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rPr>
              <w:t>位于项目区北</w:t>
            </w:r>
            <w:r>
              <w:rPr>
                <w:rFonts w:hint="eastAsia" w:ascii="Times New Roman" w:hAnsi="Times New Roman" w:cs="Times New Roman"/>
                <w:color w:val="auto"/>
                <w:spacing w:val="0"/>
                <w:w w:val="100"/>
                <w:kern w:val="0"/>
                <w:position w:val="0"/>
                <w:sz w:val="21"/>
                <w:szCs w:val="21"/>
                <w:lang w:val="en-US" w:eastAsia="zh-CN"/>
              </w:rPr>
              <w:t>侧</w:t>
            </w:r>
            <w:r>
              <w:rPr>
                <w:rFonts w:hint="default" w:ascii="Times New Roman" w:hAnsi="Times New Roman" w:eastAsia="宋体" w:cs="Times New Roman"/>
                <w:color w:val="auto"/>
                <w:spacing w:val="0"/>
                <w:w w:val="100"/>
                <w:kern w:val="0"/>
                <w:position w:val="0"/>
                <w:sz w:val="21"/>
                <w:szCs w:val="21"/>
              </w:rPr>
              <w:t>，</w:t>
            </w:r>
            <w:r>
              <w:rPr>
                <w:rFonts w:hint="eastAsia" w:ascii="Times New Roman" w:hAnsi="Times New Roman" w:cs="Times New Roman"/>
                <w:color w:val="auto"/>
                <w:spacing w:val="0"/>
                <w:w w:val="100"/>
                <w:kern w:val="0"/>
                <w:position w:val="0"/>
                <w:sz w:val="21"/>
                <w:szCs w:val="21"/>
                <w:lang w:val="en-US" w:eastAsia="zh-CN"/>
              </w:rPr>
              <w:t>租赁</w:t>
            </w:r>
            <w:r>
              <w:rPr>
                <w:rFonts w:hint="default" w:ascii="Times New Roman" w:hAnsi="Times New Roman" w:eastAsia="宋体" w:cs="Times New Roman"/>
                <w:color w:val="auto"/>
                <w:spacing w:val="0"/>
                <w:w w:val="100"/>
                <w:kern w:val="0"/>
                <w:position w:val="0"/>
                <w:sz w:val="21"/>
                <w:szCs w:val="21"/>
              </w:rPr>
              <w:t>新疆鑫古龙建材有限责任公司现有办公楼。</w:t>
            </w:r>
          </w:p>
        </w:tc>
        <w:tc>
          <w:tcPr>
            <w:tcW w:w="627" w:type="pct"/>
            <w:tcBorders>
              <w:tl2br w:val="nil"/>
              <w:tr2bl w:val="nil"/>
            </w:tcBorders>
            <w:shd w:val="clear" w:color="auto" w:fill="auto"/>
            <w:vAlign w:val="center"/>
          </w:tcPr>
          <w:p w14:paraId="596E399D">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cs="宋体"/>
                <w:color w:val="auto"/>
                <w:spacing w:val="0"/>
                <w:w w:val="100"/>
                <w:kern w:val="0"/>
                <w:position w:val="0"/>
                <w:sz w:val="21"/>
                <w:szCs w:val="21"/>
                <w:lang w:val="en-US" w:eastAsia="zh-CN" w:bidi="ar"/>
              </w:rPr>
              <w:t>租赁</w:t>
            </w:r>
          </w:p>
        </w:tc>
      </w:tr>
      <w:tr w14:paraId="2C0B93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723" w:hRule="atLeast"/>
          <w:jc w:val="center"/>
        </w:trPr>
        <w:tc>
          <w:tcPr>
            <w:tcW w:w="346" w:type="pct"/>
            <w:vMerge w:val="restart"/>
            <w:tcBorders>
              <w:tl2br w:val="nil"/>
              <w:tr2bl w:val="nil"/>
            </w:tcBorders>
            <w:shd w:val="clear" w:color="auto" w:fill="auto"/>
            <w:vAlign w:val="center"/>
          </w:tcPr>
          <w:p w14:paraId="00E72333">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储运工程</w:t>
            </w:r>
          </w:p>
        </w:tc>
        <w:tc>
          <w:tcPr>
            <w:tcW w:w="685" w:type="pct"/>
            <w:tcBorders>
              <w:tl2br w:val="nil"/>
              <w:tr2bl w:val="nil"/>
            </w:tcBorders>
            <w:shd w:val="clear" w:color="auto" w:fill="auto"/>
            <w:vAlign w:val="center"/>
          </w:tcPr>
          <w:p w14:paraId="5ABA0B5E">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pacing w:val="0"/>
                <w:w w:val="100"/>
                <w:kern w:val="0"/>
                <w:position w:val="0"/>
                <w:sz w:val="21"/>
                <w:szCs w:val="21"/>
                <w:lang w:val="en-US" w:eastAsia="zh-CN" w:bidi="ar-SA"/>
              </w:rPr>
            </w:pPr>
            <w:r>
              <w:rPr>
                <w:rFonts w:hint="eastAsia" w:ascii="宋体" w:hAnsi="宋体" w:eastAsia="宋体" w:cs="宋体"/>
                <w:color w:val="auto"/>
                <w:spacing w:val="0"/>
                <w:w w:val="100"/>
                <w:kern w:val="0"/>
                <w:position w:val="0"/>
                <w:sz w:val="21"/>
                <w:szCs w:val="21"/>
                <w:lang w:val="en-US" w:eastAsia="zh-CN" w:bidi="ar"/>
              </w:rPr>
              <w:t>一般工业固废贮</w:t>
            </w:r>
            <w:r>
              <w:rPr>
                <w:rFonts w:hint="eastAsia" w:cs="宋体"/>
                <w:color w:val="auto"/>
                <w:spacing w:val="0"/>
                <w:w w:val="100"/>
                <w:kern w:val="0"/>
                <w:position w:val="0"/>
                <w:sz w:val="21"/>
                <w:szCs w:val="21"/>
                <w:lang w:val="en-US" w:eastAsia="zh-CN" w:bidi="ar"/>
              </w:rPr>
              <w:t>区</w:t>
            </w:r>
          </w:p>
        </w:tc>
        <w:tc>
          <w:tcPr>
            <w:tcW w:w="3340" w:type="pct"/>
            <w:gridSpan w:val="2"/>
            <w:tcBorders>
              <w:tl2br w:val="nil"/>
              <w:tr2bl w:val="nil"/>
            </w:tcBorders>
            <w:shd w:val="clear" w:color="auto" w:fill="auto"/>
            <w:vAlign w:val="center"/>
          </w:tcPr>
          <w:p w14:paraId="5C85543E">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pacing w:val="0"/>
                <w:w w:val="100"/>
                <w:kern w:val="0"/>
                <w:position w:val="0"/>
                <w:sz w:val="21"/>
                <w:szCs w:val="21"/>
                <w:lang w:val="en-US" w:eastAsia="zh-CN" w:bidi="ar-SA"/>
              </w:rPr>
            </w:pPr>
            <w:r>
              <w:rPr>
                <w:rFonts w:hint="eastAsia" w:ascii="宋体" w:hAnsi="宋体" w:eastAsia="宋体" w:cs="宋体"/>
                <w:color w:val="auto"/>
                <w:spacing w:val="0"/>
                <w:w w:val="100"/>
                <w:kern w:val="0"/>
                <w:position w:val="0"/>
                <w:sz w:val="21"/>
                <w:szCs w:val="21"/>
                <w:lang w:val="en-US" w:eastAsia="zh-CN" w:bidi="ar"/>
              </w:rPr>
              <w:t>位于</w:t>
            </w:r>
            <w:r>
              <w:rPr>
                <w:rFonts w:hint="eastAsia" w:cs="宋体"/>
                <w:color w:val="auto"/>
                <w:spacing w:val="0"/>
                <w:w w:val="100"/>
                <w:kern w:val="0"/>
                <w:position w:val="0"/>
                <w:sz w:val="21"/>
                <w:szCs w:val="21"/>
                <w:lang w:val="en-US" w:eastAsia="zh-CN" w:bidi="ar"/>
              </w:rPr>
              <w:t>生产车间</w:t>
            </w:r>
            <w:r>
              <w:rPr>
                <w:rFonts w:hint="eastAsia" w:ascii="宋体" w:hAnsi="宋体" w:eastAsia="宋体" w:cs="宋体"/>
                <w:color w:val="auto"/>
                <w:spacing w:val="0"/>
                <w:w w:val="100"/>
                <w:kern w:val="0"/>
                <w:position w:val="0"/>
                <w:sz w:val="21"/>
                <w:szCs w:val="21"/>
                <w:lang w:val="en-US" w:eastAsia="zh-CN" w:bidi="ar"/>
              </w:rPr>
              <w:t>西</w:t>
            </w:r>
            <w:r>
              <w:rPr>
                <w:rFonts w:hint="eastAsia" w:cs="宋体"/>
                <w:color w:val="auto"/>
                <w:spacing w:val="0"/>
                <w:w w:val="100"/>
                <w:kern w:val="0"/>
                <w:position w:val="0"/>
                <w:sz w:val="21"/>
                <w:szCs w:val="21"/>
                <w:lang w:val="en-US" w:eastAsia="zh-CN" w:bidi="ar"/>
              </w:rPr>
              <w:t>南角</w:t>
            </w:r>
            <w:r>
              <w:rPr>
                <w:rFonts w:hint="eastAsia" w:ascii="宋体" w:hAnsi="宋体" w:eastAsia="宋体" w:cs="宋体"/>
                <w:color w:val="auto"/>
                <w:spacing w:val="0"/>
                <w:w w:val="100"/>
                <w:kern w:val="0"/>
                <w:position w:val="0"/>
                <w:sz w:val="21"/>
                <w:szCs w:val="21"/>
                <w:lang w:val="en-US" w:eastAsia="zh-CN" w:bidi="ar"/>
              </w:rPr>
              <w:t>，面积为</w:t>
            </w:r>
            <w:r>
              <w:rPr>
                <w:rFonts w:hint="eastAsia" w:ascii="Times New Roman" w:hAnsi="Times New Roman" w:cs="Times New Roman"/>
                <w:color w:val="auto"/>
                <w:spacing w:val="0"/>
                <w:w w:val="100"/>
                <w:kern w:val="0"/>
                <w:position w:val="0"/>
                <w:sz w:val="21"/>
                <w:szCs w:val="21"/>
                <w:lang w:val="en-US" w:eastAsia="zh-CN" w:bidi="ar"/>
              </w:rPr>
              <w:t>1</w:t>
            </w:r>
            <w:r>
              <w:rPr>
                <w:rFonts w:hint="default" w:ascii="Times New Roman" w:hAnsi="Times New Roman" w:eastAsia="宋体" w:cs="Times New Roman"/>
                <w:color w:val="auto"/>
                <w:spacing w:val="0"/>
                <w:w w:val="100"/>
                <w:kern w:val="0"/>
                <w:position w:val="0"/>
                <w:sz w:val="21"/>
                <w:szCs w:val="21"/>
                <w:lang w:val="en-US" w:eastAsia="zh-CN" w:bidi="ar"/>
              </w:rPr>
              <w:t>0m</w:t>
            </w:r>
            <w:r>
              <w:rPr>
                <w:rFonts w:hint="default" w:ascii="Times New Roman" w:hAnsi="Times New Roman" w:eastAsia="宋体" w:cs="Times New Roman"/>
                <w:color w:val="auto"/>
                <w:spacing w:val="0"/>
                <w:w w:val="100"/>
                <w:kern w:val="0"/>
                <w:position w:val="0"/>
                <w:sz w:val="21"/>
                <w:szCs w:val="21"/>
                <w:vertAlign w:val="superscript"/>
                <w:lang w:val="en-US" w:eastAsia="zh-CN" w:bidi="ar"/>
              </w:rPr>
              <w:t>2</w:t>
            </w:r>
            <w:r>
              <w:rPr>
                <w:rFonts w:hint="eastAsia" w:ascii="Times New Roman" w:hAnsi="Times New Roman" w:cs="Times New Roman"/>
                <w:color w:val="auto"/>
                <w:spacing w:val="0"/>
                <w:w w:val="100"/>
                <w:kern w:val="0"/>
                <w:position w:val="0"/>
                <w:sz w:val="21"/>
                <w:szCs w:val="21"/>
                <w:lang w:val="en-US" w:eastAsia="zh-CN" w:bidi="ar"/>
              </w:rPr>
              <w:t>。</w:t>
            </w:r>
          </w:p>
        </w:tc>
        <w:tc>
          <w:tcPr>
            <w:tcW w:w="627" w:type="pct"/>
            <w:tcBorders>
              <w:tl2br w:val="nil"/>
              <w:tr2bl w:val="nil"/>
            </w:tcBorders>
            <w:shd w:val="clear" w:color="auto" w:fill="auto"/>
            <w:vAlign w:val="center"/>
          </w:tcPr>
          <w:p w14:paraId="58A517CE">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leftChars="0" w:right="0" w:rightChars="0" w:firstLine="0" w:firstLineChars="0"/>
              <w:jc w:val="center"/>
              <w:rPr>
                <w:rFonts w:hint="default" w:ascii="Times New Roman" w:hAnsi="Times New Roman" w:eastAsia="宋体" w:cs="Times New Roman"/>
                <w:color w:val="auto"/>
                <w:spacing w:val="0"/>
                <w:w w:val="100"/>
                <w:kern w:val="0"/>
                <w:position w:val="0"/>
                <w:sz w:val="21"/>
                <w:szCs w:val="21"/>
                <w:lang w:val="en-US" w:eastAsia="zh-CN" w:bidi="ar-SA"/>
              </w:rPr>
            </w:pPr>
            <w:r>
              <w:rPr>
                <w:rFonts w:hint="eastAsia" w:cs="Times New Roman"/>
                <w:color w:val="auto"/>
                <w:spacing w:val="0"/>
                <w:w w:val="100"/>
                <w:kern w:val="0"/>
                <w:position w:val="0"/>
                <w:sz w:val="21"/>
                <w:szCs w:val="21"/>
                <w:lang w:val="en-US" w:eastAsia="zh-CN" w:bidi="ar-SA"/>
              </w:rPr>
              <w:t>租赁</w:t>
            </w:r>
          </w:p>
        </w:tc>
      </w:tr>
      <w:tr w14:paraId="1A2989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346" w:type="pct"/>
            <w:vMerge w:val="continue"/>
            <w:tcBorders>
              <w:tl2br w:val="nil"/>
              <w:tr2bl w:val="nil"/>
            </w:tcBorders>
            <w:shd w:val="clear" w:color="auto" w:fill="auto"/>
            <w:vAlign w:val="center"/>
          </w:tcPr>
          <w:p w14:paraId="2451159E">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rPr>
                <w:rFonts w:hint="default" w:ascii="Times New Roman" w:hAnsi="Times New Roman" w:cs="Times New Roman"/>
                <w:color w:val="auto"/>
                <w:spacing w:val="0"/>
                <w:w w:val="100"/>
                <w:position w:val="0"/>
                <w:sz w:val="20"/>
                <w:szCs w:val="20"/>
              </w:rPr>
            </w:pPr>
          </w:p>
        </w:tc>
        <w:tc>
          <w:tcPr>
            <w:tcW w:w="685" w:type="pct"/>
            <w:tcBorders>
              <w:tl2br w:val="nil"/>
              <w:tr2bl w:val="nil"/>
            </w:tcBorders>
            <w:shd w:val="clear" w:color="auto" w:fill="auto"/>
            <w:vAlign w:val="center"/>
          </w:tcPr>
          <w:p w14:paraId="1EAB0319">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pacing w:val="0"/>
                <w:w w:val="100"/>
                <w:kern w:val="0"/>
                <w:position w:val="0"/>
                <w:sz w:val="21"/>
                <w:szCs w:val="21"/>
                <w:lang w:val="en-US" w:eastAsia="zh-CN" w:bidi="ar-SA"/>
              </w:rPr>
            </w:pPr>
            <w:r>
              <w:rPr>
                <w:rFonts w:hint="eastAsia" w:ascii="宋体" w:hAnsi="宋体" w:eastAsia="宋体" w:cs="宋体"/>
                <w:color w:val="auto"/>
                <w:spacing w:val="0"/>
                <w:w w:val="100"/>
                <w:kern w:val="0"/>
                <w:position w:val="0"/>
                <w:sz w:val="21"/>
                <w:szCs w:val="21"/>
                <w:lang w:val="en-US" w:eastAsia="zh-CN" w:bidi="ar"/>
              </w:rPr>
              <w:t>危废贮存库</w:t>
            </w:r>
          </w:p>
        </w:tc>
        <w:tc>
          <w:tcPr>
            <w:tcW w:w="3340" w:type="pct"/>
            <w:gridSpan w:val="2"/>
            <w:tcBorders>
              <w:tl2br w:val="nil"/>
              <w:tr2bl w:val="nil"/>
            </w:tcBorders>
            <w:shd w:val="clear" w:color="auto" w:fill="auto"/>
            <w:vAlign w:val="center"/>
          </w:tcPr>
          <w:p w14:paraId="191EAEAF">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pacing w:val="0"/>
                <w:w w:val="100"/>
                <w:kern w:val="0"/>
                <w:position w:val="0"/>
                <w:sz w:val="21"/>
                <w:szCs w:val="21"/>
                <w:lang w:val="en-US" w:eastAsia="zh-CN" w:bidi="ar-SA"/>
              </w:rPr>
            </w:pPr>
            <w:r>
              <w:rPr>
                <w:rFonts w:hint="eastAsia" w:ascii="宋体" w:hAnsi="宋体" w:eastAsia="宋体" w:cs="宋体"/>
                <w:color w:val="auto"/>
                <w:spacing w:val="0"/>
                <w:w w:val="100"/>
                <w:kern w:val="0"/>
                <w:position w:val="0"/>
                <w:sz w:val="21"/>
                <w:szCs w:val="21"/>
                <w:lang w:val="en-US" w:eastAsia="zh-CN" w:bidi="ar"/>
              </w:rPr>
              <w:t>位于厂区西北</w:t>
            </w:r>
            <w:r>
              <w:rPr>
                <w:rFonts w:hint="eastAsia" w:cs="宋体"/>
                <w:color w:val="auto"/>
                <w:spacing w:val="0"/>
                <w:w w:val="100"/>
                <w:kern w:val="0"/>
                <w:position w:val="0"/>
                <w:sz w:val="21"/>
                <w:szCs w:val="21"/>
                <w:lang w:val="en-US" w:eastAsia="zh-CN" w:bidi="ar"/>
              </w:rPr>
              <w:t>角</w:t>
            </w:r>
            <w:r>
              <w:rPr>
                <w:rFonts w:hint="eastAsia" w:ascii="宋体" w:hAnsi="宋体" w:eastAsia="宋体" w:cs="宋体"/>
                <w:color w:val="auto"/>
                <w:spacing w:val="0"/>
                <w:w w:val="100"/>
                <w:kern w:val="0"/>
                <w:position w:val="0"/>
                <w:sz w:val="21"/>
                <w:szCs w:val="21"/>
                <w:lang w:val="en-US" w:eastAsia="zh-CN" w:bidi="ar"/>
              </w:rPr>
              <w:t>，面积为</w:t>
            </w:r>
            <w:r>
              <w:rPr>
                <w:rFonts w:hint="eastAsia" w:ascii="Times New Roman" w:hAnsi="Times New Roman" w:cs="Times New Roman"/>
                <w:color w:val="auto"/>
                <w:spacing w:val="0"/>
                <w:w w:val="100"/>
                <w:kern w:val="0"/>
                <w:position w:val="0"/>
                <w:sz w:val="21"/>
                <w:szCs w:val="21"/>
                <w:lang w:val="en-US" w:eastAsia="zh-CN" w:bidi="ar"/>
              </w:rPr>
              <w:t>1</w:t>
            </w:r>
            <w:r>
              <w:rPr>
                <w:rFonts w:hint="default" w:ascii="Times New Roman" w:hAnsi="Times New Roman" w:eastAsia="宋体" w:cs="Times New Roman"/>
                <w:color w:val="auto"/>
                <w:spacing w:val="0"/>
                <w:w w:val="100"/>
                <w:kern w:val="0"/>
                <w:position w:val="0"/>
                <w:sz w:val="21"/>
                <w:szCs w:val="21"/>
                <w:lang w:val="en-US" w:eastAsia="zh-CN" w:bidi="ar"/>
              </w:rPr>
              <w:t>0m</w:t>
            </w:r>
            <w:r>
              <w:rPr>
                <w:rFonts w:hint="default" w:ascii="Times New Roman" w:hAnsi="Times New Roman" w:eastAsia="宋体" w:cs="Times New Roman"/>
                <w:color w:val="auto"/>
                <w:spacing w:val="0"/>
                <w:w w:val="100"/>
                <w:kern w:val="0"/>
                <w:position w:val="0"/>
                <w:sz w:val="21"/>
                <w:szCs w:val="21"/>
                <w:vertAlign w:val="superscript"/>
                <w:lang w:val="en-US" w:eastAsia="zh-CN" w:bidi="ar"/>
              </w:rPr>
              <w:t>2</w:t>
            </w:r>
            <w:r>
              <w:rPr>
                <w:rFonts w:hint="eastAsia" w:ascii="宋体" w:hAnsi="宋体" w:eastAsia="宋体" w:cs="宋体"/>
                <w:color w:val="auto"/>
                <w:spacing w:val="0"/>
                <w:w w:val="100"/>
                <w:kern w:val="0"/>
                <w:position w:val="0"/>
                <w:sz w:val="21"/>
                <w:szCs w:val="21"/>
                <w:lang w:val="en-US" w:eastAsia="zh-CN" w:bidi="ar"/>
              </w:rPr>
              <w:t>，重点防渗，地面采用</w:t>
            </w:r>
            <w:r>
              <w:rPr>
                <w:rFonts w:hint="default" w:ascii="Times New Roman" w:hAnsi="Times New Roman" w:eastAsia="宋体" w:cs="Times New Roman"/>
                <w:color w:val="auto"/>
                <w:spacing w:val="0"/>
                <w:w w:val="100"/>
                <w:kern w:val="0"/>
                <w:position w:val="0"/>
                <w:sz w:val="21"/>
                <w:szCs w:val="21"/>
                <w:lang w:val="en-US" w:eastAsia="zh-CN" w:bidi="ar"/>
              </w:rPr>
              <w:t>2mmHDPE</w:t>
            </w:r>
            <w:r>
              <w:rPr>
                <w:rFonts w:hint="eastAsia" w:ascii="宋体" w:hAnsi="宋体" w:eastAsia="宋体" w:cs="宋体"/>
                <w:color w:val="auto"/>
                <w:spacing w:val="0"/>
                <w:w w:val="100"/>
                <w:kern w:val="0"/>
                <w:position w:val="0"/>
                <w:sz w:val="21"/>
                <w:szCs w:val="21"/>
                <w:lang w:val="en-US" w:eastAsia="zh-CN" w:bidi="ar"/>
              </w:rPr>
              <w:t>防渗膜</w:t>
            </w:r>
            <w:r>
              <w:rPr>
                <w:rFonts w:hint="default" w:ascii="Times New Roman" w:hAnsi="Times New Roman" w:eastAsia="宋体" w:cs="Times New Roman"/>
                <w:color w:val="auto"/>
                <w:spacing w:val="0"/>
                <w:w w:val="100"/>
                <w:kern w:val="0"/>
                <w:position w:val="0"/>
                <w:sz w:val="21"/>
                <w:szCs w:val="21"/>
                <w:lang w:val="en-US" w:eastAsia="zh-CN" w:bidi="ar"/>
              </w:rPr>
              <w:t>+25cm</w:t>
            </w:r>
            <w:r>
              <w:rPr>
                <w:rFonts w:hint="eastAsia" w:ascii="宋体" w:hAnsi="宋体" w:eastAsia="宋体" w:cs="宋体"/>
                <w:color w:val="auto"/>
                <w:spacing w:val="0"/>
                <w:w w:val="100"/>
                <w:kern w:val="0"/>
                <w:position w:val="0"/>
                <w:sz w:val="21"/>
                <w:szCs w:val="21"/>
                <w:lang w:val="en-US" w:eastAsia="zh-CN" w:bidi="ar"/>
              </w:rPr>
              <w:t>厚</w:t>
            </w:r>
            <w:r>
              <w:rPr>
                <w:rFonts w:hint="default" w:ascii="Times New Roman" w:hAnsi="Times New Roman" w:eastAsia="宋体" w:cs="Times New Roman"/>
                <w:color w:val="auto"/>
                <w:spacing w:val="0"/>
                <w:w w:val="100"/>
                <w:kern w:val="0"/>
                <w:position w:val="0"/>
                <w:sz w:val="21"/>
                <w:szCs w:val="21"/>
                <w:lang w:val="en-US" w:eastAsia="zh-CN" w:bidi="ar"/>
              </w:rPr>
              <w:t>C35</w:t>
            </w:r>
            <w:r>
              <w:rPr>
                <w:rFonts w:hint="eastAsia" w:ascii="宋体" w:hAnsi="宋体" w:eastAsia="宋体" w:cs="宋体"/>
                <w:color w:val="auto"/>
                <w:spacing w:val="0"/>
                <w:w w:val="100"/>
                <w:kern w:val="0"/>
                <w:position w:val="0"/>
                <w:sz w:val="21"/>
                <w:szCs w:val="21"/>
                <w:lang w:val="en-US" w:eastAsia="zh-CN" w:bidi="ar"/>
              </w:rPr>
              <w:t>防渗混凝土防渗，使渗透系数</w:t>
            </w:r>
            <w:r>
              <w:rPr>
                <w:rFonts w:hint="default" w:ascii="Times New Roman" w:hAnsi="Times New Roman" w:eastAsia="宋体" w:cs="Times New Roman"/>
                <w:color w:val="auto"/>
                <w:spacing w:val="0"/>
                <w:w w:val="100"/>
                <w:kern w:val="0"/>
                <w:position w:val="0"/>
                <w:sz w:val="21"/>
                <w:szCs w:val="21"/>
                <w:lang w:val="en-US" w:eastAsia="zh-CN" w:bidi="ar"/>
              </w:rPr>
              <w:t>≤1×10</w:t>
            </w:r>
            <w:r>
              <w:rPr>
                <w:rFonts w:hint="default" w:ascii="Times New Roman" w:hAnsi="Times New Roman" w:eastAsia="宋体" w:cs="Times New Roman"/>
                <w:color w:val="auto"/>
                <w:spacing w:val="0"/>
                <w:w w:val="100"/>
                <w:kern w:val="0"/>
                <w:position w:val="0"/>
                <w:sz w:val="21"/>
                <w:szCs w:val="21"/>
                <w:vertAlign w:val="superscript"/>
                <w:lang w:val="en-US" w:eastAsia="zh-CN" w:bidi="ar"/>
              </w:rPr>
              <w:t>-10</w:t>
            </w:r>
            <w:r>
              <w:rPr>
                <w:rFonts w:hint="default" w:ascii="Times New Roman" w:hAnsi="Times New Roman" w:eastAsia="宋体" w:cs="Times New Roman"/>
                <w:color w:val="auto"/>
                <w:spacing w:val="0"/>
                <w:w w:val="100"/>
                <w:kern w:val="0"/>
                <w:position w:val="0"/>
                <w:sz w:val="21"/>
                <w:szCs w:val="21"/>
                <w:lang w:val="en-US" w:eastAsia="zh-CN" w:bidi="ar"/>
              </w:rPr>
              <w:t>cm/s</w:t>
            </w:r>
            <w:r>
              <w:rPr>
                <w:rFonts w:hint="eastAsia" w:cs="宋体"/>
                <w:color w:val="auto"/>
                <w:spacing w:val="0"/>
                <w:w w:val="100"/>
                <w:kern w:val="0"/>
                <w:position w:val="0"/>
                <w:sz w:val="21"/>
                <w:szCs w:val="21"/>
                <w:lang w:val="en-US" w:eastAsia="zh-CN" w:bidi="ar"/>
              </w:rPr>
              <w:t>。</w:t>
            </w:r>
          </w:p>
        </w:tc>
        <w:tc>
          <w:tcPr>
            <w:tcW w:w="627" w:type="pct"/>
            <w:tcBorders>
              <w:tl2br w:val="nil"/>
              <w:tr2bl w:val="nil"/>
            </w:tcBorders>
            <w:shd w:val="clear" w:color="auto" w:fill="auto"/>
            <w:vAlign w:val="center"/>
          </w:tcPr>
          <w:p w14:paraId="639B566A">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leftChars="0" w:right="0" w:rightChars="0" w:firstLine="0" w:firstLineChars="0"/>
              <w:jc w:val="center"/>
              <w:rPr>
                <w:rFonts w:hint="default" w:ascii="Times New Roman" w:hAnsi="Times New Roman" w:eastAsia="宋体" w:cs="Times New Roman"/>
                <w:color w:val="auto"/>
                <w:spacing w:val="0"/>
                <w:w w:val="100"/>
                <w:kern w:val="0"/>
                <w:position w:val="0"/>
                <w:sz w:val="21"/>
                <w:szCs w:val="21"/>
                <w:lang w:val="en-US" w:eastAsia="zh-CN" w:bidi="ar-SA"/>
              </w:rPr>
            </w:pPr>
            <w:r>
              <w:rPr>
                <w:rFonts w:hint="eastAsia" w:ascii="宋体" w:hAnsi="宋体" w:eastAsia="宋体" w:cs="宋体"/>
                <w:color w:val="auto"/>
                <w:spacing w:val="0"/>
                <w:w w:val="100"/>
                <w:kern w:val="0"/>
                <w:position w:val="0"/>
                <w:sz w:val="21"/>
                <w:szCs w:val="21"/>
                <w:lang w:val="en-US" w:eastAsia="zh-CN" w:bidi="ar"/>
              </w:rPr>
              <w:t>新建</w:t>
            </w:r>
          </w:p>
        </w:tc>
      </w:tr>
      <w:tr w14:paraId="223E04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57" w:type="dxa"/>
            <w:left w:w="57" w:type="dxa"/>
            <w:bottom w:w="57" w:type="dxa"/>
            <w:right w:w="57" w:type="dxa"/>
          </w:tblCellMar>
        </w:tblPrEx>
        <w:trPr>
          <w:trHeight w:val="90" w:hRule="atLeast"/>
          <w:jc w:val="center"/>
        </w:trPr>
        <w:tc>
          <w:tcPr>
            <w:tcW w:w="346" w:type="pct"/>
            <w:vMerge w:val="continue"/>
            <w:tcBorders>
              <w:tl2br w:val="nil"/>
              <w:tr2bl w:val="nil"/>
            </w:tcBorders>
            <w:shd w:val="clear" w:color="auto" w:fill="auto"/>
            <w:vAlign w:val="center"/>
          </w:tcPr>
          <w:p w14:paraId="2B55A10D">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rPr>
                <w:rFonts w:hint="default" w:ascii="Times New Roman" w:hAnsi="Times New Roman" w:cs="Times New Roman"/>
                <w:color w:val="auto"/>
                <w:spacing w:val="0"/>
                <w:w w:val="100"/>
                <w:position w:val="0"/>
                <w:sz w:val="20"/>
                <w:szCs w:val="20"/>
              </w:rPr>
            </w:pPr>
          </w:p>
        </w:tc>
        <w:tc>
          <w:tcPr>
            <w:tcW w:w="685" w:type="pct"/>
            <w:tcBorders>
              <w:tl2br w:val="nil"/>
              <w:tr2bl w:val="nil"/>
            </w:tcBorders>
            <w:shd w:val="clear" w:color="auto" w:fill="auto"/>
            <w:vAlign w:val="center"/>
          </w:tcPr>
          <w:p w14:paraId="064E5A84">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pacing w:val="0"/>
                <w:w w:val="100"/>
                <w:kern w:val="0"/>
                <w:position w:val="0"/>
                <w:sz w:val="21"/>
                <w:szCs w:val="21"/>
                <w:lang w:val="en-US" w:eastAsia="zh-CN" w:bidi="ar-SA"/>
              </w:rPr>
            </w:pPr>
            <w:r>
              <w:rPr>
                <w:rFonts w:hint="eastAsia" w:cs="宋体"/>
                <w:color w:val="auto"/>
                <w:spacing w:val="0"/>
                <w:w w:val="100"/>
                <w:kern w:val="0"/>
                <w:position w:val="0"/>
                <w:sz w:val="21"/>
                <w:szCs w:val="21"/>
                <w:lang w:val="en-US" w:eastAsia="zh-CN" w:bidi="ar"/>
              </w:rPr>
              <w:t>原料、成品储存</w:t>
            </w:r>
          </w:p>
        </w:tc>
        <w:tc>
          <w:tcPr>
            <w:tcW w:w="3340" w:type="pct"/>
            <w:gridSpan w:val="2"/>
            <w:tcBorders>
              <w:tl2br w:val="nil"/>
              <w:tr2bl w:val="nil"/>
            </w:tcBorders>
            <w:shd w:val="clear" w:color="auto" w:fill="auto"/>
            <w:vAlign w:val="center"/>
          </w:tcPr>
          <w:p w14:paraId="06F6FEF7">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pacing w:val="0"/>
                <w:w w:val="100"/>
                <w:kern w:val="0"/>
                <w:position w:val="0"/>
                <w:sz w:val="21"/>
                <w:szCs w:val="21"/>
                <w:lang w:val="en-US" w:eastAsia="zh" w:bidi="ar-SA"/>
              </w:rPr>
            </w:pPr>
            <w:r>
              <w:rPr>
                <w:rFonts w:hint="default" w:ascii="Times New Roman" w:hAnsi="Times New Roman" w:eastAsia="宋体" w:cs="Times New Roman"/>
                <w:color w:val="auto"/>
                <w:spacing w:val="0"/>
                <w:w w:val="100"/>
                <w:kern w:val="0"/>
                <w:position w:val="0"/>
                <w:sz w:val="21"/>
                <w:szCs w:val="21"/>
                <w:lang w:val="en-US" w:eastAsia="zh" w:bidi="ar-SA"/>
              </w:rPr>
              <w:t>在生产</w:t>
            </w:r>
            <w:r>
              <w:rPr>
                <w:rFonts w:hint="eastAsia" w:ascii="Times New Roman" w:hAnsi="Times New Roman" w:cs="Times New Roman"/>
                <w:color w:val="auto"/>
                <w:spacing w:val="0"/>
                <w:w w:val="100"/>
                <w:kern w:val="0"/>
                <w:position w:val="0"/>
                <w:sz w:val="21"/>
                <w:szCs w:val="21"/>
                <w:lang w:val="en-US" w:eastAsia="zh-CN" w:bidi="ar-SA"/>
              </w:rPr>
              <w:t>车间</w:t>
            </w:r>
            <w:r>
              <w:rPr>
                <w:rFonts w:hint="default" w:ascii="Times New Roman" w:hAnsi="Times New Roman" w:eastAsia="宋体" w:cs="Times New Roman"/>
                <w:color w:val="auto"/>
                <w:spacing w:val="0"/>
                <w:w w:val="100"/>
                <w:kern w:val="0"/>
                <w:position w:val="0"/>
                <w:sz w:val="21"/>
                <w:szCs w:val="21"/>
                <w:lang w:val="en-US" w:eastAsia="zh" w:bidi="ar-SA"/>
              </w:rPr>
              <w:t>内划定区域</w:t>
            </w:r>
            <w:r>
              <w:rPr>
                <w:rFonts w:hint="eastAsia" w:ascii="Times New Roman" w:hAnsi="Times New Roman" w:cs="Times New Roman"/>
                <w:color w:val="auto"/>
                <w:spacing w:val="0"/>
                <w:w w:val="100"/>
                <w:kern w:val="0"/>
                <w:position w:val="0"/>
                <w:sz w:val="21"/>
                <w:szCs w:val="21"/>
                <w:lang w:val="en-US" w:eastAsia="zh-CN" w:bidi="ar-SA"/>
              </w:rPr>
              <w:t>，位于车间西侧，成品储存区与原料存储区面积各约450m</w:t>
            </w:r>
            <w:r>
              <w:rPr>
                <w:rFonts w:hint="eastAsia" w:ascii="Times New Roman" w:hAnsi="Times New Roman" w:cs="Times New Roman"/>
                <w:color w:val="auto"/>
                <w:spacing w:val="0"/>
                <w:w w:val="100"/>
                <w:kern w:val="0"/>
                <w:position w:val="0"/>
                <w:sz w:val="21"/>
                <w:szCs w:val="21"/>
                <w:vertAlign w:val="superscript"/>
                <w:lang w:val="en-US" w:eastAsia="zh-CN" w:bidi="ar-SA"/>
              </w:rPr>
              <w:t>2</w:t>
            </w:r>
            <w:r>
              <w:rPr>
                <w:rFonts w:hint="default" w:ascii="Times New Roman" w:hAnsi="Times New Roman" w:eastAsia="宋体" w:cs="Times New Roman"/>
                <w:color w:val="auto"/>
                <w:spacing w:val="0"/>
                <w:w w:val="100"/>
                <w:kern w:val="0"/>
                <w:position w:val="0"/>
                <w:sz w:val="21"/>
                <w:szCs w:val="21"/>
                <w:lang w:val="en-US" w:eastAsia="zh" w:bidi="ar-SA"/>
              </w:rPr>
              <w:t>。</w:t>
            </w:r>
          </w:p>
        </w:tc>
        <w:tc>
          <w:tcPr>
            <w:tcW w:w="627" w:type="pct"/>
            <w:tcBorders>
              <w:tl2br w:val="nil"/>
              <w:tr2bl w:val="nil"/>
            </w:tcBorders>
            <w:shd w:val="clear" w:color="auto" w:fill="auto"/>
            <w:vAlign w:val="center"/>
          </w:tcPr>
          <w:p w14:paraId="3BC5708A">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pacing w:val="0"/>
                <w:w w:val="100"/>
                <w:kern w:val="0"/>
                <w:position w:val="0"/>
                <w:sz w:val="21"/>
                <w:szCs w:val="21"/>
                <w:lang w:val="en-US" w:eastAsia="zh-CN" w:bidi="ar-SA"/>
              </w:rPr>
            </w:pPr>
            <w:r>
              <w:rPr>
                <w:rFonts w:hint="eastAsia" w:cs="宋体"/>
                <w:color w:val="auto"/>
                <w:spacing w:val="0"/>
                <w:w w:val="100"/>
                <w:kern w:val="0"/>
                <w:position w:val="0"/>
                <w:sz w:val="21"/>
                <w:szCs w:val="21"/>
                <w:lang w:val="en-US" w:eastAsia="zh-CN" w:bidi="ar"/>
              </w:rPr>
              <w:t>租赁</w:t>
            </w:r>
          </w:p>
        </w:tc>
      </w:tr>
      <w:tr w14:paraId="365E31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346" w:type="pct"/>
            <w:vMerge w:val="restart"/>
            <w:tcBorders>
              <w:tl2br w:val="nil"/>
              <w:tr2bl w:val="nil"/>
            </w:tcBorders>
            <w:shd w:val="clear" w:color="auto" w:fill="auto"/>
            <w:vAlign w:val="center"/>
          </w:tcPr>
          <w:p w14:paraId="76C5CB3A">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公用工程</w:t>
            </w:r>
          </w:p>
        </w:tc>
        <w:tc>
          <w:tcPr>
            <w:tcW w:w="685" w:type="pct"/>
            <w:tcBorders>
              <w:tl2br w:val="nil"/>
              <w:tr2bl w:val="nil"/>
            </w:tcBorders>
            <w:shd w:val="clear" w:color="auto" w:fill="auto"/>
            <w:vAlign w:val="center"/>
          </w:tcPr>
          <w:p w14:paraId="34B0D1CF">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给水</w:t>
            </w:r>
          </w:p>
        </w:tc>
        <w:tc>
          <w:tcPr>
            <w:tcW w:w="3340" w:type="pct"/>
            <w:gridSpan w:val="2"/>
            <w:tcBorders>
              <w:tl2br w:val="nil"/>
              <w:tr2bl w:val="nil"/>
            </w:tcBorders>
            <w:shd w:val="clear" w:color="auto" w:fill="auto"/>
            <w:vAlign w:val="center"/>
          </w:tcPr>
          <w:p w14:paraId="4840CB22">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园区管网供水</w:t>
            </w:r>
          </w:p>
        </w:tc>
        <w:tc>
          <w:tcPr>
            <w:tcW w:w="627" w:type="pct"/>
            <w:tcBorders>
              <w:tl2br w:val="nil"/>
              <w:tr2bl w:val="nil"/>
            </w:tcBorders>
            <w:shd w:val="clear" w:color="auto" w:fill="auto"/>
            <w:vAlign w:val="center"/>
          </w:tcPr>
          <w:p w14:paraId="01FF2E21">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依托</w:t>
            </w:r>
          </w:p>
        </w:tc>
      </w:tr>
      <w:tr w14:paraId="6F3417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57" w:type="dxa"/>
            <w:left w:w="57" w:type="dxa"/>
            <w:bottom w:w="57" w:type="dxa"/>
            <w:right w:w="57" w:type="dxa"/>
          </w:tblCellMar>
        </w:tblPrEx>
        <w:trPr>
          <w:jc w:val="center"/>
        </w:trPr>
        <w:tc>
          <w:tcPr>
            <w:tcW w:w="346" w:type="pct"/>
            <w:vMerge w:val="continue"/>
            <w:tcBorders>
              <w:tl2br w:val="nil"/>
              <w:tr2bl w:val="nil"/>
            </w:tcBorders>
            <w:shd w:val="clear" w:color="auto" w:fill="auto"/>
            <w:vAlign w:val="center"/>
          </w:tcPr>
          <w:p w14:paraId="752701EC">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rPr>
                <w:rFonts w:hint="default" w:ascii="Times New Roman" w:hAnsi="Times New Roman" w:cs="Times New Roman"/>
                <w:color w:val="auto"/>
                <w:spacing w:val="0"/>
                <w:w w:val="100"/>
                <w:position w:val="0"/>
                <w:sz w:val="20"/>
                <w:szCs w:val="20"/>
              </w:rPr>
            </w:pPr>
          </w:p>
        </w:tc>
        <w:tc>
          <w:tcPr>
            <w:tcW w:w="685" w:type="pct"/>
            <w:tcBorders>
              <w:tl2br w:val="nil"/>
              <w:tr2bl w:val="nil"/>
            </w:tcBorders>
            <w:shd w:val="clear" w:color="auto" w:fill="auto"/>
            <w:vAlign w:val="center"/>
          </w:tcPr>
          <w:p w14:paraId="4F75B482">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排水</w:t>
            </w:r>
          </w:p>
        </w:tc>
        <w:tc>
          <w:tcPr>
            <w:tcW w:w="3340" w:type="pct"/>
            <w:gridSpan w:val="2"/>
            <w:tcBorders>
              <w:tl2br w:val="nil"/>
              <w:tr2bl w:val="nil"/>
            </w:tcBorders>
            <w:shd w:val="clear" w:color="auto" w:fill="auto"/>
            <w:vAlign w:val="center"/>
          </w:tcPr>
          <w:p w14:paraId="04E2AB1A">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园区污水管网及</w:t>
            </w:r>
            <w:r>
              <w:rPr>
                <w:rFonts w:hint="eastAsia" w:cs="宋体"/>
                <w:color w:val="auto"/>
                <w:spacing w:val="0"/>
                <w:w w:val="100"/>
                <w:kern w:val="0"/>
                <w:position w:val="0"/>
                <w:sz w:val="21"/>
                <w:szCs w:val="21"/>
                <w:lang w:val="en-US" w:eastAsia="zh-CN" w:bidi="ar"/>
              </w:rPr>
              <w:t>阜西区污水处理厂</w:t>
            </w:r>
          </w:p>
        </w:tc>
        <w:tc>
          <w:tcPr>
            <w:tcW w:w="627" w:type="pct"/>
            <w:tcBorders>
              <w:tl2br w:val="nil"/>
              <w:tr2bl w:val="nil"/>
            </w:tcBorders>
            <w:shd w:val="clear" w:color="auto" w:fill="auto"/>
            <w:vAlign w:val="center"/>
          </w:tcPr>
          <w:p w14:paraId="69AFB279">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依托</w:t>
            </w:r>
          </w:p>
        </w:tc>
      </w:tr>
      <w:tr w14:paraId="2A4FDC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346" w:type="pct"/>
            <w:vMerge w:val="continue"/>
            <w:tcBorders>
              <w:tl2br w:val="nil"/>
              <w:tr2bl w:val="nil"/>
            </w:tcBorders>
            <w:shd w:val="clear" w:color="auto" w:fill="auto"/>
            <w:vAlign w:val="center"/>
          </w:tcPr>
          <w:p w14:paraId="55A51112">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rPr>
                <w:rFonts w:hint="default" w:ascii="Times New Roman" w:hAnsi="Times New Roman" w:cs="Times New Roman"/>
                <w:color w:val="auto"/>
                <w:spacing w:val="0"/>
                <w:w w:val="100"/>
                <w:position w:val="0"/>
                <w:sz w:val="20"/>
                <w:szCs w:val="20"/>
              </w:rPr>
            </w:pPr>
          </w:p>
        </w:tc>
        <w:tc>
          <w:tcPr>
            <w:tcW w:w="685" w:type="pct"/>
            <w:tcBorders>
              <w:tl2br w:val="nil"/>
              <w:tr2bl w:val="nil"/>
            </w:tcBorders>
            <w:shd w:val="clear" w:color="auto" w:fill="auto"/>
            <w:vAlign w:val="center"/>
          </w:tcPr>
          <w:p w14:paraId="7D504450">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供电</w:t>
            </w:r>
          </w:p>
        </w:tc>
        <w:tc>
          <w:tcPr>
            <w:tcW w:w="3340" w:type="pct"/>
            <w:gridSpan w:val="2"/>
            <w:tcBorders>
              <w:tl2br w:val="nil"/>
              <w:tr2bl w:val="nil"/>
            </w:tcBorders>
            <w:shd w:val="clear" w:color="auto" w:fill="auto"/>
            <w:vAlign w:val="center"/>
          </w:tcPr>
          <w:p w14:paraId="18A9FEC1">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由市政供电线路接入</w:t>
            </w:r>
          </w:p>
        </w:tc>
        <w:tc>
          <w:tcPr>
            <w:tcW w:w="627" w:type="pct"/>
            <w:tcBorders>
              <w:tl2br w:val="nil"/>
              <w:tr2bl w:val="nil"/>
            </w:tcBorders>
            <w:shd w:val="clear" w:color="auto" w:fill="auto"/>
            <w:vAlign w:val="center"/>
          </w:tcPr>
          <w:p w14:paraId="7AFF631C">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依托</w:t>
            </w:r>
          </w:p>
        </w:tc>
      </w:tr>
      <w:tr w14:paraId="6ADFD3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346" w:type="pct"/>
            <w:vMerge w:val="continue"/>
            <w:tcBorders>
              <w:tl2br w:val="nil"/>
              <w:tr2bl w:val="nil"/>
            </w:tcBorders>
            <w:shd w:val="clear" w:color="auto" w:fill="auto"/>
            <w:vAlign w:val="center"/>
          </w:tcPr>
          <w:p w14:paraId="6E31DAEE">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rPr>
                <w:rFonts w:hint="default" w:ascii="Times New Roman" w:hAnsi="Times New Roman" w:cs="Times New Roman"/>
                <w:color w:val="auto"/>
                <w:spacing w:val="0"/>
                <w:w w:val="100"/>
                <w:position w:val="0"/>
                <w:sz w:val="20"/>
                <w:szCs w:val="20"/>
              </w:rPr>
            </w:pPr>
          </w:p>
        </w:tc>
        <w:tc>
          <w:tcPr>
            <w:tcW w:w="685" w:type="pct"/>
            <w:tcBorders>
              <w:tl2br w:val="nil"/>
              <w:tr2bl w:val="nil"/>
            </w:tcBorders>
            <w:shd w:val="clear" w:color="auto" w:fill="auto"/>
            <w:vAlign w:val="center"/>
          </w:tcPr>
          <w:p w14:paraId="0EC39D42">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供暖</w:t>
            </w:r>
          </w:p>
        </w:tc>
        <w:tc>
          <w:tcPr>
            <w:tcW w:w="3340" w:type="pct"/>
            <w:gridSpan w:val="2"/>
            <w:tcBorders>
              <w:tl2br w:val="nil"/>
              <w:tr2bl w:val="nil"/>
            </w:tcBorders>
            <w:shd w:val="clear" w:color="auto" w:fill="auto"/>
            <w:vAlign w:val="center"/>
          </w:tcPr>
          <w:p w14:paraId="235381A1">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cs="宋体"/>
                <w:color w:val="auto"/>
                <w:spacing w:val="0"/>
                <w:w w:val="100"/>
                <w:kern w:val="0"/>
                <w:position w:val="0"/>
                <w:sz w:val="21"/>
                <w:szCs w:val="21"/>
                <w:lang w:val="en-US" w:eastAsia="zh-CN" w:bidi="ar"/>
              </w:rPr>
              <w:t>电采暖</w:t>
            </w:r>
          </w:p>
        </w:tc>
        <w:tc>
          <w:tcPr>
            <w:tcW w:w="627" w:type="pct"/>
            <w:tcBorders>
              <w:tl2br w:val="nil"/>
              <w:tr2bl w:val="nil"/>
            </w:tcBorders>
            <w:shd w:val="clear" w:color="auto" w:fill="auto"/>
            <w:vAlign w:val="center"/>
          </w:tcPr>
          <w:p w14:paraId="5967B73C">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cs="宋体"/>
                <w:color w:val="auto"/>
                <w:spacing w:val="0"/>
                <w:w w:val="100"/>
                <w:kern w:val="0"/>
                <w:position w:val="0"/>
                <w:sz w:val="21"/>
                <w:szCs w:val="21"/>
                <w:lang w:val="en-US" w:eastAsia="zh-CN" w:bidi="ar"/>
              </w:rPr>
              <w:t>/</w:t>
            </w:r>
          </w:p>
        </w:tc>
      </w:tr>
      <w:tr w14:paraId="4331AC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638" w:hRule="atLeast"/>
          <w:jc w:val="center"/>
        </w:trPr>
        <w:tc>
          <w:tcPr>
            <w:tcW w:w="346" w:type="pct"/>
            <w:vMerge w:val="restart"/>
            <w:tcBorders>
              <w:tl2br w:val="nil"/>
              <w:tr2bl w:val="nil"/>
            </w:tcBorders>
            <w:shd w:val="clear" w:color="auto" w:fill="auto"/>
            <w:vAlign w:val="center"/>
          </w:tcPr>
          <w:p w14:paraId="24180D21">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环保工程</w:t>
            </w:r>
          </w:p>
        </w:tc>
        <w:tc>
          <w:tcPr>
            <w:tcW w:w="685" w:type="pct"/>
            <w:vMerge w:val="restart"/>
            <w:tcBorders>
              <w:tl2br w:val="nil"/>
              <w:tr2bl w:val="nil"/>
            </w:tcBorders>
            <w:shd w:val="clear" w:color="auto" w:fill="auto"/>
            <w:vAlign w:val="center"/>
          </w:tcPr>
          <w:p w14:paraId="16FBCE4D">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废水</w:t>
            </w:r>
          </w:p>
        </w:tc>
        <w:tc>
          <w:tcPr>
            <w:tcW w:w="601" w:type="pct"/>
            <w:tcBorders>
              <w:tl2br w:val="nil"/>
              <w:tr2bl w:val="nil"/>
            </w:tcBorders>
            <w:shd w:val="clear" w:color="auto" w:fill="auto"/>
            <w:vAlign w:val="center"/>
          </w:tcPr>
          <w:p w14:paraId="22DD8299">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生产废水</w:t>
            </w:r>
          </w:p>
        </w:tc>
        <w:tc>
          <w:tcPr>
            <w:tcW w:w="2739" w:type="pct"/>
            <w:tcBorders>
              <w:tl2br w:val="nil"/>
              <w:tr2bl w:val="nil"/>
            </w:tcBorders>
            <w:shd w:val="clear" w:color="auto" w:fill="auto"/>
            <w:vAlign w:val="center"/>
          </w:tcPr>
          <w:p w14:paraId="41DD2E1C">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eastAsia" w:ascii="Times New Roman" w:hAnsi="Times New Roman" w:eastAsia="宋体" w:cs="Times New Roman"/>
                <w:color w:val="auto"/>
                <w:spacing w:val="0"/>
                <w:w w:val="100"/>
                <w:kern w:val="0"/>
                <w:position w:val="0"/>
                <w:sz w:val="21"/>
                <w:szCs w:val="21"/>
                <w:lang w:eastAsia="zh-CN"/>
              </w:rPr>
            </w:pPr>
            <w:r>
              <w:rPr>
                <w:rFonts w:hint="eastAsia" w:cs="宋体"/>
                <w:color w:val="auto"/>
                <w:spacing w:val="0"/>
                <w:w w:val="100"/>
                <w:kern w:val="0"/>
                <w:position w:val="0"/>
                <w:sz w:val="21"/>
                <w:szCs w:val="21"/>
                <w:lang w:val="en-US" w:eastAsia="zh-CN" w:bidi="ar"/>
              </w:rPr>
              <w:t>循环使用不外排</w:t>
            </w:r>
            <w:r>
              <w:rPr>
                <w:rFonts w:hint="eastAsia"/>
                <w:color w:val="auto"/>
                <w:spacing w:val="0"/>
                <w:lang w:eastAsia="zh-CN"/>
              </w:rPr>
              <w:t>。</w:t>
            </w:r>
          </w:p>
        </w:tc>
        <w:tc>
          <w:tcPr>
            <w:tcW w:w="627" w:type="pct"/>
            <w:tcBorders>
              <w:tl2br w:val="nil"/>
              <w:tr2bl w:val="nil"/>
            </w:tcBorders>
            <w:shd w:val="clear" w:color="auto" w:fill="auto"/>
            <w:vAlign w:val="center"/>
          </w:tcPr>
          <w:p w14:paraId="0D09AB56">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新建</w:t>
            </w:r>
          </w:p>
        </w:tc>
      </w:tr>
      <w:tr w14:paraId="1893D7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346" w:type="pct"/>
            <w:vMerge w:val="continue"/>
            <w:tcBorders>
              <w:tl2br w:val="nil"/>
              <w:tr2bl w:val="nil"/>
            </w:tcBorders>
            <w:shd w:val="clear" w:color="auto" w:fill="auto"/>
            <w:vAlign w:val="center"/>
          </w:tcPr>
          <w:p w14:paraId="40EF2C9C">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rPr>
                <w:rFonts w:hint="default" w:ascii="Times New Roman" w:hAnsi="Times New Roman" w:cs="Times New Roman"/>
                <w:color w:val="auto"/>
                <w:spacing w:val="0"/>
                <w:w w:val="100"/>
                <w:position w:val="0"/>
                <w:sz w:val="20"/>
                <w:szCs w:val="20"/>
              </w:rPr>
            </w:pPr>
          </w:p>
        </w:tc>
        <w:tc>
          <w:tcPr>
            <w:tcW w:w="685" w:type="pct"/>
            <w:vMerge w:val="continue"/>
            <w:tcBorders>
              <w:tl2br w:val="nil"/>
              <w:tr2bl w:val="nil"/>
            </w:tcBorders>
            <w:shd w:val="clear" w:color="auto" w:fill="auto"/>
            <w:vAlign w:val="center"/>
          </w:tcPr>
          <w:p w14:paraId="3C1B12CC">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rPr>
                <w:rFonts w:hint="default" w:ascii="Times New Roman" w:hAnsi="Times New Roman" w:cs="Times New Roman"/>
                <w:color w:val="auto"/>
                <w:spacing w:val="0"/>
                <w:w w:val="100"/>
                <w:position w:val="0"/>
                <w:sz w:val="20"/>
                <w:szCs w:val="20"/>
              </w:rPr>
            </w:pPr>
          </w:p>
        </w:tc>
        <w:tc>
          <w:tcPr>
            <w:tcW w:w="601" w:type="pct"/>
            <w:tcBorders>
              <w:tl2br w:val="nil"/>
              <w:tr2bl w:val="nil"/>
            </w:tcBorders>
            <w:shd w:val="clear" w:color="auto" w:fill="auto"/>
            <w:vAlign w:val="center"/>
          </w:tcPr>
          <w:p w14:paraId="56B86D43">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生活污水</w:t>
            </w:r>
          </w:p>
        </w:tc>
        <w:tc>
          <w:tcPr>
            <w:tcW w:w="2739" w:type="pct"/>
            <w:tcBorders>
              <w:tl2br w:val="nil"/>
              <w:tr2bl w:val="nil"/>
            </w:tcBorders>
            <w:shd w:val="clear" w:color="auto" w:fill="auto"/>
            <w:vAlign w:val="center"/>
          </w:tcPr>
          <w:p w14:paraId="3F7AC43A">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eastAsia"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经园区污水管网排入</w:t>
            </w:r>
            <w:r>
              <w:rPr>
                <w:rFonts w:hint="eastAsia" w:cs="宋体"/>
                <w:color w:val="auto"/>
                <w:spacing w:val="0"/>
                <w:w w:val="100"/>
                <w:kern w:val="0"/>
                <w:position w:val="0"/>
                <w:sz w:val="21"/>
                <w:szCs w:val="21"/>
                <w:lang w:val="en-US" w:eastAsia="zh-CN" w:bidi="ar"/>
              </w:rPr>
              <w:t>阜西区污水处理厂</w:t>
            </w:r>
            <w:r>
              <w:rPr>
                <w:rFonts w:hint="eastAsia" w:ascii="宋体" w:hAnsi="宋体" w:eastAsia="宋体" w:cs="宋体"/>
                <w:color w:val="auto"/>
                <w:spacing w:val="0"/>
                <w:w w:val="100"/>
                <w:kern w:val="0"/>
                <w:position w:val="0"/>
                <w:sz w:val="21"/>
                <w:szCs w:val="21"/>
                <w:lang w:val="en-US" w:eastAsia="zh-CN" w:bidi="ar"/>
              </w:rPr>
              <w:t>处理</w:t>
            </w:r>
          </w:p>
        </w:tc>
        <w:tc>
          <w:tcPr>
            <w:tcW w:w="627" w:type="pct"/>
            <w:tcBorders>
              <w:tl2br w:val="nil"/>
              <w:tr2bl w:val="nil"/>
            </w:tcBorders>
            <w:shd w:val="clear" w:color="auto" w:fill="auto"/>
            <w:vAlign w:val="center"/>
          </w:tcPr>
          <w:p w14:paraId="11397E39">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新建</w:t>
            </w:r>
          </w:p>
        </w:tc>
      </w:tr>
      <w:tr w14:paraId="12C665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346" w:type="pct"/>
            <w:vMerge w:val="continue"/>
            <w:tcBorders>
              <w:tl2br w:val="nil"/>
              <w:tr2bl w:val="nil"/>
            </w:tcBorders>
            <w:shd w:val="clear" w:color="auto" w:fill="auto"/>
            <w:vAlign w:val="center"/>
          </w:tcPr>
          <w:p w14:paraId="1DBDAE57">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rPr>
                <w:rFonts w:hint="default" w:ascii="Times New Roman" w:hAnsi="Times New Roman" w:cs="Times New Roman"/>
                <w:color w:val="auto"/>
                <w:spacing w:val="0"/>
                <w:w w:val="100"/>
                <w:position w:val="0"/>
                <w:sz w:val="20"/>
                <w:szCs w:val="20"/>
              </w:rPr>
            </w:pPr>
          </w:p>
        </w:tc>
        <w:tc>
          <w:tcPr>
            <w:tcW w:w="685" w:type="pct"/>
            <w:tcBorders>
              <w:tl2br w:val="nil"/>
              <w:tr2bl w:val="nil"/>
            </w:tcBorders>
            <w:shd w:val="clear" w:color="auto" w:fill="auto"/>
            <w:vAlign w:val="center"/>
          </w:tcPr>
          <w:p w14:paraId="212E8AFA">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en-US" w:eastAsia="zh-CN" w:bidi="ar"/>
              </w:rPr>
              <w:t>废气</w:t>
            </w:r>
          </w:p>
        </w:tc>
        <w:tc>
          <w:tcPr>
            <w:tcW w:w="601" w:type="pct"/>
            <w:tcBorders>
              <w:tl2br w:val="nil"/>
              <w:tr2bl w:val="nil"/>
            </w:tcBorders>
            <w:shd w:val="clear" w:color="auto" w:fill="auto"/>
            <w:vAlign w:val="center"/>
          </w:tcPr>
          <w:p w14:paraId="7E88CA9B">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
              </w:rPr>
              <w:t>运营期</w:t>
            </w:r>
          </w:p>
        </w:tc>
        <w:tc>
          <w:tcPr>
            <w:tcW w:w="2739" w:type="pct"/>
            <w:tcBorders>
              <w:tl2br w:val="nil"/>
              <w:tr2bl w:val="nil"/>
            </w:tcBorders>
            <w:shd w:val="clear" w:color="auto" w:fill="auto"/>
            <w:vAlign w:val="center"/>
          </w:tcPr>
          <w:p w14:paraId="2A37A0BC">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
              </w:rPr>
              <w:t>混料搅拌工序颗粒物经密闭管道收集至布袋除尘器处理后经1根15m高排气筒（DA001）排放；挤出成型、热压复合、修边保温、热压工段有机废气经集气罩收集至“活性炭吸附脱附+催化燃烧装置”处理后由1根15m排气筒（DA002）排放。</w:t>
            </w:r>
          </w:p>
        </w:tc>
        <w:tc>
          <w:tcPr>
            <w:tcW w:w="627" w:type="pct"/>
            <w:tcBorders>
              <w:tl2br w:val="nil"/>
              <w:tr2bl w:val="nil"/>
            </w:tcBorders>
            <w:shd w:val="clear" w:color="auto" w:fill="auto"/>
            <w:vAlign w:val="center"/>
          </w:tcPr>
          <w:p w14:paraId="63ED051A">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
              </w:rPr>
              <w:t>新建</w:t>
            </w:r>
          </w:p>
        </w:tc>
      </w:tr>
      <w:tr w14:paraId="10F6B3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57" w:type="dxa"/>
            <w:left w:w="57" w:type="dxa"/>
            <w:bottom w:w="57" w:type="dxa"/>
            <w:right w:w="57" w:type="dxa"/>
          </w:tblCellMar>
        </w:tblPrEx>
        <w:trPr>
          <w:jc w:val="center"/>
        </w:trPr>
        <w:tc>
          <w:tcPr>
            <w:tcW w:w="346" w:type="pct"/>
            <w:vMerge w:val="continue"/>
            <w:tcBorders>
              <w:tl2br w:val="nil"/>
              <w:tr2bl w:val="nil"/>
            </w:tcBorders>
            <w:shd w:val="clear" w:color="auto" w:fill="auto"/>
            <w:vAlign w:val="center"/>
          </w:tcPr>
          <w:p w14:paraId="55C093E2">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rPr>
                <w:rFonts w:hint="default" w:ascii="Times New Roman" w:hAnsi="Times New Roman" w:cs="Times New Roman"/>
                <w:color w:val="auto"/>
                <w:spacing w:val="0"/>
                <w:w w:val="100"/>
                <w:position w:val="0"/>
                <w:sz w:val="20"/>
                <w:szCs w:val="20"/>
              </w:rPr>
            </w:pPr>
          </w:p>
        </w:tc>
        <w:tc>
          <w:tcPr>
            <w:tcW w:w="685" w:type="pct"/>
            <w:vMerge w:val="restart"/>
            <w:tcBorders>
              <w:tl2br w:val="nil"/>
              <w:tr2bl w:val="nil"/>
            </w:tcBorders>
            <w:shd w:val="clear" w:color="auto" w:fill="auto"/>
            <w:vAlign w:val="center"/>
          </w:tcPr>
          <w:p w14:paraId="02528FD1">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固体废物</w:t>
            </w:r>
          </w:p>
        </w:tc>
        <w:tc>
          <w:tcPr>
            <w:tcW w:w="601" w:type="pct"/>
            <w:tcBorders>
              <w:tl2br w:val="nil"/>
              <w:tr2bl w:val="nil"/>
            </w:tcBorders>
            <w:shd w:val="clear" w:color="auto" w:fill="auto"/>
            <w:vAlign w:val="center"/>
          </w:tcPr>
          <w:p w14:paraId="0B1E02D7">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一般工业固废</w:t>
            </w:r>
          </w:p>
        </w:tc>
        <w:tc>
          <w:tcPr>
            <w:tcW w:w="2739" w:type="pct"/>
            <w:tcBorders>
              <w:tl2br w:val="nil"/>
              <w:tr2bl w:val="nil"/>
            </w:tcBorders>
            <w:shd w:val="clear" w:color="auto" w:fill="auto"/>
            <w:vAlign w:val="center"/>
          </w:tcPr>
          <w:p w14:paraId="07CEBC84">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本项目产生的一般工业固废集中收集后至一般工业固废暂存库，外售于废品回收站。</w:t>
            </w:r>
          </w:p>
        </w:tc>
        <w:tc>
          <w:tcPr>
            <w:tcW w:w="627" w:type="pct"/>
            <w:tcBorders>
              <w:tl2br w:val="nil"/>
              <w:tr2bl w:val="nil"/>
            </w:tcBorders>
            <w:shd w:val="clear" w:color="auto" w:fill="auto"/>
            <w:vAlign w:val="center"/>
          </w:tcPr>
          <w:p w14:paraId="190DE901">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新建</w:t>
            </w:r>
          </w:p>
        </w:tc>
      </w:tr>
      <w:tr w14:paraId="7E5644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346" w:type="pct"/>
            <w:vMerge w:val="continue"/>
            <w:tcBorders>
              <w:tl2br w:val="nil"/>
              <w:tr2bl w:val="nil"/>
            </w:tcBorders>
            <w:shd w:val="clear" w:color="auto" w:fill="auto"/>
            <w:vAlign w:val="center"/>
          </w:tcPr>
          <w:p w14:paraId="045483E8">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rPr>
                <w:rFonts w:hint="default" w:ascii="Times New Roman" w:hAnsi="Times New Roman" w:cs="Times New Roman"/>
                <w:color w:val="auto"/>
                <w:spacing w:val="0"/>
                <w:w w:val="100"/>
                <w:position w:val="0"/>
                <w:sz w:val="20"/>
                <w:szCs w:val="20"/>
              </w:rPr>
            </w:pPr>
          </w:p>
        </w:tc>
        <w:tc>
          <w:tcPr>
            <w:tcW w:w="685" w:type="pct"/>
            <w:vMerge w:val="continue"/>
            <w:tcBorders>
              <w:tl2br w:val="nil"/>
              <w:tr2bl w:val="nil"/>
            </w:tcBorders>
            <w:shd w:val="clear" w:color="auto" w:fill="auto"/>
            <w:vAlign w:val="center"/>
          </w:tcPr>
          <w:p w14:paraId="252A36DD">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rPr>
                <w:rFonts w:hint="default" w:ascii="Times New Roman" w:hAnsi="Times New Roman" w:cs="Times New Roman"/>
                <w:color w:val="auto"/>
                <w:spacing w:val="0"/>
                <w:w w:val="100"/>
                <w:position w:val="0"/>
                <w:sz w:val="20"/>
                <w:szCs w:val="20"/>
              </w:rPr>
            </w:pPr>
          </w:p>
        </w:tc>
        <w:tc>
          <w:tcPr>
            <w:tcW w:w="601" w:type="pct"/>
            <w:tcBorders>
              <w:tl2br w:val="nil"/>
              <w:tr2bl w:val="nil"/>
            </w:tcBorders>
            <w:shd w:val="clear" w:color="auto" w:fill="auto"/>
            <w:vAlign w:val="center"/>
          </w:tcPr>
          <w:p w14:paraId="5DF29AE4">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危险废物</w:t>
            </w:r>
          </w:p>
        </w:tc>
        <w:tc>
          <w:tcPr>
            <w:tcW w:w="2739" w:type="pct"/>
            <w:tcBorders>
              <w:tl2br w:val="nil"/>
              <w:tr2bl w:val="nil"/>
            </w:tcBorders>
            <w:shd w:val="clear" w:color="auto" w:fill="auto"/>
            <w:vAlign w:val="center"/>
          </w:tcPr>
          <w:p w14:paraId="060D767C">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设置危废贮存库，地面防腐、防渗处理，干湿分区，用于储存项目区危险废物，在明显位置贴</w:t>
            </w:r>
            <w:r>
              <w:rPr>
                <w:rFonts w:hint="default" w:ascii="Times New Roman" w:hAnsi="Times New Roman" w:eastAsia="宋体" w:cs="Times New Roman"/>
                <w:color w:val="auto"/>
                <w:spacing w:val="0"/>
                <w:w w:val="100"/>
                <w:kern w:val="0"/>
                <w:position w:val="0"/>
                <w:sz w:val="21"/>
                <w:szCs w:val="21"/>
                <w:lang w:val="en-US" w:eastAsia="zh-CN" w:bidi="ar"/>
              </w:rPr>
              <w:t>/</w:t>
            </w:r>
            <w:r>
              <w:rPr>
                <w:rFonts w:hint="eastAsia" w:ascii="宋体" w:hAnsi="宋体" w:eastAsia="宋体" w:cs="宋体"/>
                <w:color w:val="auto"/>
                <w:spacing w:val="0"/>
                <w:w w:val="100"/>
                <w:kern w:val="0"/>
                <w:position w:val="0"/>
                <w:sz w:val="21"/>
                <w:szCs w:val="21"/>
                <w:lang w:val="en-US" w:eastAsia="zh-CN" w:bidi="ar"/>
              </w:rPr>
              <w:t>挂标识标牌，定期交由有相应处理资质的单位处理处置</w:t>
            </w:r>
          </w:p>
        </w:tc>
        <w:tc>
          <w:tcPr>
            <w:tcW w:w="627" w:type="pct"/>
            <w:tcBorders>
              <w:tl2br w:val="nil"/>
              <w:tr2bl w:val="nil"/>
            </w:tcBorders>
            <w:shd w:val="clear" w:color="auto" w:fill="auto"/>
            <w:vAlign w:val="center"/>
          </w:tcPr>
          <w:p w14:paraId="26AA4981">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新建</w:t>
            </w:r>
          </w:p>
        </w:tc>
      </w:tr>
      <w:tr w14:paraId="633F15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346" w:type="pct"/>
            <w:vMerge w:val="continue"/>
            <w:tcBorders>
              <w:tl2br w:val="nil"/>
              <w:tr2bl w:val="nil"/>
            </w:tcBorders>
            <w:shd w:val="clear" w:color="auto" w:fill="auto"/>
            <w:vAlign w:val="center"/>
          </w:tcPr>
          <w:p w14:paraId="055460ED">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rPr>
                <w:rFonts w:hint="default" w:ascii="Times New Roman" w:hAnsi="Times New Roman" w:cs="Times New Roman"/>
                <w:color w:val="auto"/>
                <w:spacing w:val="0"/>
                <w:w w:val="100"/>
                <w:position w:val="0"/>
                <w:sz w:val="20"/>
                <w:szCs w:val="20"/>
              </w:rPr>
            </w:pPr>
          </w:p>
        </w:tc>
        <w:tc>
          <w:tcPr>
            <w:tcW w:w="685" w:type="pct"/>
            <w:vMerge w:val="continue"/>
            <w:tcBorders>
              <w:tl2br w:val="nil"/>
              <w:tr2bl w:val="nil"/>
            </w:tcBorders>
            <w:shd w:val="clear" w:color="auto" w:fill="auto"/>
            <w:vAlign w:val="center"/>
          </w:tcPr>
          <w:p w14:paraId="40FBA009">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rPr>
                <w:rFonts w:hint="default" w:ascii="Times New Roman" w:hAnsi="Times New Roman" w:cs="Times New Roman"/>
                <w:color w:val="auto"/>
                <w:spacing w:val="0"/>
                <w:w w:val="100"/>
                <w:position w:val="0"/>
                <w:sz w:val="20"/>
                <w:szCs w:val="20"/>
              </w:rPr>
            </w:pPr>
          </w:p>
        </w:tc>
        <w:tc>
          <w:tcPr>
            <w:tcW w:w="601" w:type="pct"/>
            <w:tcBorders>
              <w:tl2br w:val="nil"/>
              <w:tr2bl w:val="nil"/>
            </w:tcBorders>
            <w:shd w:val="clear" w:color="auto" w:fill="auto"/>
            <w:vAlign w:val="center"/>
          </w:tcPr>
          <w:p w14:paraId="2BEAF057">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生活垃圾</w:t>
            </w:r>
          </w:p>
        </w:tc>
        <w:tc>
          <w:tcPr>
            <w:tcW w:w="2739" w:type="pct"/>
            <w:tcBorders>
              <w:tl2br w:val="nil"/>
              <w:tr2bl w:val="nil"/>
            </w:tcBorders>
            <w:shd w:val="clear" w:color="auto" w:fill="auto"/>
            <w:vAlign w:val="center"/>
          </w:tcPr>
          <w:p w14:paraId="77CB363B">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生活垃圾收集在垃圾箱，交由环卫部门统一处理。</w:t>
            </w:r>
          </w:p>
        </w:tc>
        <w:tc>
          <w:tcPr>
            <w:tcW w:w="627" w:type="pct"/>
            <w:tcBorders>
              <w:tl2br w:val="nil"/>
              <w:tr2bl w:val="nil"/>
            </w:tcBorders>
            <w:shd w:val="clear" w:color="auto" w:fill="auto"/>
            <w:vAlign w:val="center"/>
          </w:tcPr>
          <w:p w14:paraId="26B254EB">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新建</w:t>
            </w:r>
          </w:p>
        </w:tc>
      </w:tr>
      <w:tr w14:paraId="59739D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346" w:type="pct"/>
            <w:vMerge w:val="continue"/>
            <w:tcBorders>
              <w:tl2br w:val="nil"/>
              <w:tr2bl w:val="nil"/>
            </w:tcBorders>
            <w:shd w:val="clear" w:color="auto" w:fill="auto"/>
            <w:vAlign w:val="center"/>
          </w:tcPr>
          <w:p w14:paraId="5D8970DB">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rPr>
                <w:rFonts w:hint="default" w:ascii="Times New Roman" w:hAnsi="Times New Roman" w:cs="Times New Roman"/>
                <w:color w:val="auto"/>
                <w:spacing w:val="0"/>
                <w:w w:val="100"/>
                <w:position w:val="0"/>
                <w:sz w:val="20"/>
                <w:szCs w:val="20"/>
              </w:rPr>
            </w:pPr>
          </w:p>
        </w:tc>
        <w:tc>
          <w:tcPr>
            <w:tcW w:w="685" w:type="pct"/>
            <w:tcBorders>
              <w:tl2br w:val="nil"/>
              <w:tr2bl w:val="nil"/>
            </w:tcBorders>
            <w:shd w:val="clear" w:color="auto" w:fill="auto"/>
            <w:vAlign w:val="center"/>
          </w:tcPr>
          <w:p w14:paraId="0236DCE9">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eastAsia"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噪声</w:t>
            </w:r>
          </w:p>
        </w:tc>
        <w:tc>
          <w:tcPr>
            <w:tcW w:w="601" w:type="pct"/>
            <w:tcBorders>
              <w:tl2br w:val="nil"/>
              <w:tr2bl w:val="nil"/>
            </w:tcBorders>
            <w:shd w:val="clear" w:color="auto" w:fill="auto"/>
            <w:vAlign w:val="center"/>
          </w:tcPr>
          <w:p w14:paraId="0F018CD9">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噪声</w:t>
            </w:r>
          </w:p>
        </w:tc>
        <w:tc>
          <w:tcPr>
            <w:tcW w:w="2739" w:type="pct"/>
            <w:tcBorders>
              <w:tl2br w:val="nil"/>
              <w:tr2bl w:val="nil"/>
            </w:tcBorders>
            <w:shd w:val="clear" w:color="auto" w:fill="auto"/>
            <w:vAlign w:val="center"/>
          </w:tcPr>
          <w:p w14:paraId="1BD39A57">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选用低噪声设备，采取减振、消声、隔声</w:t>
            </w:r>
            <w:r>
              <w:rPr>
                <w:rFonts w:hint="eastAsia" w:cs="宋体"/>
                <w:color w:val="auto"/>
                <w:spacing w:val="0"/>
                <w:w w:val="100"/>
                <w:kern w:val="0"/>
                <w:position w:val="0"/>
                <w:sz w:val="21"/>
                <w:szCs w:val="21"/>
                <w:lang w:val="en-US" w:eastAsia="zh-CN" w:bidi="ar"/>
              </w:rPr>
              <w:t>、距离衰减</w:t>
            </w:r>
            <w:r>
              <w:rPr>
                <w:rFonts w:hint="eastAsia" w:ascii="宋体" w:hAnsi="宋体" w:eastAsia="宋体" w:cs="宋体"/>
                <w:color w:val="auto"/>
                <w:spacing w:val="0"/>
                <w:w w:val="100"/>
                <w:kern w:val="0"/>
                <w:position w:val="0"/>
                <w:sz w:val="21"/>
                <w:szCs w:val="21"/>
                <w:lang w:val="en-US" w:eastAsia="zh-CN" w:bidi="ar"/>
              </w:rPr>
              <w:t>等措施</w:t>
            </w:r>
          </w:p>
        </w:tc>
        <w:tc>
          <w:tcPr>
            <w:tcW w:w="627" w:type="pct"/>
            <w:tcBorders>
              <w:tl2br w:val="nil"/>
              <w:tr2bl w:val="nil"/>
            </w:tcBorders>
            <w:shd w:val="clear" w:color="auto" w:fill="auto"/>
            <w:vAlign w:val="center"/>
          </w:tcPr>
          <w:p w14:paraId="677AE8E7">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新建</w:t>
            </w:r>
          </w:p>
        </w:tc>
      </w:tr>
      <w:tr w14:paraId="5F00E1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346" w:type="pct"/>
            <w:vMerge w:val="continue"/>
            <w:tcBorders>
              <w:tl2br w:val="nil"/>
              <w:tr2bl w:val="nil"/>
            </w:tcBorders>
            <w:shd w:val="clear" w:color="auto" w:fill="auto"/>
            <w:vAlign w:val="center"/>
          </w:tcPr>
          <w:p w14:paraId="7FA379EE">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rPr>
                <w:rFonts w:hint="default" w:ascii="Times New Roman" w:hAnsi="Times New Roman" w:cs="Times New Roman"/>
                <w:color w:val="auto"/>
                <w:spacing w:val="0"/>
                <w:w w:val="100"/>
                <w:position w:val="0"/>
                <w:sz w:val="20"/>
                <w:szCs w:val="20"/>
              </w:rPr>
            </w:pPr>
          </w:p>
        </w:tc>
        <w:tc>
          <w:tcPr>
            <w:tcW w:w="685" w:type="pct"/>
            <w:vMerge w:val="restart"/>
            <w:tcBorders>
              <w:tl2br w:val="nil"/>
              <w:tr2bl w:val="nil"/>
            </w:tcBorders>
            <w:shd w:val="clear" w:color="auto" w:fill="auto"/>
            <w:vAlign w:val="center"/>
          </w:tcPr>
          <w:p w14:paraId="3EE48130">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r>
              <w:rPr>
                <w:rFonts w:hint="eastAsia" w:ascii="宋体" w:hAnsi="宋体" w:eastAsia="宋体" w:cs="宋体"/>
                <w:color w:val="auto"/>
                <w:spacing w:val="0"/>
                <w:w w:val="100"/>
                <w:kern w:val="0"/>
                <w:position w:val="0"/>
                <w:sz w:val="21"/>
                <w:szCs w:val="21"/>
                <w:lang w:val="en-US" w:eastAsia="zh-CN" w:bidi="ar"/>
              </w:rPr>
              <w:t>分区防渗</w:t>
            </w:r>
          </w:p>
        </w:tc>
        <w:tc>
          <w:tcPr>
            <w:tcW w:w="601" w:type="pct"/>
            <w:tcBorders>
              <w:tl2br w:val="nil"/>
              <w:tr2bl w:val="nil"/>
            </w:tcBorders>
            <w:shd w:val="clear" w:color="auto" w:fill="auto"/>
            <w:vAlign w:val="center"/>
          </w:tcPr>
          <w:p w14:paraId="42CAD394">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spacing w:val="0"/>
                <w:w w:val="100"/>
                <w:kern w:val="0"/>
                <w:position w:val="0"/>
                <w:sz w:val="21"/>
                <w:szCs w:val="21"/>
                <w:lang w:val="en-US" w:eastAsia="zh-CN" w:bidi="ar-SA"/>
              </w:rPr>
            </w:pPr>
            <w:r>
              <w:rPr>
                <w:rFonts w:hint="eastAsia" w:ascii="宋体" w:hAnsi="宋体" w:eastAsia="宋体" w:cs="宋体"/>
                <w:color w:val="auto"/>
                <w:spacing w:val="0"/>
                <w:w w:val="100"/>
                <w:kern w:val="0"/>
                <w:position w:val="0"/>
                <w:sz w:val="21"/>
                <w:szCs w:val="21"/>
                <w:lang w:val="en-US" w:eastAsia="zh-CN" w:bidi="ar"/>
              </w:rPr>
              <w:t>重点防渗区</w:t>
            </w:r>
          </w:p>
        </w:tc>
        <w:tc>
          <w:tcPr>
            <w:tcW w:w="2739" w:type="pct"/>
            <w:tcBorders>
              <w:tl2br w:val="nil"/>
              <w:tr2bl w:val="nil"/>
            </w:tcBorders>
            <w:shd w:val="clear" w:color="auto" w:fill="auto"/>
            <w:vAlign w:val="center"/>
          </w:tcPr>
          <w:p w14:paraId="3A9E9820">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pacing w:val="0"/>
                <w:w w:val="100"/>
                <w:kern w:val="0"/>
                <w:position w:val="0"/>
                <w:sz w:val="21"/>
                <w:szCs w:val="21"/>
                <w:lang w:val="en-US" w:eastAsia="zh-CN" w:bidi="ar-SA"/>
              </w:rPr>
            </w:pPr>
            <w:r>
              <w:rPr>
                <w:rFonts w:hint="eastAsia" w:ascii="宋体" w:hAnsi="宋体" w:eastAsia="宋体" w:cs="宋体"/>
                <w:color w:val="auto"/>
                <w:spacing w:val="0"/>
                <w:w w:val="100"/>
                <w:kern w:val="0"/>
                <w:position w:val="0"/>
                <w:sz w:val="21"/>
                <w:szCs w:val="21"/>
                <w:lang w:val="en-US" w:eastAsia="zh-CN" w:bidi="ar"/>
              </w:rPr>
              <w:t>危废贮存库地面为重点防渗区，重点防渗区危废贮存库采用</w:t>
            </w:r>
            <w:r>
              <w:rPr>
                <w:rFonts w:hint="default" w:ascii="Times New Roman" w:hAnsi="Times New Roman" w:eastAsia="宋体" w:cs="Times New Roman"/>
                <w:color w:val="auto"/>
                <w:spacing w:val="0"/>
                <w:w w:val="100"/>
                <w:kern w:val="0"/>
                <w:position w:val="0"/>
                <w:sz w:val="21"/>
                <w:szCs w:val="21"/>
                <w:lang w:val="en-US" w:eastAsia="zh-CN" w:bidi="ar"/>
              </w:rPr>
              <w:t>2mmHDPE</w:t>
            </w:r>
            <w:r>
              <w:rPr>
                <w:rFonts w:hint="eastAsia" w:ascii="宋体" w:hAnsi="宋体" w:eastAsia="宋体" w:cs="宋体"/>
                <w:color w:val="auto"/>
                <w:spacing w:val="0"/>
                <w:w w:val="100"/>
                <w:kern w:val="0"/>
                <w:position w:val="0"/>
                <w:sz w:val="21"/>
                <w:szCs w:val="21"/>
                <w:lang w:val="en-US" w:eastAsia="zh-CN" w:bidi="ar"/>
              </w:rPr>
              <w:t>防渗膜</w:t>
            </w:r>
            <w:r>
              <w:rPr>
                <w:rFonts w:hint="default" w:ascii="Times New Roman" w:hAnsi="Times New Roman" w:eastAsia="宋体" w:cs="Times New Roman"/>
                <w:color w:val="auto"/>
                <w:spacing w:val="0"/>
                <w:w w:val="100"/>
                <w:kern w:val="0"/>
                <w:position w:val="0"/>
                <w:sz w:val="21"/>
                <w:szCs w:val="21"/>
                <w:lang w:val="en-US" w:eastAsia="zh-CN" w:bidi="ar"/>
              </w:rPr>
              <w:t>+25cm</w:t>
            </w:r>
            <w:r>
              <w:rPr>
                <w:rFonts w:hint="eastAsia" w:ascii="宋体" w:hAnsi="宋体" w:eastAsia="宋体" w:cs="宋体"/>
                <w:color w:val="auto"/>
                <w:spacing w:val="0"/>
                <w:w w:val="100"/>
                <w:kern w:val="0"/>
                <w:position w:val="0"/>
                <w:sz w:val="21"/>
                <w:szCs w:val="21"/>
                <w:lang w:val="en-US" w:eastAsia="zh-CN" w:bidi="ar"/>
              </w:rPr>
              <w:t>厚</w:t>
            </w:r>
            <w:r>
              <w:rPr>
                <w:rFonts w:hint="default" w:ascii="Times New Roman" w:hAnsi="Times New Roman" w:eastAsia="宋体" w:cs="Times New Roman"/>
                <w:color w:val="auto"/>
                <w:spacing w:val="0"/>
                <w:w w:val="100"/>
                <w:kern w:val="0"/>
                <w:position w:val="0"/>
                <w:sz w:val="21"/>
                <w:szCs w:val="21"/>
                <w:lang w:val="en-US" w:eastAsia="zh-CN" w:bidi="ar"/>
              </w:rPr>
              <w:t>C35</w:t>
            </w:r>
            <w:r>
              <w:rPr>
                <w:rFonts w:hint="eastAsia" w:ascii="宋体" w:hAnsi="宋体" w:eastAsia="宋体" w:cs="宋体"/>
                <w:color w:val="auto"/>
                <w:spacing w:val="0"/>
                <w:w w:val="100"/>
                <w:kern w:val="0"/>
                <w:position w:val="0"/>
                <w:sz w:val="21"/>
                <w:szCs w:val="21"/>
                <w:lang w:val="en-US" w:eastAsia="zh-CN" w:bidi="ar"/>
              </w:rPr>
              <w:t>防渗混凝土防渗，使渗透系数</w:t>
            </w:r>
            <w:r>
              <w:rPr>
                <w:rFonts w:hint="default" w:ascii="Times New Roman" w:hAnsi="Times New Roman" w:eastAsia="宋体" w:cs="Times New Roman"/>
                <w:color w:val="auto"/>
                <w:spacing w:val="0"/>
                <w:w w:val="100"/>
                <w:kern w:val="0"/>
                <w:position w:val="0"/>
                <w:sz w:val="21"/>
                <w:szCs w:val="21"/>
                <w:lang w:val="en-US" w:eastAsia="zh-CN" w:bidi="ar"/>
              </w:rPr>
              <w:t>≤1×10</w:t>
            </w:r>
            <w:r>
              <w:rPr>
                <w:rFonts w:hint="default" w:ascii="Times New Roman" w:hAnsi="Times New Roman" w:eastAsia="宋体" w:cs="Times New Roman"/>
                <w:color w:val="auto"/>
                <w:spacing w:val="0"/>
                <w:w w:val="100"/>
                <w:kern w:val="0"/>
                <w:position w:val="0"/>
                <w:sz w:val="21"/>
                <w:szCs w:val="21"/>
                <w:vertAlign w:val="superscript"/>
                <w:lang w:val="en-US" w:eastAsia="zh-CN" w:bidi="ar"/>
              </w:rPr>
              <w:t>-10</w:t>
            </w:r>
            <w:r>
              <w:rPr>
                <w:rFonts w:hint="default" w:ascii="Times New Roman" w:hAnsi="Times New Roman" w:eastAsia="宋体" w:cs="Times New Roman"/>
                <w:color w:val="auto"/>
                <w:spacing w:val="0"/>
                <w:w w:val="100"/>
                <w:kern w:val="0"/>
                <w:position w:val="0"/>
                <w:sz w:val="21"/>
                <w:szCs w:val="21"/>
                <w:lang w:val="en-US" w:eastAsia="zh-CN" w:bidi="ar"/>
              </w:rPr>
              <w:t>cm/s</w:t>
            </w:r>
          </w:p>
        </w:tc>
        <w:tc>
          <w:tcPr>
            <w:tcW w:w="627" w:type="pct"/>
            <w:tcBorders>
              <w:tl2br w:val="nil"/>
              <w:tr2bl w:val="nil"/>
            </w:tcBorders>
            <w:shd w:val="clear" w:color="auto" w:fill="auto"/>
            <w:vAlign w:val="center"/>
          </w:tcPr>
          <w:p w14:paraId="12256AA2">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pacing w:val="0"/>
                <w:w w:val="100"/>
                <w:kern w:val="0"/>
                <w:position w:val="0"/>
                <w:sz w:val="21"/>
                <w:szCs w:val="21"/>
                <w:lang w:val="en-US" w:eastAsia="zh-CN" w:bidi="ar-SA"/>
              </w:rPr>
            </w:pPr>
            <w:r>
              <w:rPr>
                <w:rFonts w:hint="eastAsia" w:ascii="宋体" w:hAnsi="宋体" w:eastAsia="宋体" w:cs="宋体"/>
                <w:color w:val="auto"/>
                <w:spacing w:val="0"/>
                <w:w w:val="100"/>
                <w:kern w:val="0"/>
                <w:position w:val="0"/>
                <w:sz w:val="21"/>
                <w:szCs w:val="21"/>
                <w:lang w:val="en-US" w:eastAsia="zh-CN" w:bidi="ar"/>
              </w:rPr>
              <w:t>新建</w:t>
            </w:r>
          </w:p>
        </w:tc>
      </w:tr>
      <w:tr w14:paraId="54B48A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1117" w:hRule="atLeast"/>
          <w:jc w:val="center"/>
        </w:trPr>
        <w:tc>
          <w:tcPr>
            <w:tcW w:w="346" w:type="pct"/>
            <w:vMerge w:val="continue"/>
            <w:tcBorders>
              <w:tl2br w:val="nil"/>
              <w:tr2bl w:val="nil"/>
            </w:tcBorders>
            <w:shd w:val="clear" w:color="auto" w:fill="auto"/>
            <w:vAlign w:val="center"/>
          </w:tcPr>
          <w:p w14:paraId="19107618">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rPr>
                <w:rFonts w:hint="default" w:ascii="Times New Roman" w:hAnsi="Times New Roman" w:cs="Times New Roman"/>
                <w:color w:val="auto"/>
                <w:spacing w:val="0"/>
                <w:w w:val="100"/>
                <w:position w:val="0"/>
                <w:sz w:val="20"/>
                <w:szCs w:val="20"/>
              </w:rPr>
            </w:pPr>
          </w:p>
        </w:tc>
        <w:tc>
          <w:tcPr>
            <w:tcW w:w="685" w:type="pct"/>
            <w:vMerge w:val="continue"/>
            <w:tcBorders>
              <w:tl2br w:val="nil"/>
              <w:tr2bl w:val="nil"/>
            </w:tcBorders>
            <w:shd w:val="clear" w:color="auto" w:fill="auto"/>
            <w:vAlign w:val="center"/>
          </w:tcPr>
          <w:p w14:paraId="10BB3DF1">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center"/>
              <w:rPr>
                <w:rFonts w:hint="default" w:ascii="Times New Roman" w:hAnsi="Times New Roman" w:eastAsia="宋体" w:cs="Times New Roman"/>
                <w:color w:val="auto"/>
                <w:spacing w:val="0"/>
                <w:w w:val="100"/>
                <w:kern w:val="0"/>
                <w:position w:val="0"/>
                <w:sz w:val="21"/>
                <w:szCs w:val="21"/>
              </w:rPr>
            </w:pPr>
          </w:p>
        </w:tc>
        <w:tc>
          <w:tcPr>
            <w:tcW w:w="601" w:type="pct"/>
            <w:tcBorders>
              <w:tl2br w:val="nil"/>
              <w:tr2bl w:val="nil"/>
            </w:tcBorders>
            <w:shd w:val="clear" w:color="auto" w:fill="auto"/>
            <w:vAlign w:val="center"/>
          </w:tcPr>
          <w:p w14:paraId="0CC7C50A">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pacing w:val="0"/>
                <w:w w:val="100"/>
                <w:kern w:val="0"/>
                <w:position w:val="0"/>
                <w:sz w:val="21"/>
                <w:szCs w:val="21"/>
                <w:lang w:val="en-US" w:eastAsia="zh-CN" w:bidi="ar-SA"/>
              </w:rPr>
            </w:pPr>
            <w:r>
              <w:rPr>
                <w:rFonts w:hint="eastAsia" w:ascii="宋体" w:hAnsi="宋体" w:eastAsia="宋体" w:cs="宋体"/>
                <w:color w:val="auto"/>
                <w:spacing w:val="0"/>
                <w:w w:val="100"/>
                <w:kern w:val="0"/>
                <w:position w:val="0"/>
                <w:sz w:val="21"/>
                <w:szCs w:val="21"/>
                <w:lang w:val="en-US" w:eastAsia="zh-CN" w:bidi="ar"/>
              </w:rPr>
              <w:t>一般防渗区</w:t>
            </w:r>
          </w:p>
        </w:tc>
        <w:tc>
          <w:tcPr>
            <w:tcW w:w="2739" w:type="pct"/>
            <w:tcBorders>
              <w:tl2br w:val="nil"/>
              <w:tr2bl w:val="nil"/>
            </w:tcBorders>
            <w:shd w:val="clear" w:color="auto" w:fill="auto"/>
            <w:vAlign w:val="center"/>
          </w:tcPr>
          <w:p w14:paraId="1A2CC3B6">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pacing w:val="0"/>
                <w:w w:val="100"/>
                <w:kern w:val="0"/>
                <w:position w:val="0"/>
                <w:sz w:val="21"/>
                <w:szCs w:val="21"/>
                <w:lang w:val="en-US" w:eastAsia="zh-CN" w:bidi="ar-SA"/>
              </w:rPr>
            </w:pPr>
            <w:r>
              <w:rPr>
                <w:rFonts w:hint="eastAsia" w:cs="宋体"/>
                <w:color w:val="auto"/>
                <w:spacing w:val="0"/>
                <w:w w:val="100"/>
                <w:kern w:val="0"/>
                <w:position w:val="0"/>
                <w:sz w:val="21"/>
                <w:szCs w:val="21"/>
                <w:lang w:val="en-US" w:eastAsia="zh-CN" w:bidi="ar"/>
              </w:rPr>
              <w:t>生产</w:t>
            </w:r>
            <w:r>
              <w:rPr>
                <w:rFonts w:hint="eastAsia" w:ascii="宋体" w:hAnsi="宋体" w:eastAsia="宋体" w:cs="宋体"/>
                <w:color w:val="auto"/>
                <w:spacing w:val="0"/>
                <w:w w:val="100"/>
                <w:kern w:val="0"/>
                <w:position w:val="0"/>
                <w:sz w:val="21"/>
                <w:szCs w:val="21"/>
                <w:lang w:val="en-US" w:eastAsia="zh-CN" w:bidi="ar"/>
              </w:rPr>
              <w:t>车间采用</w:t>
            </w:r>
            <w:r>
              <w:rPr>
                <w:rFonts w:hint="default" w:ascii="Times New Roman" w:hAnsi="Times New Roman" w:eastAsia="宋体" w:cs="Times New Roman"/>
                <w:color w:val="auto"/>
                <w:spacing w:val="0"/>
                <w:w w:val="100"/>
                <w:kern w:val="0"/>
                <w:position w:val="0"/>
                <w:sz w:val="21"/>
                <w:szCs w:val="21"/>
                <w:lang w:val="en-US" w:eastAsia="zh-CN" w:bidi="ar"/>
              </w:rPr>
              <w:t>300mm</w:t>
            </w:r>
            <w:r>
              <w:rPr>
                <w:rFonts w:hint="eastAsia" w:ascii="宋体" w:hAnsi="宋体" w:eastAsia="宋体" w:cs="宋体"/>
                <w:color w:val="auto"/>
                <w:spacing w:val="0"/>
                <w:w w:val="100"/>
                <w:kern w:val="0"/>
                <w:position w:val="0"/>
                <w:sz w:val="21"/>
                <w:szCs w:val="21"/>
                <w:lang w:val="en-US" w:eastAsia="zh-CN" w:bidi="ar"/>
              </w:rPr>
              <w:t>厚混凝土（</w:t>
            </w:r>
            <w:r>
              <w:rPr>
                <w:rFonts w:hint="default" w:ascii="Times New Roman" w:hAnsi="Times New Roman" w:eastAsia="宋体" w:cs="Times New Roman"/>
                <w:color w:val="auto"/>
                <w:spacing w:val="0"/>
                <w:w w:val="100"/>
                <w:kern w:val="0"/>
                <w:position w:val="0"/>
                <w:sz w:val="21"/>
                <w:szCs w:val="21"/>
                <w:lang w:val="en-US" w:eastAsia="zh-CN" w:bidi="ar"/>
              </w:rPr>
              <w:t>P6</w:t>
            </w:r>
            <w:r>
              <w:rPr>
                <w:rFonts w:hint="eastAsia" w:ascii="宋体" w:hAnsi="宋体" w:eastAsia="宋体" w:cs="宋体"/>
                <w:color w:val="auto"/>
                <w:spacing w:val="0"/>
                <w:w w:val="100"/>
                <w:kern w:val="0"/>
                <w:position w:val="0"/>
                <w:sz w:val="21"/>
                <w:szCs w:val="21"/>
                <w:lang w:val="en-US" w:eastAsia="zh-CN" w:bidi="ar"/>
              </w:rPr>
              <w:t>）防渗，渗透系数</w:t>
            </w:r>
            <w:r>
              <w:rPr>
                <w:rFonts w:hint="default" w:ascii="Times New Roman" w:hAnsi="Times New Roman" w:eastAsia="宋体" w:cs="Times New Roman"/>
                <w:color w:val="auto"/>
                <w:spacing w:val="0"/>
                <w:w w:val="100"/>
                <w:kern w:val="0"/>
                <w:position w:val="0"/>
                <w:sz w:val="21"/>
                <w:szCs w:val="21"/>
                <w:lang w:val="en-US" w:eastAsia="zh-CN" w:bidi="ar"/>
              </w:rPr>
              <w:t>≤1×10</w:t>
            </w:r>
            <w:r>
              <w:rPr>
                <w:rFonts w:hint="default" w:ascii="Times New Roman" w:hAnsi="Times New Roman" w:eastAsia="宋体" w:cs="Times New Roman"/>
                <w:color w:val="auto"/>
                <w:spacing w:val="0"/>
                <w:w w:val="100"/>
                <w:kern w:val="0"/>
                <w:position w:val="0"/>
                <w:sz w:val="21"/>
                <w:szCs w:val="21"/>
                <w:vertAlign w:val="superscript"/>
                <w:lang w:val="en-US" w:eastAsia="zh-CN" w:bidi="ar"/>
              </w:rPr>
              <w:t>-7</w:t>
            </w:r>
            <w:r>
              <w:rPr>
                <w:rFonts w:hint="default" w:ascii="Times New Roman" w:hAnsi="Times New Roman" w:eastAsia="宋体" w:cs="Times New Roman"/>
                <w:color w:val="auto"/>
                <w:spacing w:val="0"/>
                <w:w w:val="100"/>
                <w:kern w:val="0"/>
                <w:position w:val="0"/>
                <w:sz w:val="21"/>
                <w:szCs w:val="21"/>
                <w:lang w:val="en-US" w:eastAsia="zh-CN" w:bidi="ar"/>
              </w:rPr>
              <w:t>cm/s</w:t>
            </w:r>
          </w:p>
        </w:tc>
        <w:tc>
          <w:tcPr>
            <w:tcW w:w="627" w:type="pct"/>
            <w:tcBorders>
              <w:tl2br w:val="nil"/>
              <w:tr2bl w:val="nil"/>
            </w:tcBorders>
            <w:shd w:val="clear" w:color="auto" w:fill="auto"/>
            <w:vAlign w:val="center"/>
          </w:tcPr>
          <w:p w14:paraId="1EE09966">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pacing w:val="0"/>
                <w:w w:val="100"/>
                <w:kern w:val="0"/>
                <w:position w:val="0"/>
                <w:sz w:val="21"/>
                <w:szCs w:val="21"/>
                <w:lang w:val="en-US" w:eastAsia="zh-CN" w:bidi="ar-SA"/>
              </w:rPr>
            </w:pPr>
            <w:r>
              <w:rPr>
                <w:rFonts w:hint="eastAsia" w:cs="宋体"/>
                <w:color w:val="auto"/>
                <w:spacing w:val="0"/>
                <w:w w:val="100"/>
                <w:kern w:val="0"/>
                <w:position w:val="0"/>
                <w:sz w:val="21"/>
                <w:szCs w:val="21"/>
                <w:lang w:val="en-US" w:eastAsia="zh-CN" w:bidi="ar"/>
              </w:rPr>
              <w:t>租赁厂房已</w:t>
            </w:r>
            <w:r>
              <w:rPr>
                <w:rFonts w:hint="eastAsia" w:ascii="宋体" w:hAnsi="宋体" w:eastAsia="宋体" w:cs="宋体"/>
                <w:color w:val="auto"/>
                <w:spacing w:val="0"/>
                <w:w w:val="100"/>
                <w:kern w:val="0"/>
                <w:position w:val="0"/>
                <w:sz w:val="21"/>
                <w:szCs w:val="21"/>
                <w:lang w:val="en-US" w:eastAsia="zh-CN" w:bidi="ar"/>
              </w:rPr>
              <w:t>建</w:t>
            </w:r>
          </w:p>
        </w:tc>
      </w:tr>
    </w:tbl>
    <w:p w14:paraId="0228228D">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3.1.2产品方案</w:t>
      </w:r>
    </w:p>
    <w:p w14:paraId="169296FE">
      <w:pPr>
        <w:keepNext w:val="0"/>
        <w:keepLines w:val="0"/>
        <w:pageBreakBefore w:val="0"/>
        <w:widowControl w:val="0"/>
        <w:tabs>
          <w:tab w:val="left" w:pos="1021"/>
        </w:tabs>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表3.</w:t>
      </w:r>
      <w:r>
        <w:rPr>
          <w:rFonts w:hint="eastAsia" w:ascii="Times New Roman" w:hAnsi="Times New Roman" w:eastAsia="宋体" w:cs="Times New Roman"/>
          <w:b/>
          <w:bCs/>
          <w:caps w:val="0"/>
          <w:snapToGrid/>
          <w:color w:val="auto"/>
          <w:spacing w:val="0"/>
          <w:w w:val="100"/>
          <w:kern w:val="21"/>
          <w:position w:val="0"/>
          <w:sz w:val="21"/>
          <w:szCs w:val="21"/>
          <w:highlight w:val="none"/>
          <w:lang w:val="en-US" w:eastAsia="zh-CN"/>
        </w:rPr>
        <w:t>1</w:t>
      </w:r>
      <w:r>
        <w:rPr>
          <w:rFonts w:hint="eastAsia" w:cs="Times New Roman"/>
          <w:b/>
          <w:bCs/>
          <w:caps w:val="0"/>
          <w:snapToGrid/>
          <w:color w:val="auto"/>
          <w:spacing w:val="0"/>
          <w:w w:val="100"/>
          <w:kern w:val="21"/>
          <w:position w:val="0"/>
          <w:sz w:val="21"/>
          <w:szCs w:val="21"/>
          <w:highlight w:val="none"/>
          <w:lang w:val="en-US" w:eastAsia="zh-CN"/>
        </w:rPr>
        <w:t>.2-1</w:t>
      </w:r>
      <w:r>
        <w:rPr>
          <w:rFonts w:hint="default" w:ascii="Times New Roman" w:hAnsi="Times New Roman" w:eastAsia="宋体" w:cs="Times New Roman"/>
          <w:b/>
          <w:bCs/>
          <w:caps w:val="0"/>
          <w:snapToGrid/>
          <w:color w:val="auto"/>
          <w:spacing w:val="0"/>
          <w:w w:val="100"/>
          <w:kern w:val="21"/>
          <w:position w:val="0"/>
          <w:sz w:val="21"/>
          <w:szCs w:val="21"/>
          <w:highlight w:val="none"/>
        </w:rPr>
        <w:t xml:space="preserve"> </w:t>
      </w:r>
      <w:r>
        <w:rPr>
          <w:rFonts w:hint="eastAsia" w:ascii="Times New Roman" w:hAnsi="Times New Roman" w:eastAsia="宋体" w:cs="Times New Roman"/>
          <w:b/>
          <w:bCs/>
          <w:caps w:val="0"/>
          <w:snapToGrid/>
          <w:color w:val="auto"/>
          <w:spacing w:val="0"/>
          <w:w w:val="100"/>
          <w:kern w:val="21"/>
          <w:position w:val="0"/>
          <w:sz w:val="21"/>
          <w:szCs w:val="21"/>
          <w:highlight w:val="none"/>
          <w:lang w:val="en-US" w:eastAsia="zh-CN"/>
        </w:rPr>
        <w:t xml:space="preserve"> 项目产品方案</w:t>
      </w:r>
      <w:r>
        <w:rPr>
          <w:rFonts w:hint="default" w:ascii="Times New Roman" w:hAnsi="Times New Roman" w:eastAsia="宋体" w:cs="Times New Roman"/>
          <w:b/>
          <w:bCs/>
          <w:caps w:val="0"/>
          <w:snapToGrid/>
          <w:color w:val="auto"/>
          <w:spacing w:val="0"/>
          <w:w w:val="100"/>
          <w:kern w:val="21"/>
          <w:position w:val="0"/>
          <w:sz w:val="21"/>
          <w:szCs w:val="21"/>
          <w:highlight w:val="none"/>
        </w:rPr>
        <w:t>一览表</w:t>
      </w:r>
    </w:p>
    <w:tbl>
      <w:tblPr>
        <w:tblStyle w:val="26"/>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425"/>
        <w:gridCol w:w="1228"/>
        <w:gridCol w:w="1620"/>
        <w:gridCol w:w="1556"/>
        <w:gridCol w:w="1559"/>
        <w:gridCol w:w="2029"/>
      </w:tblGrid>
      <w:tr w14:paraId="72F800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297" w:type="pct"/>
            <w:tcBorders>
              <w:tl2br w:val="nil"/>
              <w:tr2bl w:val="nil"/>
            </w:tcBorders>
            <w:vAlign w:val="center"/>
          </w:tcPr>
          <w:p w14:paraId="77226D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vertAlign w:val="baseline"/>
                <w:lang w:val="en-US" w:eastAsia="zh-CN"/>
              </w:rPr>
            </w:pPr>
            <w:r>
              <w:rPr>
                <w:rFonts w:hint="default" w:ascii="Times New Roman" w:hAnsi="Times New Roman" w:eastAsia="宋体" w:cs="Times New Roman"/>
                <w:b/>
                <w:bCs/>
                <w:caps w:val="0"/>
                <w:snapToGrid/>
                <w:color w:val="auto"/>
                <w:spacing w:val="0"/>
                <w:w w:val="100"/>
                <w:kern w:val="21"/>
                <w:position w:val="0"/>
                <w:sz w:val="21"/>
                <w:szCs w:val="21"/>
                <w:highlight w:val="none"/>
                <w:vertAlign w:val="baseline"/>
                <w:lang w:val="en-US" w:eastAsia="zh-CN"/>
              </w:rPr>
              <w:t>序号</w:t>
            </w:r>
          </w:p>
        </w:tc>
        <w:tc>
          <w:tcPr>
            <w:tcW w:w="774" w:type="pct"/>
            <w:tcBorders>
              <w:tl2br w:val="nil"/>
              <w:tr2bl w:val="nil"/>
            </w:tcBorders>
            <w:vAlign w:val="center"/>
          </w:tcPr>
          <w:p w14:paraId="059927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vertAlign w:val="baseline"/>
                <w:lang w:val="en-US" w:eastAsia="zh-CN"/>
              </w:rPr>
            </w:pPr>
            <w:r>
              <w:rPr>
                <w:rFonts w:hint="default" w:ascii="Times New Roman" w:hAnsi="Times New Roman" w:eastAsia="宋体" w:cs="Times New Roman"/>
                <w:b/>
                <w:bCs/>
                <w:caps w:val="0"/>
                <w:snapToGrid/>
                <w:color w:val="auto"/>
                <w:spacing w:val="0"/>
                <w:w w:val="100"/>
                <w:kern w:val="21"/>
                <w:position w:val="0"/>
                <w:sz w:val="21"/>
                <w:szCs w:val="21"/>
                <w:highlight w:val="none"/>
                <w:vertAlign w:val="baseline"/>
                <w:lang w:val="en-US" w:eastAsia="zh-CN"/>
              </w:rPr>
              <w:t>名称</w:t>
            </w:r>
          </w:p>
        </w:tc>
        <w:tc>
          <w:tcPr>
            <w:tcW w:w="1006" w:type="pct"/>
            <w:tcBorders>
              <w:tl2br w:val="nil"/>
              <w:tr2bl w:val="nil"/>
            </w:tcBorders>
            <w:vAlign w:val="center"/>
          </w:tcPr>
          <w:p w14:paraId="0E82E7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vertAlign w:val="baseline"/>
                <w:lang w:val="en-US" w:eastAsia="zh-CN"/>
              </w:rPr>
            </w:pPr>
            <w:r>
              <w:rPr>
                <w:rFonts w:hint="default" w:ascii="Times New Roman" w:hAnsi="Times New Roman" w:eastAsia="宋体" w:cs="Times New Roman"/>
                <w:b/>
                <w:bCs/>
                <w:caps w:val="0"/>
                <w:snapToGrid/>
                <w:color w:val="auto"/>
                <w:spacing w:val="0"/>
                <w:w w:val="100"/>
                <w:kern w:val="21"/>
                <w:position w:val="0"/>
                <w:sz w:val="21"/>
                <w:szCs w:val="21"/>
                <w:highlight w:val="none"/>
                <w:vertAlign w:val="baseline"/>
                <w:lang w:val="en-US" w:eastAsia="zh-CN"/>
              </w:rPr>
              <w:t>规格</w:t>
            </w:r>
          </w:p>
        </w:tc>
        <w:tc>
          <w:tcPr>
            <w:tcW w:w="968" w:type="pct"/>
            <w:tcBorders>
              <w:tl2br w:val="nil"/>
              <w:tr2bl w:val="nil"/>
            </w:tcBorders>
            <w:vAlign w:val="center"/>
          </w:tcPr>
          <w:p w14:paraId="28F364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vertAlign w:val="baseline"/>
                <w:lang w:val="en-US" w:eastAsia="zh-CN"/>
              </w:rPr>
            </w:pPr>
            <w:r>
              <w:rPr>
                <w:rFonts w:hint="eastAsia" w:ascii="Times New Roman" w:hAnsi="Times New Roman" w:eastAsia="宋体" w:cs="Times New Roman"/>
                <w:b/>
                <w:bCs/>
                <w:caps w:val="0"/>
                <w:snapToGrid/>
                <w:color w:val="auto"/>
                <w:spacing w:val="0"/>
                <w:w w:val="100"/>
                <w:kern w:val="21"/>
                <w:position w:val="0"/>
                <w:sz w:val="21"/>
                <w:szCs w:val="21"/>
                <w:highlight w:val="none"/>
                <w:vertAlign w:val="baseline"/>
                <w:lang w:val="en-US" w:eastAsia="zh-CN"/>
              </w:rPr>
              <w:t>产量</w:t>
            </w:r>
          </w:p>
        </w:tc>
        <w:tc>
          <w:tcPr>
            <w:tcW w:w="970" w:type="pct"/>
            <w:tcBorders>
              <w:tl2br w:val="nil"/>
              <w:tr2bl w:val="nil"/>
            </w:tcBorders>
            <w:vAlign w:val="center"/>
          </w:tcPr>
          <w:p w14:paraId="54FC0D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vertAlign w:val="baseline"/>
                <w:lang w:val="en-US" w:eastAsia="zh-CN"/>
              </w:rPr>
            </w:pPr>
            <w:r>
              <w:rPr>
                <w:rFonts w:hint="eastAsia" w:ascii="Times New Roman" w:hAnsi="Times New Roman" w:eastAsia="宋体" w:cs="Times New Roman"/>
                <w:b/>
                <w:bCs/>
                <w:caps w:val="0"/>
                <w:snapToGrid/>
                <w:color w:val="auto"/>
                <w:spacing w:val="0"/>
                <w:w w:val="100"/>
                <w:kern w:val="21"/>
                <w:position w:val="0"/>
                <w:sz w:val="21"/>
                <w:szCs w:val="21"/>
                <w:highlight w:val="none"/>
                <w:vertAlign w:val="baseline"/>
                <w:lang w:val="en-US" w:eastAsia="zh-CN"/>
              </w:rPr>
              <w:t>年生产时间</w:t>
            </w:r>
          </w:p>
        </w:tc>
        <w:tc>
          <w:tcPr>
            <w:tcW w:w="983" w:type="pct"/>
            <w:tcBorders>
              <w:tl2br w:val="nil"/>
              <w:tr2bl w:val="nil"/>
            </w:tcBorders>
            <w:vAlign w:val="center"/>
          </w:tcPr>
          <w:p w14:paraId="029DA5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vertAlign w:val="baseline"/>
                <w:lang w:val="en-US" w:eastAsia="zh-CN"/>
              </w:rPr>
            </w:pPr>
            <w:r>
              <w:rPr>
                <w:rFonts w:hint="eastAsia" w:cs="Times New Roman"/>
                <w:b/>
                <w:bCs/>
                <w:caps w:val="0"/>
                <w:snapToGrid/>
                <w:color w:val="auto"/>
                <w:spacing w:val="0"/>
                <w:w w:val="100"/>
                <w:kern w:val="21"/>
                <w:position w:val="0"/>
                <w:sz w:val="21"/>
                <w:szCs w:val="21"/>
                <w:highlight w:val="none"/>
                <w:vertAlign w:val="baseline"/>
                <w:lang w:val="en-US" w:eastAsia="zh-CN"/>
              </w:rPr>
              <w:t>质量标准</w:t>
            </w:r>
          </w:p>
        </w:tc>
      </w:tr>
      <w:tr w14:paraId="6123D0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297" w:type="pct"/>
            <w:tcBorders>
              <w:tl2br w:val="nil"/>
              <w:tr2bl w:val="nil"/>
            </w:tcBorders>
            <w:vAlign w:val="center"/>
          </w:tcPr>
          <w:p w14:paraId="5FDC35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vertAlign w:val="baseline"/>
                <w:lang w:val="en-US" w:eastAsia="zh-CN"/>
              </w:rPr>
            </w:pPr>
            <w:r>
              <w:rPr>
                <w:rFonts w:hint="eastAsia" w:cs="Times New Roman"/>
                <w:caps w:val="0"/>
                <w:snapToGrid/>
                <w:color w:val="auto"/>
                <w:spacing w:val="0"/>
                <w:w w:val="100"/>
                <w:kern w:val="21"/>
                <w:position w:val="0"/>
                <w:sz w:val="21"/>
                <w:szCs w:val="21"/>
                <w:highlight w:val="none"/>
                <w:vertAlign w:val="baseline"/>
                <w:lang w:val="en-US" w:eastAsia="zh-CN"/>
              </w:rPr>
              <w:t>1</w:t>
            </w:r>
          </w:p>
        </w:tc>
        <w:tc>
          <w:tcPr>
            <w:tcW w:w="774" w:type="pct"/>
            <w:tcBorders>
              <w:tl2br w:val="nil"/>
              <w:tr2bl w:val="nil"/>
            </w:tcBorders>
            <w:shd w:val="clear" w:color="auto" w:fill="auto"/>
            <w:vAlign w:val="center"/>
          </w:tcPr>
          <w:p w14:paraId="16748B87">
            <w:pPr>
              <w:keepNext w:val="0"/>
              <w:keepLines w:val="0"/>
              <w:pageBreakBefore w:val="0"/>
              <w:widowControl w:val="0"/>
              <w:suppressLineNumbers w:val="0"/>
              <w:tabs>
                <w:tab w:val="left" w:pos="240"/>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eastAsia" w:cs="Times New Roman"/>
                <w:caps w:val="0"/>
                <w:snapToGrid/>
                <w:color w:val="auto"/>
                <w:spacing w:val="0"/>
                <w:w w:val="100"/>
                <w:kern w:val="21"/>
                <w:position w:val="0"/>
                <w:sz w:val="21"/>
                <w:szCs w:val="21"/>
                <w:highlight w:val="none"/>
                <w:lang w:val="en-US" w:eastAsia="zh-CN" w:bidi="ar-SA"/>
              </w:rPr>
              <w:t>铝塑复合板</w:t>
            </w:r>
          </w:p>
        </w:tc>
        <w:tc>
          <w:tcPr>
            <w:tcW w:w="1006" w:type="pct"/>
            <w:tcBorders>
              <w:tl2br w:val="nil"/>
              <w:tr2bl w:val="nil"/>
            </w:tcBorders>
            <w:shd w:val="clear" w:color="auto" w:fill="auto"/>
            <w:vAlign w:val="center"/>
          </w:tcPr>
          <w:p w14:paraId="5F6819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eastAsia" w:cs="Times New Roman"/>
                <w:caps w:val="0"/>
                <w:snapToGrid/>
                <w:color w:val="auto"/>
                <w:spacing w:val="0"/>
                <w:w w:val="100"/>
                <w:kern w:val="21"/>
                <w:position w:val="0"/>
                <w:sz w:val="21"/>
                <w:szCs w:val="21"/>
                <w:highlight w:val="none"/>
                <w:lang w:val="en-US" w:eastAsia="zh-CN" w:bidi="ar-SA"/>
              </w:rPr>
              <w:t>厚度4mm，长宽根据市场需求和客户要求调整</w:t>
            </w:r>
          </w:p>
        </w:tc>
        <w:tc>
          <w:tcPr>
            <w:tcW w:w="968" w:type="pct"/>
            <w:tcBorders>
              <w:tl2br w:val="nil"/>
              <w:tr2bl w:val="nil"/>
            </w:tcBorders>
            <w:vAlign w:val="center"/>
          </w:tcPr>
          <w:p w14:paraId="56D32B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eastAsia" w:cs="Times New Roman"/>
                <w:caps w:val="0"/>
                <w:snapToGrid/>
                <w:color w:val="auto"/>
                <w:spacing w:val="0"/>
                <w:w w:val="100"/>
                <w:kern w:val="21"/>
                <w:position w:val="0"/>
                <w:sz w:val="21"/>
                <w:szCs w:val="21"/>
                <w:highlight w:val="none"/>
                <w:lang w:val="en-US" w:eastAsia="zh-CN" w:bidi="ar-SA"/>
              </w:rPr>
              <w:t>120</w:t>
            </w: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t>万平方米</w:t>
            </w:r>
          </w:p>
        </w:tc>
        <w:tc>
          <w:tcPr>
            <w:tcW w:w="970" w:type="pct"/>
            <w:tcBorders>
              <w:tl2br w:val="nil"/>
              <w:tr2bl w:val="nil"/>
            </w:tcBorders>
            <w:vAlign w:val="center"/>
          </w:tcPr>
          <w:p w14:paraId="2143D7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eastAsia" w:cs="Times New Roman"/>
                <w:caps w:val="0"/>
                <w:snapToGrid/>
                <w:color w:val="auto"/>
                <w:spacing w:val="0"/>
                <w:w w:val="100"/>
                <w:kern w:val="21"/>
                <w:position w:val="0"/>
                <w:sz w:val="21"/>
                <w:szCs w:val="21"/>
                <w:highlight w:val="none"/>
                <w:lang w:val="en-US" w:eastAsia="zh-CN" w:bidi="ar-SA"/>
              </w:rPr>
              <w:t>4800</w:t>
            </w: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t>h</w:t>
            </w:r>
          </w:p>
        </w:tc>
        <w:tc>
          <w:tcPr>
            <w:tcW w:w="983" w:type="pct"/>
            <w:tcBorders>
              <w:tl2br w:val="nil"/>
              <w:tr2bl w:val="nil"/>
            </w:tcBorders>
            <w:vAlign w:val="center"/>
          </w:tcPr>
          <w:p w14:paraId="4B4489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cs="Times New Roman"/>
                <w:caps w:val="0"/>
                <w:snapToGrid/>
                <w:color w:val="auto"/>
                <w:spacing w:val="0"/>
                <w:w w:val="100"/>
                <w:kern w:val="21"/>
                <w:position w:val="0"/>
                <w:sz w:val="21"/>
                <w:szCs w:val="21"/>
                <w:highlight w:val="none"/>
                <w:vertAlign w:val="baseline"/>
                <w:lang w:val="en-US" w:eastAsia="zh-CN"/>
              </w:rPr>
            </w:pPr>
            <w:r>
              <w:rPr>
                <w:rFonts w:hint="eastAsia" w:cs="Times New Roman"/>
                <w:caps w:val="0"/>
                <w:snapToGrid/>
                <w:color w:val="auto"/>
                <w:spacing w:val="0"/>
                <w:w w:val="100"/>
                <w:kern w:val="21"/>
                <w:position w:val="0"/>
                <w:sz w:val="21"/>
                <w:szCs w:val="21"/>
                <w:highlight w:val="none"/>
                <w:vertAlign w:val="baseline"/>
                <w:lang w:val="en-US" w:eastAsia="zh-CN"/>
              </w:rPr>
              <w:t>《建筑幕墙用铝塑复合板》（GB/T17748-2016）</w:t>
            </w:r>
          </w:p>
        </w:tc>
      </w:tr>
    </w:tbl>
    <w:p w14:paraId="5247E24C">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3.1.</w:t>
      </w:r>
      <w:r>
        <w:rPr>
          <w:rFonts w:hint="eastAsia"/>
          <w:color w:val="auto"/>
          <w:spacing w:val="0"/>
          <w:w w:val="100"/>
          <w:position w:val="0"/>
          <w:highlight w:val="none"/>
          <w:lang w:val="en-US" w:eastAsia="zh-CN"/>
        </w:rPr>
        <w:t>3主要生产设备</w:t>
      </w:r>
      <w:bookmarkEnd w:id="204"/>
    </w:p>
    <w:p w14:paraId="681991FD">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jc w:val="left"/>
        <w:outlineLvl w:val="9"/>
        <w:rPr>
          <w:rFonts w:hint="default" w:ascii="Times New Roman" w:hAnsi="Times New Roman" w:eastAsia="宋体" w:cs="Times New Roman"/>
          <w:caps w:val="0"/>
          <w:snapToGrid/>
          <w:color w:val="auto"/>
          <w:spacing w:val="0"/>
          <w:w w:val="100"/>
          <w:kern w:val="21"/>
          <w:position w:val="0"/>
          <w:sz w:val="24"/>
          <w:szCs w:val="24"/>
          <w:highlight w:val="none"/>
        </w:rPr>
      </w:pPr>
      <w:r>
        <w:rPr>
          <w:rFonts w:hint="default" w:ascii="Times New Roman" w:hAnsi="Times New Roman" w:eastAsia="宋体" w:cs="Times New Roman"/>
          <w:caps w:val="0"/>
          <w:snapToGrid/>
          <w:color w:val="auto"/>
          <w:spacing w:val="0"/>
          <w:w w:val="100"/>
          <w:kern w:val="21"/>
          <w:position w:val="0"/>
          <w:sz w:val="24"/>
          <w:szCs w:val="24"/>
          <w:highlight w:val="none"/>
        </w:rPr>
        <w:t>主要设备情况见表3.</w:t>
      </w:r>
      <w:r>
        <w:rPr>
          <w:rFonts w:hint="eastAsia" w:ascii="Times New Roman" w:hAnsi="Times New Roman" w:eastAsia="宋体" w:cs="Times New Roman"/>
          <w:caps w:val="0"/>
          <w:snapToGrid/>
          <w:color w:val="auto"/>
          <w:spacing w:val="0"/>
          <w:w w:val="100"/>
          <w:kern w:val="21"/>
          <w:position w:val="0"/>
          <w:sz w:val="24"/>
          <w:szCs w:val="24"/>
          <w:highlight w:val="none"/>
          <w:lang w:val="en-US" w:eastAsia="zh-CN"/>
        </w:rPr>
        <w:t>1</w:t>
      </w:r>
      <w:r>
        <w:rPr>
          <w:rFonts w:hint="eastAsia" w:cs="Times New Roman"/>
          <w:caps w:val="0"/>
          <w:snapToGrid/>
          <w:color w:val="auto"/>
          <w:spacing w:val="0"/>
          <w:w w:val="100"/>
          <w:kern w:val="21"/>
          <w:position w:val="0"/>
          <w:sz w:val="24"/>
          <w:szCs w:val="24"/>
          <w:highlight w:val="none"/>
          <w:lang w:val="en-US" w:eastAsia="zh-CN"/>
        </w:rPr>
        <w:t>.3-1</w:t>
      </w:r>
      <w:r>
        <w:rPr>
          <w:rFonts w:hint="default" w:ascii="Times New Roman" w:hAnsi="Times New Roman" w:eastAsia="宋体" w:cs="Times New Roman"/>
          <w:caps w:val="0"/>
          <w:snapToGrid/>
          <w:color w:val="auto"/>
          <w:spacing w:val="0"/>
          <w:w w:val="100"/>
          <w:kern w:val="21"/>
          <w:position w:val="0"/>
          <w:sz w:val="24"/>
          <w:szCs w:val="24"/>
          <w:highlight w:val="none"/>
        </w:rPr>
        <w:t>。</w:t>
      </w:r>
    </w:p>
    <w:p w14:paraId="38FA0E9D">
      <w:pPr>
        <w:keepNext w:val="0"/>
        <w:keepLines w:val="0"/>
        <w:pageBreakBefore w:val="0"/>
        <w:widowControl w:val="0"/>
        <w:tabs>
          <w:tab w:val="left" w:pos="1021"/>
        </w:tabs>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表3.</w:t>
      </w:r>
      <w:r>
        <w:rPr>
          <w:rFonts w:hint="eastAsia" w:ascii="Times New Roman" w:hAnsi="Times New Roman" w:eastAsia="宋体" w:cs="Times New Roman"/>
          <w:b/>
          <w:bCs/>
          <w:caps w:val="0"/>
          <w:snapToGrid/>
          <w:color w:val="auto"/>
          <w:spacing w:val="0"/>
          <w:w w:val="100"/>
          <w:kern w:val="21"/>
          <w:position w:val="0"/>
          <w:sz w:val="21"/>
          <w:szCs w:val="21"/>
          <w:highlight w:val="none"/>
          <w:lang w:val="en-US" w:eastAsia="zh-CN"/>
        </w:rPr>
        <w:t>1</w:t>
      </w:r>
      <w:r>
        <w:rPr>
          <w:rFonts w:hint="eastAsia" w:cs="Times New Roman"/>
          <w:b/>
          <w:bCs/>
          <w:caps w:val="0"/>
          <w:snapToGrid/>
          <w:color w:val="auto"/>
          <w:spacing w:val="0"/>
          <w:w w:val="100"/>
          <w:kern w:val="21"/>
          <w:position w:val="0"/>
          <w:sz w:val="21"/>
          <w:szCs w:val="21"/>
          <w:highlight w:val="none"/>
          <w:lang w:val="en-US" w:eastAsia="zh-CN"/>
        </w:rPr>
        <w:t>.1-1</w:t>
      </w:r>
      <w:r>
        <w:rPr>
          <w:rFonts w:hint="default" w:ascii="Times New Roman" w:hAnsi="Times New Roman" w:eastAsia="宋体" w:cs="Times New Roman"/>
          <w:b/>
          <w:bCs/>
          <w:caps w:val="0"/>
          <w:snapToGrid/>
          <w:color w:val="auto"/>
          <w:spacing w:val="0"/>
          <w:w w:val="100"/>
          <w:kern w:val="21"/>
          <w:position w:val="0"/>
          <w:sz w:val="21"/>
          <w:szCs w:val="21"/>
          <w:highlight w:val="none"/>
        </w:rPr>
        <w:t xml:space="preserve"> </w:t>
      </w:r>
      <w:r>
        <w:rPr>
          <w:rFonts w:hint="eastAsia" w:ascii="Times New Roman" w:hAnsi="Times New Roman" w:eastAsia="宋体" w:cs="Times New Roman"/>
          <w:b/>
          <w:bCs/>
          <w:caps w:val="0"/>
          <w:snapToGrid/>
          <w:color w:val="auto"/>
          <w:spacing w:val="0"/>
          <w:w w:val="100"/>
          <w:kern w:val="21"/>
          <w:position w:val="0"/>
          <w:sz w:val="21"/>
          <w:szCs w:val="21"/>
          <w:highlight w:val="none"/>
          <w:lang w:val="en-US" w:eastAsia="zh-CN"/>
        </w:rPr>
        <w:t xml:space="preserve"> </w:t>
      </w:r>
      <w:r>
        <w:rPr>
          <w:rFonts w:hint="default" w:ascii="Times New Roman" w:hAnsi="Times New Roman" w:eastAsia="宋体" w:cs="Times New Roman"/>
          <w:b/>
          <w:bCs/>
          <w:caps w:val="0"/>
          <w:snapToGrid/>
          <w:color w:val="auto"/>
          <w:spacing w:val="0"/>
          <w:w w:val="100"/>
          <w:kern w:val="21"/>
          <w:position w:val="0"/>
          <w:sz w:val="21"/>
          <w:szCs w:val="21"/>
          <w:highlight w:val="none"/>
        </w:rPr>
        <w:t>主要设备清单一览表</w:t>
      </w:r>
    </w:p>
    <w:tbl>
      <w:tblPr>
        <w:tblStyle w:val="26"/>
        <w:tblW w:w="841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943"/>
        <w:gridCol w:w="3526"/>
        <w:gridCol w:w="2123"/>
        <w:gridCol w:w="1825"/>
      </w:tblGrid>
      <w:tr w14:paraId="45B425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0" w:type="auto"/>
            <w:tcBorders>
              <w:tl2br w:val="nil"/>
              <w:tr2bl w:val="nil"/>
            </w:tcBorders>
            <w:vAlign w:val="center"/>
          </w:tcPr>
          <w:p w14:paraId="3F1CA4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vertAlign w:val="baseline"/>
                <w:lang w:val="en-US" w:eastAsia="zh-CN"/>
              </w:rPr>
            </w:pPr>
            <w:r>
              <w:rPr>
                <w:rFonts w:hint="default" w:ascii="Times New Roman" w:hAnsi="Times New Roman" w:eastAsia="宋体" w:cs="Times New Roman"/>
                <w:b/>
                <w:bCs/>
                <w:caps w:val="0"/>
                <w:snapToGrid/>
                <w:color w:val="auto"/>
                <w:spacing w:val="0"/>
                <w:w w:val="100"/>
                <w:kern w:val="21"/>
                <w:position w:val="0"/>
                <w:sz w:val="21"/>
                <w:szCs w:val="21"/>
                <w:highlight w:val="none"/>
                <w:vertAlign w:val="baseline"/>
                <w:lang w:val="en-US" w:eastAsia="zh-CN"/>
              </w:rPr>
              <w:t>序号</w:t>
            </w:r>
          </w:p>
        </w:tc>
        <w:tc>
          <w:tcPr>
            <w:tcW w:w="3526" w:type="dxa"/>
            <w:tcBorders>
              <w:tl2br w:val="nil"/>
              <w:tr2bl w:val="nil"/>
            </w:tcBorders>
            <w:vAlign w:val="center"/>
          </w:tcPr>
          <w:p w14:paraId="289E26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vertAlign w:val="baseline"/>
                <w:lang w:val="en-US" w:eastAsia="zh-CN"/>
              </w:rPr>
            </w:pPr>
            <w:r>
              <w:rPr>
                <w:rFonts w:hint="default" w:ascii="Times New Roman" w:hAnsi="Times New Roman" w:eastAsia="宋体" w:cs="Times New Roman"/>
                <w:b/>
                <w:bCs/>
                <w:caps w:val="0"/>
                <w:snapToGrid/>
                <w:color w:val="auto"/>
                <w:spacing w:val="0"/>
                <w:w w:val="100"/>
                <w:kern w:val="21"/>
                <w:position w:val="0"/>
                <w:sz w:val="21"/>
                <w:szCs w:val="21"/>
                <w:highlight w:val="none"/>
                <w:vertAlign w:val="baseline"/>
                <w:lang w:val="en-US" w:eastAsia="zh-CN"/>
              </w:rPr>
              <w:t>设备名称</w:t>
            </w:r>
          </w:p>
        </w:tc>
        <w:tc>
          <w:tcPr>
            <w:tcW w:w="2123" w:type="dxa"/>
            <w:tcBorders>
              <w:tl2br w:val="nil"/>
              <w:tr2bl w:val="nil"/>
            </w:tcBorders>
            <w:vAlign w:val="center"/>
          </w:tcPr>
          <w:p w14:paraId="2D4D02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vertAlign w:val="baseline"/>
                <w:lang w:val="en-US" w:eastAsia="zh-CN"/>
              </w:rPr>
            </w:pPr>
            <w:r>
              <w:rPr>
                <w:rFonts w:hint="default" w:ascii="Times New Roman" w:hAnsi="Times New Roman" w:eastAsia="宋体" w:cs="Times New Roman"/>
                <w:b/>
                <w:bCs/>
                <w:caps w:val="0"/>
                <w:snapToGrid/>
                <w:color w:val="auto"/>
                <w:spacing w:val="0"/>
                <w:w w:val="100"/>
                <w:kern w:val="21"/>
                <w:position w:val="0"/>
                <w:sz w:val="21"/>
                <w:szCs w:val="21"/>
                <w:highlight w:val="none"/>
                <w:vertAlign w:val="baseline"/>
                <w:lang w:val="en-US" w:eastAsia="zh-CN"/>
              </w:rPr>
              <w:t>规格</w:t>
            </w:r>
          </w:p>
        </w:tc>
        <w:tc>
          <w:tcPr>
            <w:tcW w:w="1825" w:type="dxa"/>
            <w:tcBorders>
              <w:tl2br w:val="nil"/>
              <w:tr2bl w:val="nil"/>
            </w:tcBorders>
            <w:vAlign w:val="center"/>
          </w:tcPr>
          <w:p w14:paraId="1599B5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vertAlign w:val="baseline"/>
                <w:lang w:val="en-US" w:eastAsia="zh-CN"/>
              </w:rPr>
            </w:pPr>
            <w:r>
              <w:rPr>
                <w:rFonts w:hint="default" w:ascii="Times New Roman" w:hAnsi="Times New Roman" w:eastAsia="宋体" w:cs="Times New Roman"/>
                <w:b/>
                <w:bCs/>
                <w:caps w:val="0"/>
                <w:snapToGrid/>
                <w:color w:val="auto"/>
                <w:spacing w:val="0"/>
                <w:w w:val="100"/>
                <w:kern w:val="21"/>
                <w:position w:val="0"/>
                <w:sz w:val="21"/>
                <w:szCs w:val="21"/>
                <w:highlight w:val="none"/>
                <w:vertAlign w:val="baseline"/>
                <w:lang w:val="en-US" w:eastAsia="zh-CN"/>
              </w:rPr>
              <w:t>数量</w:t>
            </w:r>
            <w:r>
              <w:rPr>
                <w:rFonts w:hint="eastAsia" w:ascii="Times New Roman" w:hAnsi="Times New Roman" w:eastAsia="宋体" w:cs="Times New Roman"/>
                <w:b/>
                <w:bCs/>
                <w:caps w:val="0"/>
                <w:snapToGrid/>
                <w:color w:val="auto"/>
                <w:spacing w:val="0"/>
                <w:w w:val="100"/>
                <w:kern w:val="21"/>
                <w:position w:val="0"/>
                <w:sz w:val="21"/>
                <w:szCs w:val="21"/>
                <w:highlight w:val="none"/>
                <w:vertAlign w:val="baseline"/>
                <w:lang w:val="en-US" w:eastAsia="zh-CN"/>
              </w:rPr>
              <w:t>（台/套/个）</w:t>
            </w:r>
          </w:p>
        </w:tc>
      </w:tr>
      <w:tr w14:paraId="40D017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0" w:type="auto"/>
            <w:tcBorders>
              <w:tl2br w:val="nil"/>
              <w:tr2bl w:val="nil"/>
            </w:tcBorders>
            <w:shd w:val="clear" w:color="auto" w:fill="auto"/>
            <w:vAlign w:val="center"/>
          </w:tcPr>
          <w:p w14:paraId="264A58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vertAlign w:val="baseline"/>
                <w:lang w:val="en-US" w:eastAsia="zh-CN" w:bidi="ar-SA"/>
              </w:rPr>
            </w:pPr>
            <w:r>
              <w:rPr>
                <w:rFonts w:hint="eastAsia" w:ascii="Times New Roman" w:hAnsi="Times New Roman" w:eastAsia="宋体" w:cs="Times New Roman"/>
                <w:caps w:val="0"/>
                <w:snapToGrid/>
                <w:color w:val="auto"/>
                <w:spacing w:val="0"/>
                <w:w w:val="100"/>
                <w:kern w:val="21"/>
                <w:position w:val="0"/>
                <w:sz w:val="21"/>
                <w:szCs w:val="21"/>
                <w:highlight w:val="none"/>
                <w:vertAlign w:val="baseline"/>
                <w:lang w:val="en-US" w:eastAsia="zh-CN"/>
              </w:rPr>
              <w:t>1</w:t>
            </w:r>
          </w:p>
        </w:tc>
        <w:tc>
          <w:tcPr>
            <w:tcW w:w="3526" w:type="dxa"/>
            <w:tcBorders>
              <w:tl2br w:val="nil"/>
              <w:tr2bl w:val="nil"/>
            </w:tcBorders>
            <w:shd w:val="clear" w:color="auto" w:fill="auto"/>
            <w:vAlign w:val="center"/>
          </w:tcPr>
          <w:p w14:paraId="4D8205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eastAsia="宋体"/>
                <w:color w:val="auto"/>
                <w:spacing w:val="0"/>
                <w:w w:val="100"/>
                <w:position w:val="0"/>
                <w:sz w:val="21"/>
                <w:szCs w:val="21"/>
                <w:highlight w:val="none"/>
                <w:lang w:val="en-US" w:eastAsia="zh-CN"/>
              </w:rPr>
            </w:pPr>
            <w:r>
              <w:rPr>
                <w:rFonts w:hint="eastAsia"/>
                <w:color w:val="auto"/>
                <w:spacing w:val="0"/>
                <w:w w:val="100"/>
                <w:position w:val="0"/>
                <w:sz w:val="21"/>
                <w:szCs w:val="21"/>
                <w:highlight w:val="none"/>
                <w:lang w:val="en-US" w:eastAsia="zh-CN"/>
              </w:rPr>
              <w:t>混料搅拌机</w:t>
            </w:r>
          </w:p>
        </w:tc>
        <w:tc>
          <w:tcPr>
            <w:tcW w:w="2123" w:type="dxa"/>
            <w:tcBorders>
              <w:tl2br w:val="nil"/>
              <w:tr2bl w:val="nil"/>
            </w:tcBorders>
            <w:shd w:val="clear" w:color="auto" w:fill="auto"/>
            <w:vAlign w:val="center"/>
          </w:tcPr>
          <w:p w14:paraId="5D07C8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全密闭式</w:t>
            </w:r>
          </w:p>
        </w:tc>
        <w:tc>
          <w:tcPr>
            <w:tcW w:w="1825" w:type="dxa"/>
            <w:tcBorders>
              <w:tl2br w:val="nil"/>
              <w:tr2bl w:val="nil"/>
            </w:tcBorders>
            <w:vAlign w:val="center"/>
          </w:tcPr>
          <w:p w14:paraId="2EEC15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3</w:t>
            </w:r>
          </w:p>
        </w:tc>
      </w:tr>
      <w:tr w14:paraId="42D1A4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0" w:type="auto"/>
            <w:tcBorders>
              <w:tl2br w:val="nil"/>
              <w:tr2bl w:val="nil"/>
            </w:tcBorders>
            <w:shd w:val="clear" w:color="auto" w:fill="auto"/>
            <w:vAlign w:val="center"/>
          </w:tcPr>
          <w:p w14:paraId="565C1C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vertAlign w:val="baseline"/>
                <w:lang w:val="en-US" w:eastAsia="zh-CN" w:bidi="ar-SA"/>
              </w:rPr>
            </w:pPr>
            <w:r>
              <w:rPr>
                <w:rFonts w:hint="eastAsia" w:ascii="Times New Roman" w:hAnsi="Times New Roman" w:eastAsia="宋体" w:cs="Times New Roman"/>
                <w:caps w:val="0"/>
                <w:snapToGrid/>
                <w:color w:val="auto"/>
                <w:spacing w:val="0"/>
                <w:w w:val="100"/>
                <w:kern w:val="21"/>
                <w:position w:val="0"/>
                <w:sz w:val="21"/>
                <w:szCs w:val="21"/>
                <w:highlight w:val="none"/>
                <w:vertAlign w:val="baseline"/>
                <w:lang w:val="en-US" w:eastAsia="zh-CN"/>
              </w:rPr>
              <w:t>2</w:t>
            </w:r>
          </w:p>
        </w:tc>
        <w:tc>
          <w:tcPr>
            <w:tcW w:w="3526" w:type="dxa"/>
            <w:tcBorders>
              <w:tl2br w:val="nil"/>
              <w:tr2bl w:val="nil"/>
            </w:tcBorders>
            <w:shd w:val="clear" w:color="auto" w:fill="auto"/>
            <w:vAlign w:val="center"/>
          </w:tcPr>
          <w:p w14:paraId="6CF0C9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color w:val="auto"/>
                <w:spacing w:val="0"/>
                <w:w w:val="100"/>
                <w:position w:val="0"/>
                <w:sz w:val="21"/>
                <w:szCs w:val="21"/>
                <w:highlight w:val="none"/>
                <w:lang w:val="en-US" w:eastAsia="zh-CN"/>
              </w:rPr>
              <w:t>塑料芯材挤出机</w:t>
            </w:r>
          </w:p>
        </w:tc>
        <w:tc>
          <w:tcPr>
            <w:tcW w:w="2123" w:type="dxa"/>
            <w:tcBorders>
              <w:tl2br w:val="nil"/>
              <w:tr2bl w:val="nil"/>
            </w:tcBorders>
            <w:shd w:val="clear" w:color="auto" w:fill="auto"/>
            <w:vAlign w:val="center"/>
          </w:tcPr>
          <w:p w14:paraId="771D10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rPr>
            </w:pPr>
            <w:r>
              <w:rPr>
                <w:rFonts w:hint="default" w:ascii="Times New Roman" w:hAnsi="Times New Roman" w:eastAsia="宋体" w:cs="Times New Roman"/>
                <w:color w:val="auto"/>
                <w:spacing w:val="0"/>
                <w:w w:val="100"/>
                <w:position w:val="0"/>
                <w:sz w:val="21"/>
                <w:szCs w:val="21"/>
                <w:highlight w:val="none"/>
                <w:lang w:val="en-US" w:eastAsia="zh-CN"/>
              </w:rPr>
              <w:t>∅180/32</w:t>
            </w:r>
            <w:r>
              <w:rPr>
                <w:rFonts w:hint="eastAsia" w:cs="Times New Roman"/>
                <w:color w:val="auto"/>
                <w:spacing w:val="0"/>
                <w:w w:val="100"/>
                <w:position w:val="0"/>
                <w:sz w:val="21"/>
                <w:szCs w:val="21"/>
                <w:highlight w:val="none"/>
                <w:lang w:val="en-US" w:eastAsia="zh-CN"/>
              </w:rPr>
              <w:t>，362.25kW</w:t>
            </w:r>
          </w:p>
        </w:tc>
        <w:tc>
          <w:tcPr>
            <w:tcW w:w="1825" w:type="dxa"/>
            <w:tcBorders>
              <w:tl2br w:val="nil"/>
              <w:tr2bl w:val="nil"/>
            </w:tcBorders>
            <w:vAlign w:val="center"/>
          </w:tcPr>
          <w:p w14:paraId="290B4B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3</w:t>
            </w:r>
          </w:p>
        </w:tc>
      </w:tr>
      <w:tr w14:paraId="7B1D74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0" w:type="auto"/>
            <w:tcBorders>
              <w:tl2br w:val="nil"/>
              <w:tr2bl w:val="nil"/>
            </w:tcBorders>
            <w:shd w:val="clear" w:color="auto" w:fill="auto"/>
            <w:vAlign w:val="center"/>
          </w:tcPr>
          <w:p w14:paraId="7FC2DF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vertAlign w:val="baseline"/>
                <w:lang w:val="en-US" w:eastAsia="zh-CN" w:bidi="ar-SA"/>
              </w:rPr>
            </w:pPr>
            <w:r>
              <w:rPr>
                <w:rFonts w:hint="eastAsia" w:ascii="Times New Roman" w:hAnsi="Times New Roman" w:eastAsia="宋体" w:cs="Times New Roman"/>
                <w:caps w:val="0"/>
                <w:snapToGrid/>
                <w:color w:val="auto"/>
                <w:spacing w:val="0"/>
                <w:w w:val="100"/>
                <w:kern w:val="21"/>
                <w:position w:val="0"/>
                <w:sz w:val="21"/>
                <w:szCs w:val="21"/>
                <w:highlight w:val="none"/>
                <w:vertAlign w:val="baseline"/>
                <w:lang w:val="en-US" w:eastAsia="zh-CN"/>
              </w:rPr>
              <w:t>3</w:t>
            </w:r>
          </w:p>
        </w:tc>
        <w:tc>
          <w:tcPr>
            <w:tcW w:w="3526" w:type="dxa"/>
            <w:tcBorders>
              <w:tl2br w:val="nil"/>
              <w:tr2bl w:val="nil"/>
            </w:tcBorders>
            <w:shd w:val="clear" w:color="auto" w:fill="auto"/>
            <w:vAlign w:val="center"/>
          </w:tcPr>
          <w:p w14:paraId="25FE82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olor w:val="auto"/>
                <w:spacing w:val="0"/>
                <w:w w:val="100"/>
                <w:position w:val="0"/>
                <w:sz w:val="21"/>
                <w:szCs w:val="21"/>
                <w:highlight w:val="none"/>
                <w:lang w:val="en-US" w:eastAsia="zh-CN"/>
              </w:rPr>
              <w:t>油压换网单元（双网）</w:t>
            </w:r>
          </w:p>
        </w:tc>
        <w:tc>
          <w:tcPr>
            <w:tcW w:w="2123" w:type="dxa"/>
            <w:tcBorders>
              <w:tl2br w:val="nil"/>
              <w:tr2bl w:val="nil"/>
            </w:tcBorders>
            <w:shd w:val="clear" w:color="auto" w:fill="auto"/>
            <w:vAlign w:val="center"/>
          </w:tcPr>
          <w:p w14:paraId="4F616F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rPr>
            </w:pPr>
            <w:r>
              <w:rPr>
                <w:rFonts w:hint="eastAsia" w:cs="Times New Roman"/>
                <w:caps w:val="0"/>
                <w:snapToGrid/>
                <w:color w:val="auto"/>
                <w:spacing w:val="0"/>
                <w:w w:val="100"/>
                <w:kern w:val="21"/>
                <w:position w:val="0"/>
                <w:sz w:val="21"/>
                <w:szCs w:val="21"/>
                <w:highlight w:val="none"/>
                <w:lang w:val="en-US" w:eastAsia="zh-CN"/>
              </w:rPr>
              <w:t>16.5kW</w:t>
            </w:r>
          </w:p>
        </w:tc>
        <w:tc>
          <w:tcPr>
            <w:tcW w:w="1825" w:type="dxa"/>
            <w:tcBorders>
              <w:tl2br w:val="nil"/>
              <w:tr2bl w:val="nil"/>
            </w:tcBorders>
            <w:vAlign w:val="center"/>
          </w:tcPr>
          <w:p w14:paraId="5B9243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3</w:t>
            </w:r>
          </w:p>
        </w:tc>
      </w:tr>
      <w:tr w14:paraId="77C105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0" w:type="auto"/>
            <w:tcBorders>
              <w:tl2br w:val="nil"/>
              <w:tr2bl w:val="nil"/>
            </w:tcBorders>
            <w:shd w:val="clear" w:color="auto" w:fill="auto"/>
            <w:vAlign w:val="center"/>
          </w:tcPr>
          <w:p w14:paraId="3735E8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vertAlign w:val="baseline"/>
                <w:lang w:val="en-US" w:eastAsia="zh-CN" w:bidi="ar-SA"/>
              </w:rPr>
            </w:pPr>
            <w:r>
              <w:rPr>
                <w:rFonts w:hint="eastAsia" w:ascii="Times New Roman" w:hAnsi="Times New Roman" w:eastAsia="宋体" w:cs="Times New Roman"/>
                <w:caps w:val="0"/>
                <w:snapToGrid/>
                <w:color w:val="auto"/>
                <w:spacing w:val="0"/>
                <w:w w:val="100"/>
                <w:kern w:val="21"/>
                <w:position w:val="0"/>
                <w:sz w:val="21"/>
                <w:szCs w:val="21"/>
                <w:highlight w:val="none"/>
                <w:vertAlign w:val="baseline"/>
                <w:lang w:val="en-US" w:eastAsia="zh-CN"/>
              </w:rPr>
              <w:t>4</w:t>
            </w:r>
          </w:p>
        </w:tc>
        <w:tc>
          <w:tcPr>
            <w:tcW w:w="3526" w:type="dxa"/>
            <w:tcBorders>
              <w:tl2br w:val="nil"/>
              <w:tr2bl w:val="nil"/>
            </w:tcBorders>
            <w:shd w:val="clear" w:color="auto" w:fill="auto"/>
            <w:vAlign w:val="center"/>
          </w:tcPr>
          <w:p w14:paraId="25038B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olor w:val="auto"/>
                <w:spacing w:val="0"/>
                <w:w w:val="100"/>
                <w:position w:val="0"/>
                <w:sz w:val="21"/>
                <w:szCs w:val="21"/>
                <w:highlight w:val="none"/>
                <w:lang w:val="en-US" w:eastAsia="zh-CN"/>
              </w:rPr>
              <w:t>挤出T型模具</w:t>
            </w:r>
          </w:p>
        </w:tc>
        <w:tc>
          <w:tcPr>
            <w:tcW w:w="2123" w:type="dxa"/>
            <w:tcBorders>
              <w:tl2br w:val="nil"/>
              <w:tr2bl w:val="nil"/>
            </w:tcBorders>
            <w:shd w:val="clear" w:color="auto" w:fill="auto"/>
            <w:vAlign w:val="center"/>
          </w:tcPr>
          <w:p w14:paraId="625D91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rPr>
            </w:pPr>
            <w:r>
              <w:rPr>
                <w:rFonts w:hint="eastAsia" w:cs="Times New Roman"/>
                <w:caps w:val="0"/>
                <w:snapToGrid/>
                <w:color w:val="auto"/>
                <w:spacing w:val="0"/>
                <w:w w:val="100"/>
                <w:kern w:val="21"/>
                <w:position w:val="0"/>
                <w:sz w:val="21"/>
                <w:szCs w:val="21"/>
                <w:highlight w:val="none"/>
                <w:lang w:val="en-US" w:eastAsia="zh-CN"/>
              </w:rPr>
              <w:t>84kW</w:t>
            </w:r>
          </w:p>
        </w:tc>
        <w:tc>
          <w:tcPr>
            <w:tcW w:w="1825" w:type="dxa"/>
            <w:tcBorders>
              <w:tl2br w:val="nil"/>
              <w:tr2bl w:val="nil"/>
            </w:tcBorders>
            <w:vAlign w:val="center"/>
          </w:tcPr>
          <w:p w14:paraId="3DFB3D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3</w:t>
            </w:r>
          </w:p>
        </w:tc>
      </w:tr>
      <w:tr w14:paraId="5BAE46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0" w:type="auto"/>
            <w:tcBorders>
              <w:tl2br w:val="nil"/>
              <w:tr2bl w:val="nil"/>
            </w:tcBorders>
            <w:shd w:val="clear" w:color="auto" w:fill="auto"/>
            <w:vAlign w:val="center"/>
          </w:tcPr>
          <w:p w14:paraId="07B523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vertAlign w:val="baseline"/>
                <w:lang w:val="en-US" w:eastAsia="zh-CN" w:bidi="ar-SA"/>
              </w:rPr>
            </w:pPr>
            <w:r>
              <w:rPr>
                <w:rFonts w:hint="eastAsia" w:ascii="Times New Roman" w:hAnsi="Times New Roman" w:eastAsia="宋体" w:cs="Times New Roman"/>
                <w:caps w:val="0"/>
                <w:snapToGrid/>
                <w:color w:val="auto"/>
                <w:spacing w:val="0"/>
                <w:w w:val="100"/>
                <w:kern w:val="21"/>
                <w:position w:val="0"/>
                <w:sz w:val="21"/>
                <w:szCs w:val="21"/>
                <w:highlight w:val="none"/>
                <w:vertAlign w:val="baseline"/>
                <w:lang w:val="en-US" w:eastAsia="zh-CN"/>
              </w:rPr>
              <w:t>5</w:t>
            </w:r>
          </w:p>
        </w:tc>
        <w:tc>
          <w:tcPr>
            <w:tcW w:w="3526" w:type="dxa"/>
            <w:tcBorders>
              <w:tl2br w:val="nil"/>
              <w:tr2bl w:val="nil"/>
            </w:tcBorders>
            <w:shd w:val="clear" w:color="auto" w:fill="auto"/>
            <w:vAlign w:val="center"/>
          </w:tcPr>
          <w:p w14:paraId="0EA2F9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五辊压光机</w:t>
            </w:r>
          </w:p>
        </w:tc>
        <w:tc>
          <w:tcPr>
            <w:tcW w:w="2123" w:type="dxa"/>
            <w:tcBorders>
              <w:tl2br w:val="nil"/>
              <w:tr2bl w:val="nil"/>
            </w:tcBorders>
            <w:shd w:val="clear" w:color="auto" w:fill="auto"/>
            <w:vAlign w:val="center"/>
          </w:tcPr>
          <w:p w14:paraId="3C7813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rPr>
            </w:pPr>
            <w:r>
              <w:rPr>
                <w:rFonts w:hint="eastAsia" w:cs="Times New Roman"/>
                <w:caps w:val="0"/>
                <w:snapToGrid/>
                <w:color w:val="auto"/>
                <w:spacing w:val="0"/>
                <w:w w:val="100"/>
                <w:kern w:val="21"/>
                <w:position w:val="0"/>
                <w:sz w:val="21"/>
                <w:szCs w:val="21"/>
                <w:highlight w:val="none"/>
                <w:lang w:val="en-US" w:eastAsia="zh-CN"/>
              </w:rPr>
              <w:t>1kW</w:t>
            </w:r>
          </w:p>
        </w:tc>
        <w:tc>
          <w:tcPr>
            <w:tcW w:w="1825" w:type="dxa"/>
            <w:tcBorders>
              <w:tl2br w:val="nil"/>
              <w:tr2bl w:val="nil"/>
            </w:tcBorders>
            <w:vAlign w:val="center"/>
          </w:tcPr>
          <w:p w14:paraId="3F21C1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3</w:t>
            </w:r>
          </w:p>
        </w:tc>
      </w:tr>
      <w:tr w14:paraId="1DCE83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0" w:type="auto"/>
            <w:tcBorders>
              <w:tl2br w:val="nil"/>
              <w:tr2bl w:val="nil"/>
            </w:tcBorders>
            <w:shd w:val="clear" w:color="auto" w:fill="auto"/>
            <w:vAlign w:val="center"/>
          </w:tcPr>
          <w:p w14:paraId="1F55D5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vertAlign w:val="baseline"/>
                <w:lang w:val="en-US" w:eastAsia="zh-CN" w:bidi="ar-SA"/>
              </w:rPr>
            </w:pPr>
            <w:r>
              <w:rPr>
                <w:rFonts w:hint="eastAsia" w:ascii="Times New Roman" w:hAnsi="Times New Roman" w:eastAsia="宋体" w:cs="Times New Roman"/>
                <w:caps w:val="0"/>
                <w:snapToGrid/>
                <w:color w:val="auto"/>
                <w:spacing w:val="0"/>
                <w:w w:val="100"/>
                <w:kern w:val="21"/>
                <w:position w:val="0"/>
                <w:sz w:val="21"/>
                <w:szCs w:val="21"/>
                <w:highlight w:val="none"/>
                <w:vertAlign w:val="baseline"/>
                <w:lang w:val="en-US" w:eastAsia="zh-CN"/>
              </w:rPr>
              <w:t>6</w:t>
            </w:r>
          </w:p>
        </w:tc>
        <w:tc>
          <w:tcPr>
            <w:tcW w:w="3526" w:type="dxa"/>
            <w:tcBorders>
              <w:tl2br w:val="nil"/>
              <w:tr2bl w:val="nil"/>
            </w:tcBorders>
            <w:shd w:val="clear" w:color="auto" w:fill="auto"/>
            <w:vAlign w:val="center"/>
          </w:tcPr>
          <w:p w14:paraId="2DBC1D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olor w:val="auto"/>
                <w:spacing w:val="0"/>
                <w:w w:val="100"/>
                <w:position w:val="0"/>
                <w:sz w:val="21"/>
                <w:szCs w:val="21"/>
                <w:highlight w:val="none"/>
                <w:lang w:val="en-US" w:eastAsia="zh-CN"/>
              </w:rPr>
              <w:t>五辊机辊筒恒温控制机组</w:t>
            </w:r>
          </w:p>
        </w:tc>
        <w:tc>
          <w:tcPr>
            <w:tcW w:w="2123" w:type="dxa"/>
            <w:tcBorders>
              <w:tl2br w:val="nil"/>
              <w:tr2bl w:val="nil"/>
            </w:tcBorders>
            <w:shd w:val="clear" w:color="auto" w:fill="auto"/>
            <w:vAlign w:val="center"/>
          </w:tcPr>
          <w:p w14:paraId="729800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rPr>
            </w:pPr>
            <w:r>
              <w:rPr>
                <w:rFonts w:hint="eastAsia" w:cs="Times New Roman"/>
                <w:caps w:val="0"/>
                <w:snapToGrid/>
                <w:color w:val="auto"/>
                <w:spacing w:val="0"/>
                <w:w w:val="100"/>
                <w:kern w:val="21"/>
                <w:position w:val="0"/>
                <w:sz w:val="21"/>
                <w:szCs w:val="21"/>
                <w:highlight w:val="none"/>
                <w:lang w:val="en-US" w:eastAsia="zh-CN"/>
              </w:rPr>
              <w:t>9kW</w:t>
            </w:r>
          </w:p>
        </w:tc>
        <w:tc>
          <w:tcPr>
            <w:tcW w:w="1825" w:type="dxa"/>
            <w:tcBorders>
              <w:tl2br w:val="nil"/>
              <w:tr2bl w:val="nil"/>
            </w:tcBorders>
            <w:vAlign w:val="center"/>
          </w:tcPr>
          <w:p w14:paraId="2D0611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3</w:t>
            </w:r>
          </w:p>
        </w:tc>
      </w:tr>
      <w:tr w14:paraId="76C6CA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0" w:type="auto"/>
            <w:tcBorders>
              <w:tl2br w:val="nil"/>
              <w:tr2bl w:val="nil"/>
            </w:tcBorders>
            <w:shd w:val="clear" w:color="auto" w:fill="auto"/>
            <w:vAlign w:val="center"/>
          </w:tcPr>
          <w:p w14:paraId="3762FA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vertAlign w:val="baseline"/>
                <w:lang w:val="en-US" w:eastAsia="zh-CN" w:bidi="ar-SA"/>
              </w:rPr>
            </w:pPr>
            <w:r>
              <w:rPr>
                <w:rFonts w:hint="eastAsia" w:ascii="Times New Roman" w:hAnsi="Times New Roman" w:eastAsia="宋体" w:cs="Times New Roman"/>
                <w:caps w:val="0"/>
                <w:snapToGrid/>
                <w:color w:val="auto"/>
                <w:spacing w:val="0"/>
                <w:w w:val="100"/>
                <w:kern w:val="21"/>
                <w:position w:val="0"/>
                <w:sz w:val="21"/>
                <w:szCs w:val="21"/>
                <w:highlight w:val="none"/>
                <w:vertAlign w:val="baseline"/>
                <w:lang w:val="en-US" w:eastAsia="zh-CN"/>
              </w:rPr>
              <w:t>7</w:t>
            </w:r>
          </w:p>
        </w:tc>
        <w:tc>
          <w:tcPr>
            <w:tcW w:w="3526" w:type="dxa"/>
            <w:tcBorders>
              <w:tl2br w:val="nil"/>
              <w:tr2bl w:val="nil"/>
            </w:tcBorders>
            <w:shd w:val="clear" w:color="auto" w:fill="auto"/>
            <w:vAlign w:val="center"/>
          </w:tcPr>
          <w:p w14:paraId="0F2026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olor w:val="auto"/>
                <w:spacing w:val="0"/>
                <w:w w:val="100"/>
                <w:position w:val="0"/>
                <w:sz w:val="21"/>
                <w:szCs w:val="21"/>
                <w:highlight w:val="none"/>
                <w:lang w:val="en-US" w:eastAsia="zh-CN"/>
              </w:rPr>
              <w:t>双工位高分子膜覆膜机</w:t>
            </w:r>
          </w:p>
        </w:tc>
        <w:tc>
          <w:tcPr>
            <w:tcW w:w="2123" w:type="dxa"/>
            <w:tcBorders>
              <w:tl2br w:val="nil"/>
              <w:tr2bl w:val="nil"/>
            </w:tcBorders>
            <w:shd w:val="clear" w:color="auto" w:fill="auto"/>
            <w:vAlign w:val="center"/>
          </w:tcPr>
          <w:p w14:paraId="764348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16kW</w:t>
            </w:r>
          </w:p>
        </w:tc>
        <w:tc>
          <w:tcPr>
            <w:tcW w:w="1825" w:type="dxa"/>
            <w:tcBorders>
              <w:tl2br w:val="nil"/>
              <w:tr2bl w:val="nil"/>
            </w:tcBorders>
            <w:vAlign w:val="center"/>
          </w:tcPr>
          <w:p w14:paraId="0D4056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3</w:t>
            </w:r>
          </w:p>
        </w:tc>
      </w:tr>
      <w:tr w14:paraId="563F70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0" w:type="auto"/>
            <w:tcBorders>
              <w:tl2br w:val="nil"/>
              <w:tr2bl w:val="nil"/>
            </w:tcBorders>
            <w:shd w:val="clear" w:color="auto" w:fill="auto"/>
            <w:vAlign w:val="center"/>
          </w:tcPr>
          <w:p w14:paraId="753660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vertAlign w:val="baseline"/>
                <w:lang w:val="en-US" w:eastAsia="zh-CN" w:bidi="ar-SA"/>
              </w:rPr>
            </w:pPr>
            <w:r>
              <w:rPr>
                <w:rFonts w:hint="eastAsia" w:ascii="Times New Roman" w:hAnsi="Times New Roman" w:eastAsia="宋体" w:cs="Times New Roman"/>
                <w:caps w:val="0"/>
                <w:snapToGrid/>
                <w:color w:val="auto"/>
                <w:spacing w:val="0"/>
                <w:w w:val="100"/>
                <w:kern w:val="21"/>
                <w:position w:val="0"/>
                <w:sz w:val="21"/>
                <w:szCs w:val="21"/>
                <w:highlight w:val="none"/>
                <w:vertAlign w:val="baseline"/>
                <w:lang w:val="en-US" w:eastAsia="zh-CN"/>
              </w:rPr>
              <w:t>8</w:t>
            </w:r>
          </w:p>
        </w:tc>
        <w:tc>
          <w:tcPr>
            <w:tcW w:w="3526" w:type="dxa"/>
            <w:tcBorders>
              <w:tl2br w:val="nil"/>
              <w:tr2bl w:val="nil"/>
            </w:tcBorders>
            <w:shd w:val="clear" w:color="auto" w:fill="auto"/>
            <w:vAlign w:val="center"/>
          </w:tcPr>
          <w:p w14:paraId="498DD1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olor w:val="auto"/>
                <w:spacing w:val="0"/>
                <w:w w:val="100"/>
                <w:position w:val="0"/>
                <w:sz w:val="21"/>
                <w:szCs w:val="21"/>
                <w:highlight w:val="none"/>
                <w:lang w:val="en-US" w:eastAsia="zh-CN"/>
              </w:rPr>
              <w:t>PE芯板修切系统</w:t>
            </w:r>
          </w:p>
        </w:tc>
        <w:tc>
          <w:tcPr>
            <w:tcW w:w="2123" w:type="dxa"/>
            <w:tcBorders>
              <w:tl2br w:val="nil"/>
              <w:tr2bl w:val="nil"/>
            </w:tcBorders>
            <w:shd w:val="clear" w:color="auto" w:fill="auto"/>
            <w:vAlign w:val="center"/>
          </w:tcPr>
          <w:p w14:paraId="6A4493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2.2kW</w:t>
            </w:r>
          </w:p>
        </w:tc>
        <w:tc>
          <w:tcPr>
            <w:tcW w:w="1825" w:type="dxa"/>
            <w:tcBorders>
              <w:tl2br w:val="nil"/>
              <w:tr2bl w:val="nil"/>
            </w:tcBorders>
            <w:vAlign w:val="center"/>
          </w:tcPr>
          <w:p w14:paraId="1675DF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3</w:t>
            </w:r>
          </w:p>
        </w:tc>
      </w:tr>
      <w:tr w14:paraId="14659D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0" w:type="auto"/>
            <w:tcBorders>
              <w:tl2br w:val="nil"/>
              <w:tr2bl w:val="nil"/>
            </w:tcBorders>
            <w:shd w:val="clear" w:color="auto" w:fill="auto"/>
            <w:vAlign w:val="center"/>
          </w:tcPr>
          <w:p w14:paraId="6B346D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vertAlign w:val="baseline"/>
                <w:lang w:val="en-US" w:eastAsia="zh-CN" w:bidi="ar-SA"/>
              </w:rPr>
            </w:pPr>
            <w:r>
              <w:rPr>
                <w:rFonts w:hint="eastAsia" w:ascii="Times New Roman" w:hAnsi="Times New Roman" w:eastAsia="宋体" w:cs="Times New Roman"/>
                <w:caps w:val="0"/>
                <w:snapToGrid/>
                <w:color w:val="auto"/>
                <w:spacing w:val="0"/>
                <w:w w:val="100"/>
                <w:kern w:val="21"/>
                <w:position w:val="0"/>
                <w:sz w:val="21"/>
                <w:szCs w:val="21"/>
                <w:highlight w:val="none"/>
                <w:vertAlign w:val="baseline"/>
                <w:lang w:val="en-US" w:eastAsia="zh-CN"/>
              </w:rPr>
              <w:t>9</w:t>
            </w:r>
          </w:p>
        </w:tc>
        <w:tc>
          <w:tcPr>
            <w:tcW w:w="3526" w:type="dxa"/>
            <w:tcBorders>
              <w:tl2br w:val="nil"/>
              <w:tr2bl w:val="nil"/>
            </w:tcBorders>
            <w:shd w:val="clear" w:color="auto" w:fill="auto"/>
            <w:vAlign w:val="center"/>
          </w:tcPr>
          <w:p w14:paraId="76CB4B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21"/>
                <w:position w:val="0"/>
                <w:sz w:val="21"/>
                <w:szCs w:val="21"/>
                <w:highlight w:val="none"/>
                <w:lang w:eastAsia="zh-CN"/>
              </w:rPr>
            </w:pPr>
            <w:r>
              <w:rPr>
                <w:rFonts w:hint="eastAsia"/>
                <w:color w:val="auto"/>
                <w:spacing w:val="0"/>
                <w:w w:val="100"/>
                <w:position w:val="0"/>
                <w:sz w:val="21"/>
                <w:szCs w:val="21"/>
                <w:highlight w:val="none"/>
                <w:lang w:val="en-US" w:eastAsia="zh-CN"/>
              </w:rPr>
              <w:t>底铝热滚压预复合机</w:t>
            </w:r>
          </w:p>
        </w:tc>
        <w:tc>
          <w:tcPr>
            <w:tcW w:w="2123" w:type="dxa"/>
            <w:tcBorders>
              <w:tl2br w:val="nil"/>
              <w:tr2bl w:val="nil"/>
            </w:tcBorders>
            <w:shd w:val="clear" w:color="auto" w:fill="auto"/>
            <w:vAlign w:val="center"/>
          </w:tcPr>
          <w:p w14:paraId="5BDF46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rPr>
            </w:pPr>
            <w:r>
              <w:rPr>
                <w:rFonts w:hint="eastAsia" w:cs="Times New Roman"/>
                <w:caps w:val="0"/>
                <w:snapToGrid/>
                <w:color w:val="auto"/>
                <w:spacing w:val="0"/>
                <w:w w:val="100"/>
                <w:kern w:val="21"/>
                <w:position w:val="0"/>
                <w:sz w:val="21"/>
                <w:szCs w:val="21"/>
                <w:highlight w:val="none"/>
                <w:lang w:val="en-US" w:eastAsia="zh-CN"/>
              </w:rPr>
              <w:t>13.5kW</w:t>
            </w:r>
          </w:p>
        </w:tc>
        <w:tc>
          <w:tcPr>
            <w:tcW w:w="1825" w:type="dxa"/>
            <w:tcBorders>
              <w:tl2br w:val="nil"/>
              <w:tr2bl w:val="nil"/>
            </w:tcBorders>
            <w:vAlign w:val="center"/>
          </w:tcPr>
          <w:p w14:paraId="4E0E41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6</w:t>
            </w:r>
          </w:p>
        </w:tc>
      </w:tr>
      <w:tr w14:paraId="13FC01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0" w:type="auto"/>
            <w:tcBorders>
              <w:tl2br w:val="nil"/>
              <w:tr2bl w:val="nil"/>
            </w:tcBorders>
            <w:shd w:val="clear" w:color="auto" w:fill="auto"/>
            <w:vAlign w:val="center"/>
          </w:tcPr>
          <w:p w14:paraId="653E35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vertAlign w:val="baseline"/>
                <w:lang w:val="en-US" w:eastAsia="zh-CN" w:bidi="ar-SA"/>
              </w:rPr>
            </w:pPr>
            <w:r>
              <w:rPr>
                <w:rFonts w:hint="eastAsia" w:ascii="Times New Roman" w:hAnsi="Times New Roman" w:eastAsia="宋体" w:cs="Times New Roman"/>
                <w:caps w:val="0"/>
                <w:snapToGrid/>
                <w:color w:val="auto"/>
                <w:spacing w:val="0"/>
                <w:w w:val="100"/>
                <w:kern w:val="21"/>
                <w:position w:val="0"/>
                <w:sz w:val="21"/>
                <w:szCs w:val="21"/>
                <w:highlight w:val="none"/>
                <w:vertAlign w:val="baseline"/>
                <w:lang w:val="en-US" w:eastAsia="zh-CN"/>
              </w:rPr>
              <w:t>10</w:t>
            </w:r>
          </w:p>
        </w:tc>
        <w:tc>
          <w:tcPr>
            <w:tcW w:w="3526" w:type="dxa"/>
            <w:tcBorders>
              <w:tl2br w:val="nil"/>
              <w:tr2bl w:val="nil"/>
            </w:tcBorders>
            <w:shd w:val="clear" w:color="auto" w:fill="auto"/>
            <w:vAlign w:val="center"/>
          </w:tcPr>
          <w:p w14:paraId="050288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eastAsia"/>
                <w:color w:val="auto"/>
                <w:spacing w:val="0"/>
                <w:w w:val="100"/>
                <w:position w:val="0"/>
                <w:sz w:val="21"/>
                <w:szCs w:val="21"/>
                <w:highlight w:val="none"/>
                <w:lang w:val="en-US" w:eastAsia="zh-CN"/>
              </w:rPr>
              <w:t>热滚压复合机</w:t>
            </w:r>
          </w:p>
        </w:tc>
        <w:tc>
          <w:tcPr>
            <w:tcW w:w="2123" w:type="dxa"/>
            <w:tcBorders>
              <w:tl2br w:val="nil"/>
              <w:tr2bl w:val="nil"/>
            </w:tcBorders>
            <w:shd w:val="clear" w:color="auto" w:fill="auto"/>
            <w:vAlign w:val="center"/>
          </w:tcPr>
          <w:p w14:paraId="47ECD5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rPr>
            </w:pPr>
            <w:r>
              <w:rPr>
                <w:rFonts w:hint="eastAsia" w:cs="Times New Roman"/>
                <w:caps w:val="0"/>
                <w:snapToGrid/>
                <w:color w:val="auto"/>
                <w:spacing w:val="0"/>
                <w:w w:val="100"/>
                <w:kern w:val="21"/>
                <w:position w:val="0"/>
                <w:sz w:val="21"/>
                <w:szCs w:val="21"/>
                <w:highlight w:val="none"/>
                <w:lang w:val="en-US" w:eastAsia="zh-CN"/>
              </w:rPr>
              <w:t>15kW</w:t>
            </w:r>
          </w:p>
        </w:tc>
        <w:tc>
          <w:tcPr>
            <w:tcW w:w="1825" w:type="dxa"/>
            <w:tcBorders>
              <w:tl2br w:val="nil"/>
              <w:tr2bl w:val="nil"/>
            </w:tcBorders>
            <w:vAlign w:val="center"/>
          </w:tcPr>
          <w:p w14:paraId="5ED99C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6</w:t>
            </w:r>
          </w:p>
        </w:tc>
      </w:tr>
      <w:tr w14:paraId="7DB76A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0" w:type="auto"/>
            <w:tcBorders>
              <w:tl2br w:val="nil"/>
              <w:tr2bl w:val="nil"/>
            </w:tcBorders>
            <w:shd w:val="clear" w:color="auto" w:fill="auto"/>
            <w:vAlign w:val="center"/>
          </w:tcPr>
          <w:p w14:paraId="45790D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vertAlign w:val="baseline"/>
                <w:lang w:val="en-US" w:eastAsia="zh-CN" w:bidi="ar-SA"/>
              </w:rPr>
            </w:pPr>
            <w:r>
              <w:rPr>
                <w:rFonts w:hint="eastAsia" w:ascii="Times New Roman" w:hAnsi="Times New Roman" w:eastAsia="宋体" w:cs="Times New Roman"/>
                <w:caps w:val="0"/>
                <w:snapToGrid/>
                <w:color w:val="auto"/>
                <w:spacing w:val="0"/>
                <w:w w:val="100"/>
                <w:kern w:val="21"/>
                <w:position w:val="0"/>
                <w:sz w:val="21"/>
                <w:szCs w:val="21"/>
                <w:highlight w:val="none"/>
                <w:vertAlign w:val="baseline"/>
                <w:lang w:val="en-US" w:eastAsia="zh-CN"/>
              </w:rPr>
              <w:t>11</w:t>
            </w:r>
          </w:p>
        </w:tc>
        <w:tc>
          <w:tcPr>
            <w:tcW w:w="3526" w:type="dxa"/>
            <w:tcBorders>
              <w:tl2br w:val="nil"/>
              <w:tr2bl w:val="nil"/>
            </w:tcBorders>
            <w:shd w:val="clear" w:color="auto" w:fill="auto"/>
            <w:vAlign w:val="center"/>
          </w:tcPr>
          <w:p w14:paraId="659DC5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olor w:val="auto"/>
                <w:spacing w:val="0"/>
                <w:w w:val="100"/>
                <w:position w:val="0"/>
                <w:sz w:val="21"/>
                <w:szCs w:val="21"/>
                <w:highlight w:val="none"/>
                <w:lang w:val="en-US" w:eastAsia="zh-CN"/>
              </w:rPr>
              <w:t>热复合精滚压机组</w:t>
            </w:r>
          </w:p>
        </w:tc>
        <w:tc>
          <w:tcPr>
            <w:tcW w:w="2123" w:type="dxa"/>
            <w:tcBorders>
              <w:tl2br w:val="nil"/>
              <w:tr2bl w:val="nil"/>
            </w:tcBorders>
            <w:shd w:val="clear" w:color="auto" w:fill="auto"/>
            <w:vAlign w:val="center"/>
          </w:tcPr>
          <w:p w14:paraId="2D6C6E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rPr>
            </w:pPr>
            <w:r>
              <w:rPr>
                <w:rFonts w:hint="eastAsia" w:cs="Times New Roman"/>
                <w:caps w:val="0"/>
                <w:snapToGrid/>
                <w:color w:val="auto"/>
                <w:spacing w:val="0"/>
                <w:w w:val="100"/>
                <w:kern w:val="21"/>
                <w:position w:val="0"/>
                <w:sz w:val="21"/>
                <w:szCs w:val="21"/>
                <w:highlight w:val="none"/>
                <w:lang w:val="en-US" w:eastAsia="zh-CN"/>
              </w:rPr>
              <w:t>13.5kW</w:t>
            </w:r>
          </w:p>
        </w:tc>
        <w:tc>
          <w:tcPr>
            <w:tcW w:w="1825" w:type="dxa"/>
            <w:tcBorders>
              <w:tl2br w:val="nil"/>
              <w:tr2bl w:val="nil"/>
            </w:tcBorders>
            <w:vAlign w:val="center"/>
          </w:tcPr>
          <w:p w14:paraId="43E117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6</w:t>
            </w:r>
          </w:p>
        </w:tc>
      </w:tr>
      <w:tr w14:paraId="762A92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0" w:type="auto"/>
            <w:tcBorders>
              <w:tl2br w:val="nil"/>
              <w:tr2bl w:val="nil"/>
            </w:tcBorders>
            <w:shd w:val="clear" w:color="auto" w:fill="auto"/>
            <w:vAlign w:val="center"/>
          </w:tcPr>
          <w:p w14:paraId="685BD3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vertAlign w:val="baseline"/>
                <w:lang w:val="en-US" w:eastAsia="zh-CN" w:bidi="ar-SA"/>
              </w:rPr>
            </w:pPr>
            <w:r>
              <w:rPr>
                <w:rFonts w:hint="eastAsia" w:ascii="Times New Roman" w:hAnsi="Times New Roman" w:eastAsia="宋体" w:cs="Times New Roman"/>
                <w:caps w:val="0"/>
                <w:snapToGrid/>
                <w:color w:val="auto"/>
                <w:spacing w:val="0"/>
                <w:w w:val="100"/>
                <w:kern w:val="21"/>
                <w:position w:val="0"/>
                <w:sz w:val="21"/>
                <w:szCs w:val="21"/>
                <w:highlight w:val="none"/>
                <w:vertAlign w:val="baseline"/>
                <w:lang w:val="en-US" w:eastAsia="zh-CN"/>
              </w:rPr>
              <w:t>12</w:t>
            </w:r>
          </w:p>
        </w:tc>
        <w:tc>
          <w:tcPr>
            <w:tcW w:w="3526" w:type="dxa"/>
            <w:tcBorders>
              <w:tl2br w:val="nil"/>
              <w:tr2bl w:val="nil"/>
            </w:tcBorders>
            <w:shd w:val="clear" w:color="auto" w:fill="auto"/>
            <w:vAlign w:val="center"/>
          </w:tcPr>
          <w:p w14:paraId="340F9D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21"/>
                <w:position w:val="0"/>
                <w:sz w:val="21"/>
                <w:szCs w:val="21"/>
                <w:highlight w:val="none"/>
                <w:lang w:eastAsia="zh-CN"/>
              </w:rPr>
            </w:pPr>
            <w:r>
              <w:rPr>
                <w:rFonts w:hint="eastAsia"/>
                <w:color w:val="auto"/>
                <w:spacing w:val="0"/>
                <w:w w:val="100"/>
                <w:position w:val="0"/>
                <w:sz w:val="21"/>
                <w:szCs w:val="21"/>
                <w:highlight w:val="none"/>
                <w:lang w:val="en-US" w:eastAsia="zh-CN"/>
              </w:rPr>
              <w:t>精滚压机组</w:t>
            </w:r>
          </w:p>
        </w:tc>
        <w:tc>
          <w:tcPr>
            <w:tcW w:w="2123" w:type="dxa"/>
            <w:tcBorders>
              <w:tl2br w:val="nil"/>
              <w:tr2bl w:val="nil"/>
            </w:tcBorders>
            <w:shd w:val="clear" w:color="auto" w:fill="auto"/>
            <w:vAlign w:val="center"/>
          </w:tcPr>
          <w:p w14:paraId="377985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rPr>
            </w:pPr>
            <w:r>
              <w:rPr>
                <w:rFonts w:hint="eastAsia" w:cs="Times New Roman"/>
                <w:caps w:val="0"/>
                <w:snapToGrid/>
                <w:color w:val="auto"/>
                <w:spacing w:val="0"/>
                <w:w w:val="100"/>
                <w:kern w:val="21"/>
                <w:position w:val="0"/>
                <w:sz w:val="21"/>
                <w:szCs w:val="21"/>
                <w:highlight w:val="none"/>
                <w:lang w:val="en-US" w:eastAsia="zh-CN"/>
              </w:rPr>
              <w:t>15kW</w:t>
            </w:r>
          </w:p>
        </w:tc>
        <w:tc>
          <w:tcPr>
            <w:tcW w:w="1825" w:type="dxa"/>
            <w:tcBorders>
              <w:tl2br w:val="nil"/>
              <w:tr2bl w:val="nil"/>
            </w:tcBorders>
            <w:vAlign w:val="center"/>
          </w:tcPr>
          <w:p w14:paraId="17EAC6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3</w:t>
            </w:r>
          </w:p>
        </w:tc>
      </w:tr>
      <w:tr w14:paraId="5456BE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0" w:type="auto"/>
            <w:tcBorders>
              <w:tl2br w:val="nil"/>
              <w:tr2bl w:val="nil"/>
            </w:tcBorders>
            <w:shd w:val="clear" w:color="auto" w:fill="auto"/>
            <w:vAlign w:val="center"/>
          </w:tcPr>
          <w:p w14:paraId="7AB10C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vertAlign w:val="baseline"/>
                <w:lang w:val="en-US" w:eastAsia="zh-CN" w:bidi="ar-SA"/>
              </w:rPr>
            </w:pPr>
            <w:r>
              <w:rPr>
                <w:rFonts w:hint="eastAsia" w:ascii="Times New Roman" w:hAnsi="Times New Roman" w:eastAsia="宋体" w:cs="Times New Roman"/>
                <w:caps w:val="0"/>
                <w:snapToGrid/>
                <w:color w:val="auto"/>
                <w:spacing w:val="0"/>
                <w:w w:val="100"/>
                <w:kern w:val="21"/>
                <w:position w:val="0"/>
                <w:sz w:val="21"/>
                <w:szCs w:val="21"/>
                <w:highlight w:val="none"/>
                <w:vertAlign w:val="baseline"/>
                <w:lang w:val="en-US" w:eastAsia="zh-CN"/>
              </w:rPr>
              <w:t>13</w:t>
            </w:r>
          </w:p>
        </w:tc>
        <w:tc>
          <w:tcPr>
            <w:tcW w:w="3526" w:type="dxa"/>
            <w:tcBorders>
              <w:tl2br w:val="nil"/>
              <w:tr2bl w:val="nil"/>
            </w:tcBorders>
            <w:shd w:val="clear" w:color="auto" w:fill="auto"/>
            <w:vAlign w:val="center"/>
          </w:tcPr>
          <w:p w14:paraId="71E4AB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olor w:val="auto"/>
                <w:spacing w:val="0"/>
                <w:w w:val="100"/>
                <w:position w:val="0"/>
                <w:sz w:val="21"/>
                <w:szCs w:val="21"/>
                <w:highlight w:val="none"/>
                <w:lang w:val="en-US" w:eastAsia="zh-CN"/>
              </w:rPr>
              <w:t>张力自动比例控制式上放卷机</w:t>
            </w:r>
          </w:p>
        </w:tc>
        <w:tc>
          <w:tcPr>
            <w:tcW w:w="2123" w:type="dxa"/>
            <w:tcBorders>
              <w:tl2br w:val="nil"/>
              <w:tr2bl w:val="nil"/>
            </w:tcBorders>
            <w:shd w:val="clear" w:color="auto" w:fill="auto"/>
            <w:vAlign w:val="center"/>
          </w:tcPr>
          <w:p w14:paraId="730543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rPr>
            </w:pPr>
            <w:r>
              <w:rPr>
                <w:rFonts w:hint="eastAsia" w:cs="Times New Roman"/>
                <w:caps w:val="0"/>
                <w:snapToGrid/>
                <w:color w:val="auto"/>
                <w:spacing w:val="0"/>
                <w:w w:val="100"/>
                <w:kern w:val="21"/>
                <w:position w:val="0"/>
                <w:sz w:val="21"/>
                <w:szCs w:val="21"/>
                <w:highlight w:val="none"/>
                <w:lang w:val="en-US" w:eastAsia="zh-CN"/>
              </w:rPr>
              <w:t>0.75kW</w:t>
            </w:r>
          </w:p>
        </w:tc>
        <w:tc>
          <w:tcPr>
            <w:tcW w:w="1825" w:type="dxa"/>
            <w:tcBorders>
              <w:tl2br w:val="nil"/>
              <w:tr2bl w:val="nil"/>
            </w:tcBorders>
            <w:shd w:val="clear" w:color="auto" w:fill="auto"/>
            <w:vAlign w:val="center"/>
          </w:tcPr>
          <w:p w14:paraId="15F67C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eastAsia" w:cs="Times New Roman"/>
                <w:caps w:val="0"/>
                <w:snapToGrid/>
                <w:color w:val="auto"/>
                <w:spacing w:val="0"/>
                <w:w w:val="100"/>
                <w:kern w:val="21"/>
                <w:position w:val="0"/>
                <w:sz w:val="21"/>
                <w:szCs w:val="21"/>
                <w:highlight w:val="none"/>
                <w:lang w:val="en-US" w:eastAsia="zh-CN"/>
              </w:rPr>
              <w:t>6</w:t>
            </w:r>
          </w:p>
        </w:tc>
      </w:tr>
      <w:tr w14:paraId="4D1C72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0" w:type="auto"/>
            <w:tcBorders>
              <w:tl2br w:val="nil"/>
              <w:tr2bl w:val="nil"/>
            </w:tcBorders>
            <w:shd w:val="clear" w:color="auto" w:fill="auto"/>
            <w:vAlign w:val="center"/>
          </w:tcPr>
          <w:p w14:paraId="3157FA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vertAlign w:val="baseline"/>
                <w:lang w:val="en-US" w:eastAsia="zh-CN" w:bidi="ar-SA"/>
              </w:rPr>
            </w:pPr>
            <w:r>
              <w:rPr>
                <w:rFonts w:hint="eastAsia" w:ascii="Times New Roman" w:hAnsi="Times New Roman" w:eastAsia="宋体" w:cs="Times New Roman"/>
                <w:caps w:val="0"/>
                <w:snapToGrid/>
                <w:color w:val="auto"/>
                <w:spacing w:val="0"/>
                <w:w w:val="100"/>
                <w:kern w:val="21"/>
                <w:position w:val="0"/>
                <w:sz w:val="21"/>
                <w:szCs w:val="21"/>
                <w:highlight w:val="none"/>
                <w:vertAlign w:val="baseline"/>
                <w:lang w:val="en-US" w:eastAsia="zh-CN"/>
              </w:rPr>
              <w:t>14</w:t>
            </w:r>
          </w:p>
        </w:tc>
        <w:tc>
          <w:tcPr>
            <w:tcW w:w="3526" w:type="dxa"/>
            <w:tcBorders>
              <w:tl2br w:val="nil"/>
              <w:tr2bl w:val="nil"/>
            </w:tcBorders>
            <w:shd w:val="clear" w:color="auto" w:fill="auto"/>
            <w:vAlign w:val="center"/>
          </w:tcPr>
          <w:p w14:paraId="36CA31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eastAsia"/>
                <w:color w:val="auto"/>
                <w:spacing w:val="0"/>
                <w:w w:val="100"/>
                <w:position w:val="0"/>
                <w:sz w:val="21"/>
                <w:szCs w:val="21"/>
                <w:highlight w:val="none"/>
                <w:lang w:val="en-US" w:eastAsia="zh-CN"/>
              </w:rPr>
              <w:t>张力自动比例控制式下放卷机</w:t>
            </w:r>
          </w:p>
        </w:tc>
        <w:tc>
          <w:tcPr>
            <w:tcW w:w="2123" w:type="dxa"/>
            <w:tcBorders>
              <w:tl2br w:val="nil"/>
              <w:tr2bl w:val="nil"/>
            </w:tcBorders>
            <w:shd w:val="clear" w:color="auto" w:fill="auto"/>
            <w:vAlign w:val="center"/>
          </w:tcPr>
          <w:p w14:paraId="2F3D55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eastAsia" w:cs="Times New Roman"/>
                <w:caps w:val="0"/>
                <w:snapToGrid/>
                <w:color w:val="auto"/>
                <w:spacing w:val="0"/>
                <w:w w:val="100"/>
                <w:kern w:val="21"/>
                <w:position w:val="0"/>
                <w:sz w:val="21"/>
                <w:szCs w:val="21"/>
                <w:highlight w:val="none"/>
                <w:lang w:val="en-US" w:eastAsia="zh-CN"/>
              </w:rPr>
              <w:t>0.75kW</w:t>
            </w:r>
          </w:p>
        </w:tc>
        <w:tc>
          <w:tcPr>
            <w:tcW w:w="1825" w:type="dxa"/>
            <w:tcBorders>
              <w:tl2br w:val="nil"/>
              <w:tr2bl w:val="nil"/>
            </w:tcBorders>
            <w:shd w:val="clear" w:color="auto" w:fill="auto"/>
            <w:vAlign w:val="center"/>
          </w:tcPr>
          <w:p w14:paraId="3A8E6E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eastAsia" w:cs="Times New Roman"/>
                <w:caps w:val="0"/>
                <w:snapToGrid/>
                <w:color w:val="auto"/>
                <w:spacing w:val="0"/>
                <w:w w:val="100"/>
                <w:kern w:val="21"/>
                <w:position w:val="0"/>
                <w:sz w:val="21"/>
                <w:szCs w:val="21"/>
                <w:highlight w:val="none"/>
                <w:lang w:val="en-US" w:eastAsia="zh-CN"/>
              </w:rPr>
              <w:t>6</w:t>
            </w:r>
          </w:p>
        </w:tc>
      </w:tr>
      <w:tr w14:paraId="3098D4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0" w:type="auto"/>
            <w:tcBorders>
              <w:tl2br w:val="nil"/>
              <w:tr2bl w:val="nil"/>
            </w:tcBorders>
            <w:shd w:val="clear" w:color="auto" w:fill="auto"/>
            <w:vAlign w:val="center"/>
          </w:tcPr>
          <w:p w14:paraId="363E6B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vertAlign w:val="baseline"/>
                <w:lang w:val="en-US" w:eastAsia="zh-CN" w:bidi="ar-SA"/>
              </w:rPr>
            </w:pPr>
            <w:r>
              <w:rPr>
                <w:rFonts w:hint="eastAsia" w:ascii="Times New Roman" w:hAnsi="Times New Roman" w:eastAsia="宋体" w:cs="Times New Roman"/>
                <w:caps w:val="0"/>
                <w:snapToGrid/>
                <w:color w:val="auto"/>
                <w:spacing w:val="0"/>
                <w:w w:val="100"/>
                <w:kern w:val="21"/>
                <w:position w:val="0"/>
                <w:sz w:val="21"/>
                <w:szCs w:val="21"/>
                <w:highlight w:val="none"/>
                <w:vertAlign w:val="baseline"/>
                <w:lang w:val="en-US" w:eastAsia="zh-CN"/>
              </w:rPr>
              <w:t>15</w:t>
            </w:r>
          </w:p>
        </w:tc>
        <w:tc>
          <w:tcPr>
            <w:tcW w:w="3526" w:type="dxa"/>
            <w:tcBorders>
              <w:tl2br w:val="nil"/>
              <w:tr2bl w:val="nil"/>
            </w:tcBorders>
            <w:shd w:val="clear" w:color="auto" w:fill="auto"/>
            <w:vAlign w:val="center"/>
          </w:tcPr>
          <w:p w14:paraId="2F57C0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olor w:val="auto"/>
                <w:spacing w:val="0"/>
                <w:w w:val="100"/>
                <w:position w:val="0"/>
                <w:sz w:val="21"/>
                <w:szCs w:val="21"/>
                <w:highlight w:val="none"/>
                <w:lang w:val="en-US" w:eastAsia="zh-CN"/>
              </w:rPr>
              <w:t>冷却装置</w:t>
            </w:r>
          </w:p>
        </w:tc>
        <w:tc>
          <w:tcPr>
            <w:tcW w:w="2123" w:type="dxa"/>
            <w:tcBorders>
              <w:tl2br w:val="nil"/>
              <w:tr2bl w:val="nil"/>
            </w:tcBorders>
            <w:shd w:val="clear" w:color="auto" w:fill="auto"/>
            <w:vAlign w:val="center"/>
          </w:tcPr>
          <w:p w14:paraId="2A3E43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eastAsia" w:cs="Times New Roman"/>
                <w:caps w:val="0"/>
                <w:snapToGrid/>
                <w:color w:val="auto"/>
                <w:spacing w:val="0"/>
                <w:w w:val="100"/>
                <w:kern w:val="21"/>
                <w:position w:val="0"/>
                <w:sz w:val="21"/>
                <w:szCs w:val="21"/>
                <w:highlight w:val="none"/>
                <w:lang w:val="en-US" w:eastAsia="zh-CN"/>
              </w:rPr>
              <w:t>2kW</w:t>
            </w:r>
          </w:p>
        </w:tc>
        <w:tc>
          <w:tcPr>
            <w:tcW w:w="1825" w:type="dxa"/>
            <w:tcBorders>
              <w:tl2br w:val="nil"/>
              <w:tr2bl w:val="nil"/>
            </w:tcBorders>
            <w:shd w:val="clear" w:color="auto" w:fill="auto"/>
            <w:vAlign w:val="center"/>
          </w:tcPr>
          <w:p w14:paraId="3E626E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eastAsia" w:cs="Times New Roman"/>
                <w:caps w:val="0"/>
                <w:snapToGrid/>
                <w:color w:val="auto"/>
                <w:spacing w:val="0"/>
                <w:w w:val="100"/>
                <w:kern w:val="21"/>
                <w:position w:val="0"/>
                <w:sz w:val="21"/>
                <w:szCs w:val="21"/>
                <w:highlight w:val="none"/>
                <w:lang w:val="en-US" w:eastAsia="zh-CN"/>
              </w:rPr>
              <w:t>3</w:t>
            </w:r>
          </w:p>
        </w:tc>
      </w:tr>
      <w:tr w14:paraId="3E48AC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0" w:type="auto"/>
            <w:tcBorders>
              <w:tl2br w:val="nil"/>
              <w:tr2bl w:val="nil"/>
            </w:tcBorders>
            <w:shd w:val="clear" w:color="auto" w:fill="auto"/>
            <w:vAlign w:val="center"/>
          </w:tcPr>
          <w:p w14:paraId="2B57A7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vertAlign w:val="baseline"/>
                <w:lang w:val="en-US" w:eastAsia="zh-CN" w:bidi="ar-SA"/>
              </w:rPr>
            </w:pPr>
            <w:r>
              <w:rPr>
                <w:rFonts w:hint="eastAsia" w:ascii="Times New Roman" w:hAnsi="Times New Roman" w:eastAsia="宋体" w:cs="Times New Roman"/>
                <w:caps w:val="0"/>
                <w:snapToGrid/>
                <w:color w:val="auto"/>
                <w:spacing w:val="0"/>
                <w:w w:val="100"/>
                <w:kern w:val="21"/>
                <w:position w:val="0"/>
                <w:sz w:val="21"/>
                <w:szCs w:val="21"/>
                <w:highlight w:val="none"/>
                <w:vertAlign w:val="baseline"/>
                <w:lang w:val="en-US" w:eastAsia="zh-CN"/>
              </w:rPr>
              <w:t>16</w:t>
            </w:r>
          </w:p>
        </w:tc>
        <w:tc>
          <w:tcPr>
            <w:tcW w:w="3526" w:type="dxa"/>
            <w:tcBorders>
              <w:tl2br w:val="nil"/>
              <w:tr2bl w:val="nil"/>
            </w:tcBorders>
            <w:shd w:val="clear" w:color="auto" w:fill="auto"/>
            <w:vAlign w:val="center"/>
          </w:tcPr>
          <w:p w14:paraId="5827BC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olor w:val="auto"/>
                <w:spacing w:val="0"/>
                <w:w w:val="100"/>
                <w:position w:val="0"/>
                <w:sz w:val="21"/>
                <w:szCs w:val="21"/>
                <w:highlight w:val="none"/>
                <w:lang w:val="en-US" w:eastAsia="zh-CN"/>
              </w:rPr>
              <w:t>保护膜贴膜装置</w:t>
            </w:r>
          </w:p>
        </w:tc>
        <w:tc>
          <w:tcPr>
            <w:tcW w:w="2123" w:type="dxa"/>
            <w:tcBorders>
              <w:tl2br w:val="nil"/>
              <w:tr2bl w:val="nil"/>
            </w:tcBorders>
            <w:shd w:val="clear" w:color="auto" w:fill="auto"/>
            <w:vAlign w:val="center"/>
          </w:tcPr>
          <w:p w14:paraId="5A4BC3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eastAsia" w:cs="Times New Roman"/>
                <w:caps w:val="0"/>
                <w:snapToGrid/>
                <w:color w:val="auto"/>
                <w:spacing w:val="0"/>
                <w:w w:val="100"/>
                <w:kern w:val="21"/>
                <w:position w:val="0"/>
                <w:sz w:val="21"/>
                <w:szCs w:val="21"/>
                <w:highlight w:val="none"/>
                <w:lang w:val="en-US" w:eastAsia="zh-CN"/>
              </w:rPr>
              <w:t>0.5kW</w:t>
            </w:r>
          </w:p>
        </w:tc>
        <w:tc>
          <w:tcPr>
            <w:tcW w:w="1825" w:type="dxa"/>
            <w:tcBorders>
              <w:tl2br w:val="nil"/>
              <w:tr2bl w:val="nil"/>
            </w:tcBorders>
            <w:vAlign w:val="center"/>
          </w:tcPr>
          <w:p w14:paraId="78975E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3</w:t>
            </w:r>
          </w:p>
        </w:tc>
      </w:tr>
      <w:tr w14:paraId="1DFF79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0" w:type="auto"/>
            <w:tcBorders>
              <w:tl2br w:val="nil"/>
              <w:tr2bl w:val="nil"/>
            </w:tcBorders>
            <w:shd w:val="clear" w:color="auto" w:fill="auto"/>
            <w:vAlign w:val="center"/>
          </w:tcPr>
          <w:p w14:paraId="229FD0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vertAlign w:val="baseline"/>
                <w:lang w:val="en-US" w:eastAsia="zh-CN" w:bidi="ar-SA"/>
              </w:rPr>
            </w:pPr>
            <w:r>
              <w:rPr>
                <w:rFonts w:hint="eastAsia" w:ascii="Times New Roman" w:hAnsi="Times New Roman" w:eastAsia="宋体" w:cs="Times New Roman"/>
                <w:caps w:val="0"/>
                <w:snapToGrid/>
                <w:color w:val="auto"/>
                <w:spacing w:val="0"/>
                <w:w w:val="100"/>
                <w:kern w:val="21"/>
                <w:position w:val="0"/>
                <w:sz w:val="21"/>
                <w:szCs w:val="21"/>
                <w:highlight w:val="none"/>
                <w:vertAlign w:val="baseline"/>
                <w:lang w:val="en-US" w:eastAsia="zh-CN"/>
              </w:rPr>
              <w:t>17</w:t>
            </w:r>
          </w:p>
        </w:tc>
        <w:tc>
          <w:tcPr>
            <w:tcW w:w="3526" w:type="dxa"/>
            <w:tcBorders>
              <w:tl2br w:val="nil"/>
              <w:tr2bl w:val="nil"/>
            </w:tcBorders>
            <w:shd w:val="clear" w:color="auto" w:fill="auto"/>
            <w:vAlign w:val="center"/>
          </w:tcPr>
          <w:p w14:paraId="1E0207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olor w:val="auto"/>
                <w:spacing w:val="0"/>
                <w:w w:val="100"/>
                <w:position w:val="0"/>
                <w:sz w:val="21"/>
                <w:szCs w:val="21"/>
                <w:highlight w:val="none"/>
                <w:lang w:val="en-US" w:eastAsia="zh-CN"/>
              </w:rPr>
              <w:t>纵向滚刀修边机组</w:t>
            </w:r>
          </w:p>
        </w:tc>
        <w:tc>
          <w:tcPr>
            <w:tcW w:w="2123" w:type="dxa"/>
            <w:tcBorders>
              <w:tl2br w:val="nil"/>
              <w:tr2bl w:val="nil"/>
            </w:tcBorders>
            <w:shd w:val="clear" w:color="auto" w:fill="auto"/>
            <w:vAlign w:val="center"/>
          </w:tcPr>
          <w:p w14:paraId="2385D2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eastAsia" w:cs="Times New Roman"/>
                <w:caps w:val="0"/>
                <w:snapToGrid/>
                <w:color w:val="auto"/>
                <w:spacing w:val="0"/>
                <w:w w:val="100"/>
                <w:kern w:val="21"/>
                <w:position w:val="0"/>
                <w:sz w:val="21"/>
                <w:szCs w:val="21"/>
                <w:highlight w:val="none"/>
                <w:lang w:val="en-US" w:eastAsia="zh-CN"/>
              </w:rPr>
              <w:t>2.2kW</w:t>
            </w:r>
          </w:p>
        </w:tc>
        <w:tc>
          <w:tcPr>
            <w:tcW w:w="1825" w:type="dxa"/>
            <w:tcBorders>
              <w:tl2br w:val="nil"/>
              <w:tr2bl w:val="nil"/>
            </w:tcBorders>
            <w:shd w:val="clear" w:color="auto" w:fill="auto"/>
            <w:vAlign w:val="center"/>
          </w:tcPr>
          <w:p w14:paraId="29E190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eastAsia" w:cs="Times New Roman"/>
                <w:caps w:val="0"/>
                <w:snapToGrid/>
                <w:color w:val="auto"/>
                <w:spacing w:val="0"/>
                <w:w w:val="100"/>
                <w:kern w:val="21"/>
                <w:position w:val="0"/>
                <w:sz w:val="21"/>
                <w:szCs w:val="21"/>
                <w:highlight w:val="none"/>
                <w:lang w:val="en-US" w:eastAsia="zh-CN"/>
              </w:rPr>
              <w:t>6</w:t>
            </w:r>
          </w:p>
        </w:tc>
      </w:tr>
      <w:tr w14:paraId="214E56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0" w:type="auto"/>
            <w:tcBorders>
              <w:tl2br w:val="nil"/>
              <w:tr2bl w:val="nil"/>
            </w:tcBorders>
            <w:shd w:val="clear" w:color="auto" w:fill="auto"/>
            <w:vAlign w:val="center"/>
          </w:tcPr>
          <w:p w14:paraId="652332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vertAlign w:val="baseline"/>
                <w:lang w:val="en-US" w:eastAsia="zh-CN" w:bidi="ar-SA"/>
              </w:rPr>
            </w:pPr>
            <w:r>
              <w:rPr>
                <w:rFonts w:hint="eastAsia" w:ascii="Times New Roman" w:hAnsi="Times New Roman" w:eastAsia="宋体" w:cs="Times New Roman"/>
                <w:caps w:val="0"/>
                <w:snapToGrid/>
                <w:color w:val="auto"/>
                <w:spacing w:val="0"/>
                <w:w w:val="100"/>
                <w:kern w:val="21"/>
                <w:position w:val="0"/>
                <w:sz w:val="21"/>
                <w:szCs w:val="21"/>
                <w:highlight w:val="none"/>
                <w:vertAlign w:val="baseline"/>
                <w:lang w:val="en-US" w:eastAsia="zh-CN"/>
              </w:rPr>
              <w:t>18</w:t>
            </w:r>
          </w:p>
        </w:tc>
        <w:tc>
          <w:tcPr>
            <w:tcW w:w="3526" w:type="dxa"/>
            <w:tcBorders>
              <w:tl2br w:val="nil"/>
              <w:tr2bl w:val="nil"/>
            </w:tcBorders>
            <w:shd w:val="clear" w:color="auto" w:fill="auto"/>
            <w:vAlign w:val="center"/>
          </w:tcPr>
          <w:p w14:paraId="0A53B4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五辊板材整平机</w:t>
            </w:r>
          </w:p>
        </w:tc>
        <w:tc>
          <w:tcPr>
            <w:tcW w:w="2123" w:type="dxa"/>
            <w:tcBorders>
              <w:tl2br w:val="nil"/>
              <w:tr2bl w:val="nil"/>
            </w:tcBorders>
            <w:shd w:val="clear" w:color="auto" w:fill="auto"/>
            <w:vAlign w:val="center"/>
          </w:tcPr>
          <w:p w14:paraId="04A120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eastAsia" w:cs="Times New Roman"/>
                <w:caps w:val="0"/>
                <w:snapToGrid/>
                <w:color w:val="auto"/>
                <w:spacing w:val="0"/>
                <w:w w:val="100"/>
                <w:kern w:val="21"/>
                <w:position w:val="0"/>
                <w:sz w:val="21"/>
                <w:szCs w:val="21"/>
                <w:highlight w:val="none"/>
                <w:lang w:val="en-US" w:eastAsia="zh-CN"/>
              </w:rPr>
              <w:t>1.5kW</w:t>
            </w:r>
          </w:p>
        </w:tc>
        <w:tc>
          <w:tcPr>
            <w:tcW w:w="1825" w:type="dxa"/>
            <w:tcBorders>
              <w:tl2br w:val="nil"/>
              <w:tr2bl w:val="nil"/>
            </w:tcBorders>
            <w:shd w:val="clear" w:color="auto" w:fill="auto"/>
            <w:vAlign w:val="center"/>
          </w:tcPr>
          <w:p w14:paraId="0A2FF2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eastAsia" w:cs="Times New Roman"/>
                <w:caps w:val="0"/>
                <w:snapToGrid/>
                <w:color w:val="auto"/>
                <w:spacing w:val="0"/>
                <w:w w:val="100"/>
                <w:kern w:val="21"/>
                <w:position w:val="0"/>
                <w:sz w:val="21"/>
                <w:szCs w:val="21"/>
                <w:highlight w:val="none"/>
                <w:lang w:val="en-US" w:eastAsia="zh-CN"/>
              </w:rPr>
              <w:t>6</w:t>
            </w:r>
          </w:p>
        </w:tc>
      </w:tr>
      <w:tr w14:paraId="6EBE1E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0" w:type="auto"/>
            <w:tcBorders>
              <w:tl2br w:val="nil"/>
              <w:tr2bl w:val="nil"/>
            </w:tcBorders>
            <w:shd w:val="clear" w:color="auto" w:fill="auto"/>
            <w:vAlign w:val="center"/>
          </w:tcPr>
          <w:p w14:paraId="75CC4E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vertAlign w:val="baseline"/>
                <w:lang w:val="en-US" w:eastAsia="zh-CN" w:bidi="ar-SA"/>
              </w:rPr>
            </w:pPr>
            <w:r>
              <w:rPr>
                <w:rFonts w:hint="eastAsia" w:ascii="Times New Roman" w:hAnsi="Times New Roman" w:eastAsia="宋体" w:cs="Times New Roman"/>
                <w:caps w:val="0"/>
                <w:snapToGrid/>
                <w:color w:val="auto"/>
                <w:spacing w:val="0"/>
                <w:w w:val="100"/>
                <w:kern w:val="21"/>
                <w:position w:val="0"/>
                <w:sz w:val="21"/>
                <w:szCs w:val="21"/>
                <w:highlight w:val="none"/>
                <w:vertAlign w:val="baseline"/>
                <w:lang w:val="en-US" w:eastAsia="zh-CN"/>
              </w:rPr>
              <w:t>19</w:t>
            </w:r>
          </w:p>
        </w:tc>
        <w:tc>
          <w:tcPr>
            <w:tcW w:w="3526" w:type="dxa"/>
            <w:tcBorders>
              <w:tl2br w:val="nil"/>
              <w:tr2bl w:val="nil"/>
            </w:tcBorders>
            <w:shd w:val="clear" w:color="auto" w:fill="auto"/>
            <w:vAlign w:val="center"/>
          </w:tcPr>
          <w:p w14:paraId="67B081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21"/>
                <w:position w:val="0"/>
                <w:sz w:val="21"/>
                <w:szCs w:val="21"/>
                <w:highlight w:val="none"/>
                <w:lang w:eastAsia="zh-CN"/>
              </w:rPr>
            </w:pPr>
            <w:r>
              <w:rPr>
                <w:rFonts w:hint="eastAsia"/>
                <w:color w:val="auto"/>
                <w:spacing w:val="0"/>
                <w:w w:val="100"/>
                <w:position w:val="0"/>
                <w:sz w:val="21"/>
                <w:szCs w:val="21"/>
                <w:highlight w:val="none"/>
                <w:lang w:val="en-US" w:eastAsia="zh-CN"/>
              </w:rPr>
              <w:t>定速牵引装置</w:t>
            </w:r>
          </w:p>
        </w:tc>
        <w:tc>
          <w:tcPr>
            <w:tcW w:w="2123" w:type="dxa"/>
            <w:tcBorders>
              <w:tl2br w:val="nil"/>
              <w:tr2bl w:val="nil"/>
            </w:tcBorders>
            <w:shd w:val="clear" w:color="auto" w:fill="auto"/>
            <w:vAlign w:val="center"/>
          </w:tcPr>
          <w:p w14:paraId="023751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eastAsia" w:cs="Times New Roman"/>
                <w:caps w:val="0"/>
                <w:snapToGrid/>
                <w:color w:val="auto"/>
                <w:spacing w:val="0"/>
                <w:w w:val="100"/>
                <w:kern w:val="21"/>
                <w:position w:val="0"/>
                <w:sz w:val="21"/>
                <w:szCs w:val="21"/>
                <w:highlight w:val="none"/>
                <w:lang w:val="en-US" w:eastAsia="zh-CN"/>
              </w:rPr>
              <w:t>5.5kW</w:t>
            </w:r>
          </w:p>
        </w:tc>
        <w:tc>
          <w:tcPr>
            <w:tcW w:w="1825" w:type="dxa"/>
            <w:tcBorders>
              <w:tl2br w:val="nil"/>
              <w:tr2bl w:val="nil"/>
            </w:tcBorders>
            <w:shd w:val="clear" w:color="auto" w:fill="auto"/>
            <w:vAlign w:val="center"/>
          </w:tcPr>
          <w:p w14:paraId="631D55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eastAsia" w:cs="Times New Roman"/>
                <w:caps w:val="0"/>
                <w:snapToGrid/>
                <w:color w:val="auto"/>
                <w:spacing w:val="0"/>
                <w:w w:val="100"/>
                <w:kern w:val="21"/>
                <w:position w:val="0"/>
                <w:sz w:val="21"/>
                <w:szCs w:val="21"/>
                <w:highlight w:val="none"/>
                <w:lang w:val="en-US" w:eastAsia="zh-CN"/>
              </w:rPr>
              <w:t>3</w:t>
            </w:r>
          </w:p>
        </w:tc>
      </w:tr>
      <w:tr w14:paraId="033CE5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0" w:type="auto"/>
            <w:tcBorders>
              <w:tl2br w:val="nil"/>
              <w:tr2bl w:val="nil"/>
            </w:tcBorders>
            <w:shd w:val="clear" w:color="auto" w:fill="auto"/>
            <w:vAlign w:val="center"/>
          </w:tcPr>
          <w:p w14:paraId="2C5B6A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vertAlign w:val="baseline"/>
                <w:lang w:val="en-US" w:eastAsia="zh-CN" w:bidi="ar-SA"/>
              </w:rPr>
            </w:pPr>
            <w:r>
              <w:rPr>
                <w:rFonts w:hint="eastAsia" w:ascii="Times New Roman" w:hAnsi="Times New Roman" w:eastAsia="宋体" w:cs="Times New Roman"/>
                <w:caps w:val="0"/>
                <w:snapToGrid/>
                <w:color w:val="auto"/>
                <w:spacing w:val="0"/>
                <w:w w:val="100"/>
                <w:kern w:val="21"/>
                <w:position w:val="0"/>
                <w:sz w:val="21"/>
                <w:szCs w:val="21"/>
                <w:highlight w:val="none"/>
                <w:vertAlign w:val="baseline"/>
                <w:lang w:val="en-US" w:eastAsia="zh-CN"/>
              </w:rPr>
              <w:t>20</w:t>
            </w:r>
          </w:p>
        </w:tc>
        <w:tc>
          <w:tcPr>
            <w:tcW w:w="3526" w:type="dxa"/>
            <w:tcBorders>
              <w:tl2br w:val="nil"/>
              <w:tr2bl w:val="nil"/>
            </w:tcBorders>
            <w:shd w:val="clear" w:color="auto" w:fill="auto"/>
            <w:vAlign w:val="center"/>
          </w:tcPr>
          <w:p w14:paraId="21C442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21"/>
                <w:position w:val="0"/>
                <w:sz w:val="21"/>
                <w:szCs w:val="21"/>
                <w:highlight w:val="none"/>
                <w:lang w:eastAsia="zh-CN"/>
              </w:rPr>
            </w:pPr>
            <w:r>
              <w:rPr>
                <w:rFonts w:hint="eastAsia"/>
                <w:color w:val="auto"/>
                <w:spacing w:val="0"/>
                <w:w w:val="100"/>
                <w:position w:val="0"/>
                <w:sz w:val="21"/>
                <w:szCs w:val="21"/>
                <w:highlight w:val="none"/>
                <w:lang w:val="en-US" w:eastAsia="zh-CN"/>
              </w:rPr>
              <w:t>过渡机架</w:t>
            </w:r>
          </w:p>
        </w:tc>
        <w:tc>
          <w:tcPr>
            <w:tcW w:w="2123" w:type="dxa"/>
            <w:tcBorders>
              <w:tl2br w:val="nil"/>
              <w:tr2bl w:val="nil"/>
            </w:tcBorders>
            <w:shd w:val="clear" w:color="auto" w:fill="auto"/>
            <w:vAlign w:val="center"/>
          </w:tcPr>
          <w:p w14:paraId="4EA259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eastAsia" w:cs="Times New Roman"/>
                <w:caps w:val="0"/>
                <w:snapToGrid/>
                <w:color w:val="auto"/>
                <w:spacing w:val="0"/>
                <w:w w:val="100"/>
                <w:kern w:val="21"/>
                <w:position w:val="0"/>
                <w:sz w:val="21"/>
                <w:szCs w:val="21"/>
                <w:highlight w:val="none"/>
                <w:lang w:val="en-US" w:eastAsia="zh-CN"/>
              </w:rPr>
              <w:t>0.25kW</w:t>
            </w:r>
          </w:p>
        </w:tc>
        <w:tc>
          <w:tcPr>
            <w:tcW w:w="1825" w:type="dxa"/>
            <w:tcBorders>
              <w:tl2br w:val="nil"/>
              <w:tr2bl w:val="nil"/>
            </w:tcBorders>
            <w:shd w:val="clear" w:color="auto" w:fill="auto"/>
            <w:vAlign w:val="center"/>
          </w:tcPr>
          <w:p w14:paraId="0311CE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eastAsia" w:cs="Times New Roman"/>
                <w:caps w:val="0"/>
                <w:snapToGrid/>
                <w:color w:val="auto"/>
                <w:spacing w:val="0"/>
                <w:w w:val="100"/>
                <w:kern w:val="21"/>
                <w:position w:val="0"/>
                <w:sz w:val="21"/>
                <w:szCs w:val="21"/>
                <w:highlight w:val="none"/>
                <w:lang w:val="en-US" w:eastAsia="zh-CN"/>
              </w:rPr>
              <w:t>3</w:t>
            </w:r>
          </w:p>
        </w:tc>
      </w:tr>
      <w:tr w14:paraId="335C53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0" w:type="auto"/>
            <w:tcBorders>
              <w:tl2br w:val="nil"/>
              <w:tr2bl w:val="nil"/>
            </w:tcBorders>
            <w:shd w:val="clear" w:color="auto" w:fill="auto"/>
            <w:vAlign w:val="center"/>
          </w:tcPr>
          <w:p w14:paraId="3501DB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vertAlign w:val="baseline"/>
                <w:lang w:val="en-US" w:eastAsia="zh-CN" w:bidi="ar-SA"/>
              </w:rPr>
            </w:pPr>
            <w:r>
              <w:rPr>
                <w:rFonts w:hint="eastAsia" w:ascii="Times New Roman" w:hAnsi="Times New Roman" w:eastAsia="宋体" w:cs="Times New Roman"/>
                <w:caps w:val="0"/>
                <w:snapToGrid/>
                <w:color w:val="auto"/>
                <w:spacing w:val="0"/>
                <w:w w:val="100"/>
                <w:kern w:val="21"/>
                <w:position w:val="0"/>
                <w:sz w:val="21"/>
                <w:szCs w:val="21"/>
                <w:highlight w:val="none"/>
                <w:vertAlign w:val="baseline"/>
                <w:lang w:val="en-US" w:eastAsia="zh-CN"/>
              </w:rPr>
              <w:t>21</w:t>
            </w:r>
          </w:p>
        </w:tc>
        <w:tc>
          <w:tcPr>
            <w:tcW w:w="3526" w:type="dxa"/>
            <w:tcBorders>
              <w:tl2br w:val="nil"/>
              <w:tr2bl w:val="nil"/>
            </w:tcBorders>
            <w:shd w:val="clear" w:color="auto" w:fill="auto"/>
            <w:vAlign w:val="center"/>
          </w:tcPr>
          <w:p w14:paraId="48F2CD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olor w:val="auto"/>
                <w:spacing w:val="0"/>
                <w:w w:val="100"/>
                <w:position w:val="0"/>
                <w:sz w:val="21"/>
                <w:szCs w:val="21"/>
                <w:highlight w:val="none"/>
                <w:lang w:val="en-US" w:eastAsia="zh-CN"/>
              </w:rPr>
              <w:t>自动定长剪切机</w:t>
            </w:r>
          </w:p>
        </w:tc>
        <w:tc>
          <w:tcPr>
            <w:tcW w:w="2123" w:type="dxa"/>
            <w:tcBorders>
              <w:tl2br w:val="nil"/>
              <w:tr2bl w:val="nil"/>
            </w:tcBorders>
            <w:shd w:val="clear" w:color="auto" w:fill="auto"/>
            <w:vAlign w:val="center"/>
          </w:tcPr>
          <w:p w14:paraId="7AC2DD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eastAsia" w:cs="Times New Roman"/>
                <w:caps w:val="0"/>
                <w:snapToGrid/>
                <w:color w:val="auto"/>
                <w:spacing w:val="0"/>
                <w:w w:val="100"/>
                <w:kern w:val="21"/>
                <w:position w:val="0"/>
                <w:sz w:val="21"/>
                <w:szCs w:val="21"/>
                <w:highlight w:val="none"/>
                <w:lang w:val="en-US" w:eastAsia="zh-CN"/>
              </w:rPr>
              <w:t>5.5kW</w:t>
            </w:r>
          </w:p>
        </w:tc>
        <w:tc>
          <w:tcPr>
            <w:tcW w:w="1825" w:type="dxa"/>
            <w:tcBorders>
              <w:tl2br w:val="nil"/>
              <w:tr2bl w:val="nil"/>
            </w:tcBorders>
            <w:shd w:val="clear" w:color="auto" w:fill="auto"/>
            <w:vAlign w:val="center"/>
          </w:tcPr>
          <w:p w14:paraId="7A4A31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eastAsia" w:cs="Times New Roman"/>
                <w:caps w:val="0"/>
                <w:snapToGrid/>
                <w:color w:val="auto"/>
                <w:spacing w:val="0"/>
                <w:w w:val="100"/>
                <w:kern w:val="21"/>
                <w:position w:val="0"/>
                <w:sz w:val="21"/>
                <w:szCs w:val="21"/>
                <w:highlight w:val="none"/>
                <w:lang w:val="en-US" w:eastAsia="zh-CN"/>
              </w:rPr>
              <w:t>3</w:t>
            </w:r>
          </w:p>
        </w:tc>
      </w:tr>
      <w:tr w14:paraId="126735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0" w:type="auto"/>
            <w:tcBorders>
              <w:tl2br w:val="nil"/>
              <w:tr2bl w:val="nil"/>
            </w:tcBorders>
            <w:shd w:val="clear" w:color="auto" w:fill="auto"/>
            <w:vAlign w:val="center"/>
          </w:tcPr>
          <w:p w14:paraId="7C258B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vertAlign w:val="baseline"/>
                <w:lang w:val="en-US" w:eastAsia="zh-CN" w:bidi="ar-SA"/>
              </w:rPr>
            </w:pPr>
            <w:r>
              <w:rPr>
                <w:rFonts w:hint="eastAsia" w:ascii="Times New Roman" w:hAnsi="Times New Roman" w:eastAsia="宋体" w:cs="Times New Roman"/>
                <w:caps w:val="0"/>
                <w:snapToGrid/>
                <w:color w:val="auto"/>
                <w:spacing w:val="0"/>
                <w:w w:val="100"/>
                <w:kern w:val="21"/>
                <w:position w:val="0"/>
                <w:sz w:val="21"/>
                <w:szCs w:val="21"/>
                <w:highlight w:val="none"/>
                <w:vertAlign w:val="baseline"/>
                <w:lang w:val="en-US" w:eastAsia="zh-CN"/>
              </w:rPr>
              <w:t>22</w:t>
            </w:r>
          </w:p>
        </w:tc>
        <w:tc>
          <w:tcPr>
            <w:tcW w:w="3526" w:type="dxa"/>
            <w:tcBorders>
              <w:tl2br w:val="nil"/>
              <w:tr2bl w:val="nil"/>
            </w:tcBorders>
            <w:shd w:val="clear" w:color="auto" w:fill="auto"/>
            <w:vAlign w:val="center"/>
          </w:tcPr>
          <w:p w14:paraId="47172F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21"/>
                <w:position w:val="0"/>
                <w:sz w:val="21"/>
                <w:szCs w:val="21"/>
                <w:highlight w:val="none"/>
                <w:lang w:eastAsia="zh-CN"/>
              </w:rPr>
            </w:pPr>
            <w:r>
              <w:rPr>
                <w:rFonts w:hint="eastAsia"/>
                <w:color w:val="auto"/>
                <w:spacing w:val="0"/>
                <w:w w:val="100"/>
                <w:position w:val="0"/>
                <w:sz w:val="21"/>
                <w:szCs w:val="21"/>
                <w:highlight w:val="none"/>
                <w:lang w:val="en-US" w:eastAsia="zh-CN"/>
              </w:rPr>
              <w:t>滚轮输送架</w:t>
            </w:r>
          </w:p>
        </w:tc>
        <w:tc>
          <w:tcPr>
            <w:tcW w:w="2123" w:type="dxa"/>
            <w:tcBorders>
              <w:tl2br w:val="nil"/>
              <w:tr2bl w:val="nil"/>
            </w:tcBorders>
            <w:shd w:val="clear" w:color="auto" w:fill="auto"/>
            <w:vAlign w:val="center"/>
          </w:tcPr>
          <w:p w14:paraId="582E33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eastAsia" w:cs="Times New Roman"/>
                <w:caps w:val="0"/>
                <w:snapToGrid/>
                <w:color w:val="auto"/>
                <w:spacing w:val="0"/>
                <w:w w:val="100"/>
                <w:kern w:val="21"/>
                <w:position w:val="0"/>
                <w:sz w:val="21"/>
                <w:szCs w:val="21"/>
                <w:highlight w:val="none"/>
                <w:lang w:val="en-US" w:eastAsia="zh-CN"/>
              </w:rPr>
              <w:t>0.2kW</w:t>
            </w:r>
          </w:p>
        </w:tc>
        <w:tc>
          <w:tcPr>
            <w:tcW w:w="1825" w:type="dxa"/>
            <w:tcBorders>
              <w:tl2br w:val="nil"/>
              <w:tr2bl w:val="nil"/>
            </w:tcBorders>
            <w:shd w:val="clear" w:color="auto" w:fill="auto"/>
            <w:vAlign w:val="center"/>
          </w:tcPr>
          <w:p w14:paraId="422B0B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eastAsia" w:cs="Times New Roman"/>
                <w:caps w:val="0"/>
                <w:snapToGrid/>
                <w:color w:val="auto"/>
                <w:spacing w:val="0"/>
                <w:w w:val="100"/>
                <w:kern w:val="21"/>
                <w:position w:val="0"/>
                <w:sz w:val="21"/>
                <w:szCs w:val="21"/>
                <w:highlight w:val="none"/>
                <w:lang w:val="en-US" w:eastAsia="zh-CN"/>
              </w:rPr>
              <w:t>3</w:t>
            </w:r>
          </w:p>
        </w:tc>
      </w:tr>
    </w:tbl>
    <w:p w14:paraId="73FC9D4D">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205" w:name="_Toc31607"/>
      <w:r>
        <w:rPr>
          <w:rFonts w:hint="default"/>
          <w:color w:val="auto"/>
          <w:spacing w:val="0"/>
          <w:w w:val="100"/>
          <w:position w:val="0"/>
          <w:highlight w:val="none"/>
          <w:lang w:val="en-US" w:eastAsia="zh-CN"/>
        </w:rPr>
        <w:t>3.1.</w:t>
      </w:r>
      <w:r>
        <w:rPr>
          <w:rFonts w:hint="eastAsia"/>
          <w:color w:val="auto"/>
          <w:spacing w:val="0"/>
          <w:w w:val="100"/>
          <w:position w:val="0"/>
          <w:highlight w:val="none"/>
          <w:lang w:val="en-US" w:eastAsia="zh-CN"/>
        </w:rPr>
        <w:t>3原辅材料及能源消耗</w:t>
      </w:r>
      <w:bookmarkEnd w:id="205"/>
    </w:p>
    <w:p w14:paraId="5A78D075">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jc w:val="left"/>
        <w:outlineLvl w:val="9"/>
        <w:rPr>
          <w:rFonts w:hint="default" w:ascii="Times New Roman" w:hAnsi="Times New Roman" w:eastAsia="宋体" w:cs="Times New Roman"/>
          <w:caps w:val="0"/>
          <w:snapToGrid/>
          <w:color w:val="auto"/>
          <w:spacing w:val="0"/>
          <w:w w:val="100"/>
          <w:kern w:val="21"/>
          <w:position w:val="0"/>
          <w:sz w:val="24"/>
          <w:szCs w:val="24"/>
          <w:highlight w:val="none"/>
        </w:rPr>
      </w:pPr>
      <w:r>
        <w:rPr>
          <w:rFonts w:hint="default" w:ascii="Times New Roman" w:hAnsi="Times New Roman" w:eastAsia="宋体" w:cs="Times New Roman"/>
          <w:caps w:val="0"/>
          <w:snapToGrid/>
          <w:color w:val="auto"/>
          <w:spacing w:val="0"/>
          <w:w w:val="100"/>
          <w:kern w:val="21"/>
          <w:position w:val="0"/>
          <w:sz w:val="24"/>
          <w:szCs w:val="24"/>
          <w:highlight w:val="none"/>
        </w:rPr>
        <w:t>本项目主要原辅材料情况见</w:t>
      </w:r>
      <w:r>
        <w:rPr>
          <w:rFonts w:hint="eastAsia" w:ascii="Times New Roman" w:hAnsi="Times New Roman" w:eastAsia="宋体" w:cs="Times New Roman"/>
          <w:caps w:val="0"/>
          <w:snapToGrid/>
          <w:color w:val="auto"/>
          <w:spacing w:val="0"/>
          <w:w w:val="100"/>
          <w:kern w:val="21"/>
          <w:position w:val="0"/>
          <w:sz w:val="24"/>
          <w:szCs w:val="24"/>
          <w:highlight w:val="none"/>
          <w:lang w:val="en-US" w:eastAsia="zh-CN"/>
        </w:rPr>
        <w:t>下表</w:t>
      </w:r>
      <w:r>
        <w:rPr>
          <w:rFonts w:hint="default" w:ascii="Times New Roman" w:hAnsi="Times New Roman" w:eastAsia="宋体" w:cs="Times New Roman"/>
          <w:caps w:val="0"/>
          <w:snapToGrid/>
          <w:color w:val="auto"/>
          <w:spacing w:val="0"/>
          <w:w w:val="100"/>
          <w:kern w:val="21"/>
          <w:position w:val="0"/>
          <w:sz w:val="24"/>
          <w:szCs w:val="24"/>
          <w:highlight w:val="none"/>
        </w:rPr>
        <w:t>。</w:t>
      </w:r>
    </w:p>
    <w:p w14:paraId="4125330A">
      <w:pPr>
        <w:keepNext w:val="0"/>
        <w:keepLines w:val="0"/>
        <w:pageBreakBefore w:val="0"/>
        <w:widowControl w:val="0"/>
        <w:tabs>
          <w:tab w:val="left" w:pos="1021"/>
        </w:tabs>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表3.</w:t>
      </w:r>
      <w:r>
        <w:rPr>
          <w:rFonts w:hint="eastAsia" w:ascii="Times New Roman" w:hAnsi="Times New Roman" w:eastAsia="宋体" w:cs="Times New Roman"/>
          <w:b/>
          <w:bCs/>
          <w:caps w:val="0"/>
          <w:snapToGrid/>
          <w:color w:val="auto"/>
          <w:spacing w:val="0"/>
          <w:w w:val="100"/>
          <w:kern w:val="21"/>
          <w:position w:val="0"/>
          <w:sz w:val="21"/>
          <w:szCs w:val="21"/>
          <w:highlight w:val="none"/>
          <w:lang w:val="en-US" w:eastAsia="zh-CN"/>
        </w:rPr>
        <w:t>1</w:t>
      </w:r>
      <w:r>
        <w:rPr>
          <w:rFonts w:hint="eastAsia" w:cs="Times New Roman"/>
          <w:b/>
          <w:bCs/>
          <w:caps w:val="0"/>
          <w:snapToGrid/>
          <w:color w:val="auto"/>
          <w:spacing w:val="0"/>
          <w:w w:val="100"/>
          <w:kern w:val="21"/>
          <w:position w:val="0"/>
          <w:sz w:val="21"/>
          <w:szCs w:val="21"/>
          <w:highlight w:val="none"/>
          <w:lang w:val="en-US" w:eastAsia="zh-CN"/>
        </w:rPr>
        <w:t>.3-1</w:t>
      </w:r>
      <w:r>
        <w:rPr>
          <w:rFonts w:hint="default" w:ascii="Times New Roman" w:hAnsi="Times New Roman" w:eastAsia="宋体" w:cs="Times New Roman"/>
          <w:b/>
          <w:bCs/>
          <w:caps w:val="0"/>
          <w:snapToGrid/>
          <w:color w:val="auto"/>
          <w:spacing w:val="0"/>
          <w:w w:val="100"/>
          <w:kern w:val="21"/>
          <w:position w:val="0"/>
          <w:sz w:val="21"/>
          <w:szCs w:val="21"/>
          <w:highlight w:val="none"/>
        </w:rPr>
        <w:t xml:space="preserve"> </w:t>
      </w:r>
      <w:r>
        <w:rPr>
          <w:rFonts w:hint="eastAsia" w:ascii="Times New Roman" w:hAnsi="Times New Roman" w:eastAsia="宋体" w:cs="Times New Roman"/>
          <w:b/>
          <w:bCs/>
          <w:caps w:val="0"/>
          <w:snapToGrid/>
          <w:color w:val="auto"/>
          <w:spacing w:val="0"/>
          <w:w w:val="100"/>
          <w:kern w:val="21"/>
          <w:position w:val="0"/>
          <w:sz w:val="21"/>
          <w:szCs w:val="21"/>
          <w:highlight w:val="none"/>
          <w:lang w:val="en-US" w:eastAsia="zh-CN"/>
        </w:rPr>
        <w:t xml:space="preserve"> </w:t>
      </w:r>
      <w:bookmarkStart w:id="206" w:name="OLE_LINK6"/>
      <w:r>
        <w:rPr>
          <w:rFonts w:hint="eastAsia" w:cs="Times New Roman"/>
          <w:b/>
          <w:bCs/>
          <w:caps w:val="0"/>
          <w:snapToGrid/>
          <w:color w:val="auto"/>
          <w:spacing w:val="0"/>
          <w:w w:val="100"/>
          <w:kern w:val="21"/>
          <w:position w:val="0"/>
          <w:sz w:val="21"/>
          <w:szCs w:val="21"/>
          <w:highlight w:val="none"/>
          <w:lang w:val="en-US" w:eastAsia="zh-CN"/>
        </w:rPr>
        <w:t>铝塑复合板</w:t>
      </w:r>
      <w:bookmarkEnd w:id="206"/>
      <w:r>
        <w:rPr>
          <w:rFonts w:hint="eastAsia" w:ascii="Times New Roman" w:hAnsi="Times New Roman" w:eastAsia="宋体" w:cs="Times New Roman"/>
          <w:b/>
          <w:bCs/>
          <w:caps w:val="0"/>
          <w:snapToGrid/>
          <w:color w:val="auto"/>
          <w:spacing w:val="0"/>
          <w:w w:val="100"/>
          <w:kern w:val="21"/>
          <w:position w:val="0"/>
          <w:sz w:val="21"/>
          <w:szCs w:val="21"/>
          <w:highlight w:val="none"/>
          <w:lang w:val="en-US" w:eastAsia="zh-CN"/>
        </w:rPr>
        <w:t>生产线原辅材料</w:t>
      </w:r>
      <w:r>
        <w:rPr>
          <w:rFonts w:hint="default" w:ascii="Times New Roman" w:hAnsi="Times New Roman" w:eastAsia="宋体" w:cs="Times New Roman"/>
          <w:b/>
          <w:bCs/>
          <w:caps w:val="0"/>
          <w:snapToGrid/>
          <w:color w:val="auto"/>
          <w:spacing w:val="0"/>
          <w:w w:val="100"/>
          <w:kern w:val="21"/>
          <w:position w:val="0"/>
          <w:sz w:val="21"/>
          <w:szCs w:val="21"/>
          <w:highlight w:val="none"/>
        </w:rPr>
        <w:t>一览表</w:t>
      </w:r>
    </w:p>
    <w:tbl>
      <w:tblPr>
        <w:tblStyle w:val="26"/>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2552"/>
        <w:gridCol w:w="2259"/>
        <w:gridCol w:w="1881"/>
        <w:gridCol w:w="862"/>
        <w:gridCol w:w="863"/>
      </w:tblGrid>
      <w:tr w14:paraId="6E7370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1515" w:type="pct"/>
            <w:tcBorders>
              <w:tl2br w:val="nil"/>
              <w:tr2bl w:val="nil"/>
            </w:tcBorders>
            <w:vAlign w:val="center"/>
          </w:tcPr>
          <w:p w14:paraId="159567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vertAlign w:val="baseline"/>
                <w:lang w:val="en-US" w:eastAsia="zh-CN"/>
              </w:rPr>
            </w:pPr>
            <w:r>
              <w:rPr>
                <w:rFonts w:hint="eastAsia" w:ascii="Times New Roman" w:hAnsi="Times New Roman" w:eastAsia="宋体" w:cs="Times New Roman"/>
                <w:b/>
                <w:bCs/>
                <w:caps w:val="0"/>
                <w:snapToGrid/>
                <w:color w:val="auto"/>
                <w:spacing w:val="0"/>
                <w:w w:val="100"/>
                <w:kern w:val="21"/>
                <w:position w:val="0"/>
                <w:sz w:val="21"/>
                <w:szCs w:val="21"/>
                <w:highlight w:val="none"/>
                <w:vertAlign w:val="baseline"/>
                <w:lang w:val="en-US" w:eastAsia="zh-CN"/>
              </w:rPr>
              <w:t>材料名称</w:t>
            </w:r>
          </w:p>
        </w:tc>
        <w:tc>
          <w:tcPr>
            <w:tcW w:w="1341" w:type="pct"/>
            <w:tcBorders>
              <w:tl2br w:val="nil"/>
              <w:tr2bl w:val="nil"/>
            </w:tcBorders>
            <w:vAlign w:val="center"/>
          </w:tcPr>
          <w:p w14:paraId="438706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vertAlign w:val="baseline"/>
                <w:lang w:val="en-US" w:eastAsia="zh-CN"/>
              </w:rPr>
            </w:pPr>
            <w:r>
              <w:rPr>
                <w:rFonts w:hint="eastAsia" w:ascii="Times New Roman" w:hAnsi="Times New Roman" w:eastAsia="宋体" w:cs="Times New Roman"/>
                <w:b/>
                <w:bCs/>
                <w:caps w:val="0"/>
                <w:snapToGrid/>
                <w:color w:val="auto"/>
                <w:spacing w:val="0"/>
                <w:w w:val="100"/>
                <w:kern w:val="21"/>
                <w:position w:val="0"/>
                <w:sz w:val="21"/>
                <w:szCs w:val="21"/>
                <w:highlight w:val="none"/>
                <w:vertAlign w:val="baseline"/>
                <w:lang w:val="en-US" w:eastAsia="zh-CN"/>
              </w:rPr>
              <w:t>消耗量</w:t>
            </w:r>
            <w:r>
              <w:rPr>
                <w:rFonts w:hint="eastAsia" w:cs="Times New Roman"/>
                <w:b/>
                <w:bCs/>
                <w:caps w:val="0"/>
                <w:snapToGrid/>
                <w:color w:val="auto"/>
                <w:spacing w:val="0"/>
                <w:w w:val="100"/>
                <w:kern w:val="21"/>
                <w:position w:val="0"/>
                <w:sz w:val="21"/>
                <w:szCs w:val="21"/>
                <w:highlight w:val="none"/>
                <w:vertAlign w:val="baseline"/>
                <w:lang w:val="en-US" w:eastAsia="zh-CN"/>
              </w:rPr>
              <w:t>（t/a）</w:t>
            </w:r>
          </w:p>
        </w:tc>
        <w:tc>
          <w:tcPr>
            <w:tcW w:w="1117" w:type="pct"/>
            <w:tcBorders>
              <w:tl2br w:val="nil"/>
              <w:tr2bl w:val="nil"/>
            </w:tcBorders>
            <w:vAlign w:val="center"/>
          </w:tcPr>
          <w:p w14:paraId="675DD3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vertAlign w:val="baseline"/>
                <w:lang w:val="en-US" w:eastAsia="zh-CN"/>
              </w:rPr>
            </w:pPr>
            <w:r>
              <w:rPr>
                <w:rFonts w:hint="eastAsia" w:cs="Times New Roman"/>
                <w:b/>
                <w:bCs/>
                <w:caps w:val="0"/>
                <w:snapToGrid/>
                <w:color w:val="auto"/>
                <w:spacing w:val="0"/>
                <w:w w:val="100"/>
                <w:kern w:val="21"/>
                <w:position w:val="0"/>
                <w:sz w:val="21"/>
                <w:szCs w:val="21"/>
                <w:highlight w:val="none"/>
                <w:vertAlign w:val="baseline"/>
                <w:lang w:val="en-US" w:eastAsia="zh-CN"/>
              </w:rPr>
              <w:t>最大贮存量</w:t>
            </w:r>
          </w:p>
        </w:tc>
        <w:tc>
          <w:tcPr>
            <w:tcW w:w="512" w:type="pct"/>
            <w:tcBorders>
              <w:tl2br w:val="nil"/>
              <w:tr2bl w:val="nil"/>
            </w:tcBorders>
            <w:vAlign w:val="center"/>
          </w:tcPr>
          <w:p w14:paraId="524B92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cs="Times New Roman"/>
                <w:b/>
                <w:bCs/>
                <w:caps w:val="0"/>
                <w:snapToGrid/>
                <w:color w:val="auto"/>
                <w:spacing w:val="0"/>
                <w:w w:val="100"/>
                <w:kern w:val="21"/>
                <w:position w:val="0"/>
                <w:sz w:val="21"/>
                <w:szCs w:val="21"/>
                <w:highlight w:val="none"/>
                <w:vertAlign w:val="baseline"/>
                <w:lang w:val="en-US" w:eastAsia="zh-CN"/>
              </w:rPr>
            </w:pPr>
            <w:r>
              <w:rPr>
                <w:rFonts w:hint="eastAsia" w:cs="Times New Roman"/>
                <w:b/>
                <w:bCs/>
                <w:caps w:val="0"/>
                <w:snapToGrid/>
                <w:color w:val="auto"/>
                <w:spacing w:val="0"/>
                <w:w w:val="100"/>
                <w:kern w:val="21"/>
                <w:position w:val="0"/>
                <w:sz w:val="21"/>
                <w:szCs w:val="21"/>
                <w:highlight w:val="none"/>
                <w:vertAlign w:val="baseline"/>
                <w:lang w:val="en-US" w:eastAsia="zh-CN"/>
              </w:rPr>
              <w:t>来源</w:t>
            </w:r>
          </w:p>
        </w:tc>
        <w:tc>
          <w:tcPr>
            <w:tcW w:w="512" w:type="pct"/>
            <w:tcBorders>
              <w:tl2br w:val="nil"/>
              <w:tr2bl w:val="nil"/>
            </w:tcBorders>
            <w:vAlign w:val="center"/>
          </w:tcPr>
          <w:p w14:paraId="72E594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cs="Times New Roman"/>
                <w:b/>
                <w:bCs/>
                <w:caps w:val="0"/>
                <w:snapToGrid/>
                <w:color w:val="auto"/>
                <w:spacing w:val="0"/>
                <w:w w:val="100"/>
                <w:kern w:val="21"/>
                <w:position w:val="0"/>
                <w:sz w:val="21"/>
                <w:szCs w:val="21"/>
                <w:highlight w:val="none"/>
                <w:vertAlign w:val="baseline"/>
                <w:lang w:val="en-US" w:eastAsia="zh-CN"/>
              </w:rPr>
            </w:pPr>
            <w:r>
              <w:rPr>
                <w:rFonts w:hint="eastAsia" w:cs="Times New Roman"/>
                <w:b/>
                <w:bCs/>
                <w:caps w:val="0"/>
                <w:snapToGrid/>
                <w:color w:val="auto"/>
                <w:spacing w:val="0"/>
                <w:w w:val="100"/>
                <w:kern w:val="21"/>
                <w:position w:val="0"/>
                <w:sz w:val="21"/>
                <w:szCs w:val="21"/>
                <w:highlight w:val="none"/>
                <w:vertAlign w:val="baseline"/>
                <w:lang w:val="en-US" w:eastAsia="zh-CN"/>
              </w:rPr>
              <w:t>备注</w:t>
            </w:r>
          </w:p>
        </w:tc>
      </w:tr>
      <w:tr w14:paraId="462453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515" w:type="pct"/>
            <w:tcBorders>
              <w:tl2br w:val="nil"/>
              <w:tr2bl w:val="nil"/>
            </w:tcBorders>
            <w:vAlign w:val="center"/>
          </w:tcPr>
          <w:p w14:paraId="7C5F96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aps w:val="0"/>
                <w:snapToGrid/>
                <w:color w:val="auto"/>
                <w:spacing w:val="0"/>
                <w:w w:val="100"/>
                <w:kern w:val="21"/>
                <w:position w:val="0"/>
                <w:sz w:val="21"/>
                <w:szCs w:val="21"/>
                <w:highlight w:val="none"/>
                <w:vertAlign w:val="baseline"/>
                <w:lang w:val="en-US" w:eastAsia="zh-CN"/>
              </w:rPr>
            </w:pPr>
            <w:r>
              <w:rPr>
                <w:rFonts w:hint="eastAsia" w:cs="Times New Roman"/>
                <w:b w:val="0"/>
                <w:bCs w:val="0"/>
                <w:caps w:val="0"/>
                <w:snapToGrid/>
                <w:color w:val="auto"/>
                <w:spacing w:val="0"/>
                <w:w w:val="100"/>
                <w:kern w:val="21"/>
                <w:position w:val="0"/>
                <w:sz w:val="21"/>
                <w:szCs w:val="21"/>
                <w:highlight w:val="none"/>
                <w:vertAlign w:val="baseline"/>
                <w:lang w:val="en-US" w:eastAsia="zh-CN"/>
              </w:rPr>
              <w:t>聚乙烯再生</w:t>
            </w:r>
            <w:r>
              <w:rPr>
                <w:rFonts w:hint="eastAsia" w:ascii="Times New Roman" w:hAnsi="Times New Roman" w:eastAsia="宋体" w:cs="Times New Roman"/>
                <w:b w:val="0"/>
                <w:bCs w:val="0"/>
                <w:caps w:val="0"/>
                <w:snapToGrid/>
                <w:color w:val="auto"/>
                <w:spacing w:val="0"/>
                <w:w w:val="100"/>
                <w:kern w:val="21"/>
                <w:position w:val="0"/>
                <w:sz w:val="21"/>
                <w:szCs w:val="21"/>
                <w:highlight w:val="none"/>
                <w:vertAlign w:val="baseline"/>
                <w:lang w:val="en-US" w:eastAsia="zh-CN"/>
              </w:rPr>
              <w:t>颗粒</w:t>
            </w:r>
          </w:p>
        </w:tc>
        <w:tc>
          <w:tcPr>
            <w:tcW w:w="1341" w:type="pct"/>
            <w:tcBorders>
              <w:tl2br w:val="nil"/>
              <w:tr2bl w:val="nil"/>
            </w:tcBorders>
            <w:vAlign w:val="center"/>
          </w:tcPr>
          <w:p w14:paraId="6E69EC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aps w:val="0"/>
                <w:snapToGrid/>
                <w:color w:val="auto"/>
                <w:spacing w:val="0"/>
                <w:w w:val="100"/>
                <w:kern w:val="21"/>
                <w:position w:val="0"/>
                <w:sz w:val="21"/>
                <w:szCs w:val="21"/>
                <w:highlight w:val="none"/>
                <w:vertAlign w:val="baseline"/>
                <w:lang w:val="en-US" w:eastAsia="zh-CN"/>
              </w:rPr>
            </w:pPr>
            <w:r>
              <w:rPr>
                <w:rFonts w:hint="eastAsia" w:cs="Times New Roman"/>
                <w:b w:val="0"/>
                <w:bCs w:val="0"/>
                <w:caps w:val="0"/>
                <w:snapToGrid/>
                <w:color w:val="auto"/>
                <w:spacing w:val="0"/>
                <w:w w:val="100"/>
                <w:kern w:val="21"/>
                <w:position w:val="0"/>
                <w:sz w:val="21"/>
                <w:szCs w:val="21"/>
                <w:highlight w:val="none"/>
                <w:vertAlign w:val="baseline"/>
                <w:lang w:val="en-US" w:eastAsia="zh-CN"/>
              </w:rPr>
              <w:t>3600</w:t>
            </w:r>
          </w:p>
        </w:tc>
        <w:tc>
          <w:tcPr>
            <w:tcW w:w="1117" w:type="pct"/>
            <w:tcBorders>
              <w:tl2br w:val="nil"/>
              <w:tr2bl w:val="nil"/>
            </w:tcBorders>
            <w:vAlign w:val="center"/>
          </w:tcPr>
          <w:p w14:paraId="0D81B3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aps w:val="0"/>
                <w:snapToGrid/>
                <w:color w:val="auto"/>
                <w:spacing w:val="0"/>
                <w:w w:val="100"/>
                <w:kern w:val="21"/>
                <w:position w:val="0"/>
                <w:sz w:val="21"/>
                <w:szCs w:val="21"/>
                <w:highlight w:val="none"/>
                <w:vertAlign w:val="baseline"/>
                <w:lang w:val="en-US" w:eastAsia="zh-CN"/>
              </w:rPr>
            </w:pPr>
            <w:r>
              <w:rPr>
                <w:rFonts w:hint="eastAsia" w:cs="Times New Roman"/>
                <w:b w:val="0"/>
                <w:bCs w:val="0"/>
                <w:caps w:val="0"/>
                <w:snapToGrid/>
                <w:color w:val="auto"/>
                <w:spacing w:val="0"/>
                <w:w w:val="100"/>
                <w:kern w:val="21"/>
                <w:position w:val="0"/>
                <w:sz w:val="21"/>
                <w:szCs w:val="21"/>
                <w:highlight w:val="none"/>
                <w:vertAlign w:val="baseline"/>
                <w:lang w:val="en-US" w:eastAsia="zh-CN"/>
              </w:rPr>
              <w:t>50t</w:t>
            </w:r>
          </w:p>
        </w:tc>
        <w:tc>
          <w:tcPr>
            <w:tcW w:w="512" w:type="pct"/>
            <w:tcBorders>
              <w:tl2br w:val="nil"/>
              <w:tr2bl w:val="nil"/>
            </w:tcBorders>
            <w:vAlign w:val="center"/>
          </w:tcPr>
          <w:p w14:paraId="4C36E6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cs="Times New Roman"/>
                <w:b w:val="0"/>
                <w:bCs w:val="0"/>
                <w:caps w:val="0"/>
                <w:snapToGrid/>
                <w:color w:val="auto"/>
                <w:spacing w:val="0"/>
                <w:w w:val="100"/>
                <w:kern w:val="21"/>
                <w:position w:val="0"/>
                <w:sz w:val="21"/>
                <w:szCs w:val="21"/>
                <w:highlight w:val="none"/>
                <w:vertAlign w:val="baseline"/>
                <w:lang w:val="en-US" w:eastAsia="zh-CN"/>
              </w:rPr>
            </w:pPr>
            <w:r>
              <w:rPr>
                <w:rFonts w:hint="eastAsia" w:cs="Times New Roman"/>
                <w:b w:val="0"/>
                <w:bCs w:val="0"/>
                <w:caps w:val="0"/>
                <w:snapToGrid/>
                <w:color w:val="auto"/>
                <w:spacing w:val="0"/>
                <w:w w:val="100"/>
                <w:kern w:val="21"/>
                <w:position w:val="0"/>
                <w:sz w:val="21"/>
                <w:szCs w:val="21"/>
                <w:highlight w:val="none"/>
                <w:vertAlign w:val="baseline"/>
                <w:lang w:val="en-US" w:eastAsia="zh-CN"/>
              </w:rPr>
              <w:t>外购</w:t>
            </w:r>
          </w:p>
        </w:tc>
        <w:tc>
          <w:tcPr>
            <w:tcW w:w="512" w:type="pct"/>
            <w:tcBorders>
              <w:tl2br w:val="nil"/>
              <w:tr2bl w:val="nil"/>
            </w:tcBorders>
            <w:vAlign w:val="center"/>
          </w:tcPr>
          <w:p w14:paraId="7D45F9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cs="Times New Roman"/>
                <w:b w:val="0"/>
                <w:bCs w:val="0"/>
                <w:caps w:val="0"/>
                <w:snapToGrid/>
                <w:color w:val="auto"/>
                <w:spacing w:val="0"/>
                <w:w w:val="100"/>
                <w:kern w:val="21"/>
                <w:position w:val="0"/>
                <w:sz w:val="21"/>
                <w:szCs w:val="21"/>
                <w:highlight w:val="none"/>
                <w:vertAlign w:val="baseline"/>
                <w:lang w:val="en-US" w:eastAsia="zh-CN"/>
              </w:rPr>
            </w:pPr>
            <w:r>
              <w:rPr>
                <w:rFonts w:hint="eastAsia" w:cs="Times New Roman"/>
                <w:b w:val="0"/>
                <w:bCs w:val="0"/>
                <w:caps w:val="0"/>
                <w:snapToGrid/>
                <w:color w:val="auto"/>
                <w:spacing w:val="0"/>
                <w:w w:val="100"/>
                <w:kern w:val="21"/>
                <w:position w:val="0"/>
                <w:sz w:val="21"/>
                <w:szCs w:val="21"/>
                <w:highlight w:val="none"/>
                <w:vertAlign w:val="baseline"/>
                <w:lang w:val="en-US" w:eastAsia="zh-CN"/>
              </w:rPr>
              <w:t>/</w:t>
            </w:r>
          </w:p>
        </w:tc>
      </w:tr>
      <w:tr w14:paraId="606415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515" w:type="pct"/>
            <w:tcBorders>
              <w:tl2br w:val="nil"/>
              <w:tr2bl w:val="nil"/>
            </w:tcBorders>
            <w:vAlign w:val="center"/>
          </w:tcPr>
          <w:p w14:paraId="26FD27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aps w:val="0"/>
                <w:snapToGrid/>
                <w:color w:val="auto"/>
                <w:spacing w:val="0"/>
                <w:w w:val="100"/>
                <w:kern w:val="21"/>
                <w:position w:val="0"/>
                <w:sz w:val="21"/>
                <w:szCs w:val="21"/>
                <w:highlight w:val="none"/>
                <w:vertAlign w:val="baseline"/>
                <w:lang w:val="en-US" w:eastAsia="zh-CN"/>
              </w:rPr>
            </w:pPr>
            <w:r>
              <w:rPr>
                <w:rFonts w:hint="eastAsia" w:cs="Times New Roman"/>
                <w:b w:val="0"/>
                <w:bCs w:val="0"/>
                <w:caps w:val="0"/>
                <w:snapToGrid/>
                <w:color w:val="auto"/>
                <w:spacing w:val="0"/>
                <w:w w:val="100"/>
                <w:kern w:val="21"/>
                <w:position w:val="0"/>
                <w:sz w:val="21"/>
                <w:szCs w:val="21"/>
                <w:highlight w:val="none"/>
                <w:vertAlign w:val="baseline"/>
                <w:lang w:val="en-US" w:eastAsia="zh-CN"/>
              </w:rPr>
              <w:t>聚乙烯再生粉料</w:t>
            </w:r>
          </w:p>
        </w:tc>
        <w:tc>
          <w:tcPr>
            <w:tcW w:w="1341" w:type="pct"/>
            <w:tcBorders>
              <w:tl2br w:val="nil"/>
              <w:tr2bl w:val="nil"/>
            </w:tcBorders>
            <w:vAlign w:val="center"/>
          </w:tcPr>
          <w:p w14:paraId="649BED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aps w:val="0"/>
                <w:snapToGrid/>
                <w:color w:val="auto"/>
                <w:spacing w:val="0"/>
                <w:w w:val="100"/>
                <w:kern w:val="21"/>
                <w:position w:val="0"/>
                <w:sz w:val="21"/>
                <w:szCs w:val="21"/>
                <w:highlight w:val="none"/>
                <w:vertAlign w:val="baseline"/>
                <w:lang w:val="en-US" w:eastAsia="zh-CN"/>
              </w:rPr>
            </w:pPr>
            <w:r>
              <w:rPr>
                <w:rFonts w:hint="eastAsia" w:cs="Times New Roman"/>
                <w:b w:val="0"/>
                <w:bCs w:val="0"/>
                <w:caps w:val="0"/>
                <w:snapToGrid/>
                <w:color w:val="auto"/>
                <w:spacing w:val="0"/>
                <w:w w:val="100"/>
                <w:kern w:val="21"/>
                <w:position w:val="0"/>
                <w:sz w:val="21"/>
                <w:szCs w:val="21"/>
                <w:highlight w:val="none"/>
                <w:vertAlign w:val="baseline"/>
                <w:lang w:val="en-US" w:eastAsia="zh-CN"/>
              </w:rPr>
              <w:t>1020</w:t>
            </w:r>
          </w:p>
        </w:tc>
        <w:tc>
          <w:tcPr>
            <w:tcW w:w="1117" w:type="pct"/>
            <w:tcBorders>
              <w:tl2br w:val="nil"/>
              <w:tr2bl w:val="nil"/>
            </w:tcBorders>
            <w:vAlign w:val="center"/>
          </w:tcPr>
          <w:p w14:paraId="236CBF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aps w:val="0"/>
                <w:snapToGrid/>
                <w:color w:val="auto"/>
                <w:spacing w:val="0"/>
                <w:w w:val="100"/>
                <w:kern w:val="21"/>
                <w:position w:val="0"/>
                <w:sz w:val="21"/>
                <w:szCs w:val="21"/>
                <w:highlight w:val="none"/>
                <w:vertAlign w:val="baseline"/>
                <w:lang w:val="en-US" w:eastAsia="zh-CN"/>
              </w:rPr>
            </w:pPr>
            <w:r>
              <w:rPr>
                <w:rFonts w:hint="eastAsia" w:cs="Times New Roman"/>
                <w:b w:val="0"/>
                <w:bCs w:val="0"/>
                <w:caps w:val="0"/>
                <w:snapToGrid/>
                <w:color w:val="auto"/>
                <w:spacing w:val="0"/>
                <w:w w:val="100"/>
                <w:kern w:val="21"/>
                <w:position w:val="0"/>
                <w:sz w:val="21"/>
                <w:szCs w:val="21"/>
                <w:highlight w:val="none"/>
                <w:vertAlign w:val="baseline"/>
                <w:lang w:val="en-US" w:eastAsia="zh-CN"/>
              </w:rPr>
              <w:t>20t</w:t>
            </w:r>
          </w:p>
        </w:tc>
        <w:tc>
          <w:tcPr>
            <w:tcW w:w="512" w:type="pct"/>
            <w:tcBorders>
              <w:tl2br w:val="nil"/>
              <w:tr2bl w:val="nil"/>
            </w:tcBorders>
            <w:vAlign w:val="center"/>
          </w:tcPr>
          <w:p w14:paraId="18A900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cs="Times New Roman"/>
                <w:b w:val="0"/>
                <w:bCs w:val="0"/>
                <w:caps w:val="0"/>
                <w:snapToGrid/>
                <w:color w:val="auto"/>
                <w:spacing w:val="0"/>
                <w:w w:val="100"/>
                <w:kern w:val="21"/>
                <w:position w:val="0"/>
                <w:sz w:val="21"/>
                <w:szCs w:val="21"/>
                <w:highlight w:val="none"/>
                <w:vertAlign w:val="baseline"/>
                <w:lang w:val="en-US" w:eastAsia="zh-CN"/>
              </w:rPr>
            </w:pPr>
            <w:r>
              <w:rPr>
                <w:rFonts w:hint="eastAsia" w:cs="Times New Roman"/>
                <w:b w:val="0"/>
                <w:bCs w:val="0"/>
                <w:caps w:val="0"/>
                <w:snapToGrid/>
                <w:color w:val="auto"/>
                <w:spacing w:val="0"/>
                <w:w w:val="100"/>
                <w:kern w:val="21"/>
                <w:position w:val="0"/>
                <w:sz w:val="21"/>
                <w:szCs w:val="21"/>
                <w:highlight w:val="none"/>
                <w:vertAlign w:val="baseline"/>
                <w:lang w:val="en-US" w:eastAsia="zh-CN"/>
              </w:rPr>
              <w:t>外购</w:t>
            </w:r>
          </w:p>
        </w:tc>
        <w:tc>
          <w:tcPr>
            <w:tcW w:w="512" w:type="pct"/>
            <w:tcBorders>
              <w:tl2br w:val="nil"/>
              <w:tr2bl w:val="nil"/>
            </w:tcBorders>
            <w:vAlign w:val="center"/>
          </w:tcPr>
          <w:p w14:paraId="77D37F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cs="Times New Roman"/>
                <w:b w:val="0"/>
                <w:bCs w:val="0"/>
                <w:caps w:val="0"/>
                <w:snapToGrid/>
                <w:color w:val="auto"/>
                <w:spacing w:val="0"/>
                <w:w w:val="100"/>
                <w:kern w:val="21"/>
                <w:position w:val="0"/>
                <w:sz w:val="21"/>
                <w:szCs w:val="21"/>
                <w:highlight w:val="none"/>
                <w:vertAlign w:val="baseline"/>
                <w:lang w:val="en-US" w:eastAsia="zh-CN"/>
              </w:rPr>
            </w:pPr>
            <w:r>
              <w:rPr>
                <w:rFonts w:hint="eastAsia" w:cs="Times New Roman"/>
                <w:b w:val="0"/>
                <w:bCs w:val="0"/>
                <w:caps w:val="0"/>
                <w:snapToGrid/>
                <w:color w:val="auto"/>
                <w:spacing w:val="0"/>
                <w:w w:val="100"/>
                <w:kern w:val="21"/>
                <w:position w:val="0"/>
                <w:sz w:val="21"/>
                <w:szCs w:val="21"/>
                <w:highlight w:val="none"/>
                <w:vertAlign w:val="baseline"/>
                <w:lang w:val="en-US" w:eastAsia="zh-CN"/>
              </w:rPr>
              <w:t>/</w:t>
            </w:r>
          </w:p>
        </w:tc>
      </w:tr>
      <w:tr w14:paraId="49DE6E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515" w:type="pct"/>
            <w:tcBorders>
              <w:tl2br w:val="nil"/>
              <w:tr2bl w:val="nil"/>
            </w:tcBorders>
            <w:vAlign w:val="center"/>
          </w:tcPr>
          <w:p w14:paraId="49A5F7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aps w:val="0"/>
                <w:snapToGrid/>
                <w:color w:val="auto"/>
                <w:spacing w:val="0"/>
                <w:w w:val="100"/>
                <w:kern w:val="21"/>
                <w:position w:val="0"/>
                <w:sz w:val="21"/>
                <w:szCs w:val="21"/>
                <w:highlight w:val="none"/>
                <w:vertAlign w:val="baseline"/>
                <w:lang w:val="en-US" w:eastAsia="zh-CN"/>
              </w:rPr>
            </w:pPr>
            <w:r>
              <w:rPr>
                <w:rFonts w:hint="eastAsia" w:cs="Times New Roman"/>
                <w:b w:val="0"/>
                <w:bCs w:val="0"/>
                <w:caps w:val="0"/>
                <w:snapToGrid/>
                <w:color w:val="auto"/>
                <w:spacing w:val="0"/>
                <w:w w:val="100"/>
                <w:kern w:val="21"/>
                <w:position w:val="0"/>
                <w:sz w:val="21"/>
                <w:szCs w:val="21"/>
                <w:highlight w:val="none"/>
                <w:vertAlign w:val="baseline"/>
                <w:lang w:val="en-US" w:eastAsia="zh-CN"/>
              </w:rPr>
              <w:t>钙粉</w:t>
            </w:r>
          </w:p>
        </w:tc>
        <w:tc>
          <w:tcPr>
            <w:tcW w:w="1341" w:type="pct"/>
            <w:tcBorders>
              <w:tl2br w:val="nil"/>
              <w:tr2bl w:val="nil"/>
            </w:tcBorders>
            <w:vAlign w:val="center"/>
          </w:tcPr>
          <w:p w14:paraId="27BDBE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aps w:val="0"/>
                <w:snapToGrid/>
                <w:color w:val="auto"/>
                <w:spacing w:val="0"/>
                <w:w w:val="100"/>
                <w:kern w:val="21"/>
                <w:position w:val="0"/>
                <w:sz w:val="21"/>
                <w:szCs w:val="21"/>
                <w:highlight w:val="none"/>
                <w:vertAlign w:val="baseline"/>
                <w:lang w:val="en-US" w:eastAsia="zh-CN"/>
              </w:rPr>
            </w:pPr>
            <w:r>
              <w:rPr>
                <w:rFonts w:hint="eastAsia" w:ascii="Times New Roman" w:hAnsi="Times New Roman" w:eastAsia="宋体" w:cs="Times New Roman"/>
                <w:b w:val="0"/>
                <w:bCs w:val="0"/>
                <w:caps w:val="0"/>
                <w:snapToGrid/>
                <w:color w:val="auto"/>
                <w:spacing w:val="0"/>
                <w:w w:val="100"/>
                <w:kern w:val="21"/>
                <w:position w:val="0"/>
                <w:sz w:val="21"/>
                <w:szCs w:val="21"/>
                <w:highlight w:val="none"/>
                <w:vertAlign w:val="baseline"/>
                <w:lang w:val="en-US" w:eastAsia="zh-CN"/>
              </w:rPr>
              <w:t>300</w:t>
            </w:r>
          </w:p>
        </w:tc>
        <w:tc>
          <w:tcPr>
            <w:tcW w:w="1117" w:type="pct"/>
            <w:tcBorders>
              <w:tl2br w:val="nil"/>
              <w:tr2bl w:val="nil"/>
            </w:tcBorders>
            <w:vAlign w:val="center"/>
          </w:tcPr>
          <w:p w14:paraId="7F616D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aps w:val="0"/>
                <w:snapToGrid/>
                <w:color w:val="auto"/>
                <w:spacing w:val="0"/>
                <w:w w:val="100"/>
                <w:kern w:val="21"/>
                <w:position w:val="0"/>
                <w:sz w:val="21"/>
                <w:szCs w:val="21"/>
                <w:highlight w:val="none"/>
                <w:vertAlign w:val="baseline"/>
                <w:lang w:val="en-US" w:eastAsia="zh-CN"/>
              </w:rPr>
            </w:pPr>
            <w:r>
              <w:rPr>
                <w:rFonts w:hint="eastAsia"/>
                <w:color w:val="auto"/>
                <w:spacing w:val="0"/>
                <w:w w:val="100"/>
                <w:position w:val="0"/>
                <w:sz w:val="21"/>
                <w:szCs w:val="21"/>
                <w:highlight w:val="none"/>
                <w:lang w:val="en-US" w:eastAsia="zh-CN"/>
              </w:rPr>
              <w:t>10t</w:t>
            </w:r>
          </w:p>
        </w:tc>
        <w:tc>
          <w:tcPr>
            <w:tcW w:w="512" w:type="pct"/>
            <w:tcBorders>
              <w:tl2br w:val="nil"/>
              <w:tr2bl w:val="nil"/>
            </w:tcBorders>
            <w:vAlign w:val="center"/>
          </w:tcPr>
          <w:p w14:paraId="6B91F4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color w:val="auto"/>
                <w:spacing w:val="0"/>
                <w:w w:val="100"/>
                <w:position w:val="0"/>
                <w:sz w:val="21"/>
                <w:szCs w:val="21"/>
                <w:highlight w:val="none"/>
                <w:lang w:val="en-US" w:eastAsia="zh-CN"/>
              </w:rPr>
            </w:pPr>
            <w:r>
              <w:rPr>
                <w:rFonts w:hint="eastAsia" w:cs="Times New Roman"/>
                <w:b w:val="0"/>
                <w:bCs w:val="0"/>
                <w:caps w:val="0"/>
                <w:snapToGrid/>
                <w:color w:val="auto"/>
                <w:spacing w:val="0"/>
                <w:w w:val="100"/>
                <w:kern w:val="21"/>
                <w:position w:val="0"/>
                <w:sz w:val="21"/>
                <w:szCs w:val="21"/>
                <w:highlight w:val="none"/>
                <w:vertAlign w:val="baseline"/>
                <w:lang w:val="en-US" w:eastAsia="zh-CN"/>
              </w:rPr>
              <w:t>外购</w:t>
            </w:r>
          </w:p>
        </w:tc>
        <w:tc>
          <w:tcPr>
            <w:tcW w:w="512" w:type="pct"/>
            <w:tcBorders>
              <w:tl2br w:val="nil"/>
              <w:tr2bl w:val="nil"/>
            </w:tcBorders>
            <w:vAlign w:val="center"/>
          </w:tcPr>
          <w:p w14:paraId="5A00F6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cs="Times New Roman"/>
                <w:b w:val="0"/>
                <w:bCs w:val="0"/>
                <w:caps w:val="0"/>
                <w:snapToGrid/>
                <w:color w:val="auto"/>
                <w:spacing w:val="0"/>
                <w:w w:val="100"/>
                <w:kern w:val="21"/>
                <w:position w:val="0"/>
                <w:sz w:val="21"/>
                <w:szCs w:val="21"/>
                <w:highlight w:val="none"/>
                <w:vertAlign w:val="baseline"/>
                <w:lang w:val="en-US" w:eastAsia="zh-CN"/>
              </w:rPr>
            </w:pPr>
            <w:r>
              <w:rPr>
                <w:rFonts w:hint="eastAsia" w:cs="Times New Roman"/>
                <w:b w:val="0"/>
                <w:bCs w:val="0"/>
                <w:caps w:val="0"/>
                <w:snapToGrid/>
                <w:color w:val="auto"/>
                <w:spacing w:val="0"/>
                <w:w w:val="100"/>
                <w:kern w:val="21"/>
                <w:position w:val="0"/>
                <w:sz w:val="21"/>
                <w:szCs w:val="21"/>
                <w:highlight w:val="none"/>
                <w:vertAlign w:val="baseline"/>
                <w:lang w:val="en-US" w:eastAsia="zh-CN"/>
              </w:rPr>
              <w:t>/</w:t>
            </w:r>
          </w:p>
        </w:tc>
      </w:tr>
      <w:tr w14:paraId="1588CC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515" w:type="pct"/>
            <w:tcBorders>
              <w:tl2br w:val="nil"/>
              <w:tr2bl w:val="nil"/>
            </w:tcBorders>
            <w:vAlign w:val="center"/>
          </w:tcPr>
          <w:p w14:paraId="5C1AC5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aps w:val="0"/>
                <w:snapToGrid/>
                <w:color w:val="auto"/>
                <w:spacing w:val="0"/>
                <w:w w:val="100"/>
                <w:kern w:val="21"/>
                <w:position w:val="0"/>
                <w:sz w:val="21"/>
                <w:szCs w:val="21"/>
                <w:highlight w:val="none"/>
                <w:vertAlign w:val="baseline"/>
                <w:lang w:val="en-US" w:eastAsia="zh-CN"/>
              </w:rPr>
            </w:pPr>
            <w:bookmarkStart w:id="207" w:name="OLE_LINK5"/>
            <w:r>
              <w:rPr>
                <w:rFonts w:hint="eastAsia" w:cs="Times New Roman"/>
                <w:b w:val="0"/>
                <w:bCs w:val="0"/>
                <w:caps w:val="0"/>
                <w:snapToGrid/>
                <w:color w:val="auto"/>
                <w:spacing w:val="0"/>
                <w:w w:val="100"/>
                <w:kern w:val="21"/>
                <w:position w:val="0"/>
                <w:sz w:val="21"/>
                <w:szCs w:val="21"/>
                <w:highlight w:val="none"/>
                <w:vertAlign w:val="baseline"/>
                <w:lang w:val="en-US" w:eastAsia="zh-CN"/>
              </w:rPr>
              <w:t>涂装铝卷</w:t>
            </w:r>
            <w:bookmarkEnd w:id="207"/>
          </w:p>
        </w:tc>
        <w:tc>
          <w:tcPr>
            <w:tcW w:w="1341" w:type="pct"/>
            <w:tcBorders>
              <w:tl2br w:val="nil"/>
              <w:tr2bl w:val="nil"/>
            </w:tcBorders>
            <w:vAlign w:val="center"/>
          </w:tcPr>
          <w:p w14:paraId="738386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aps w:val="0"/>
                <w:snapToGrid/>
                <w:color w:val="auto"/>
                <w:spacing w:val="0"/>
                <w:w w:val="100"/>
                <w:kern w:val="21"/>
                <w:position w:val="0"/>
                <w:sz w:val="21"/>
                <w:szCs w:val="21"/>
                <w:highlight w:val="none"/>
                <w:vertAlign w:val="baseline"/>
                <w:lang w:val="en-US" w:eastAsia="zh-CN"/>
              </w:rPr>
            </w:pPr>
            <w:r>
              <w:rPr>
                <w:rFonts w:hint="eastAsia" w:ascii="Times New Roman" w:hAnsi="Times New Roman" w:eastAsia="宋体" w:cs="Times New Roman"/>
                <w:b w:val="0"/>
                <w:bCs w:val="0"/>
                <w:caps w:val="0"/>
                <w:snapToGrid/>
                <w:color w:val="auto"/>
                <w:spacing w:val="0"/>
                <w:w w:val="100"/>
                <w:kern w:val="21"/>
                <w:position w:val="0"/>
                <w:sz w:val="21"/>
                <w:szCs w:val="21"/>
                <w:highlight w:val="none"/>
                <w:vertAlign w:val="baseline"/>
                <w:lang w:val="en-US" w:eastAsia="zh-CN"/>
              </w:rPr>
              <w:t>1988</w:t>
            </w:r>
          </w:p>
        </w:tc>
        <w:tc>
          <w:tcPr>
            <w:tcW w:w="1117" w:type="pct"/>
            <w:tcBorders>
              <w:tl2br w:val="nil"/>
              <w:tr2bl w:val="nil"/>
            </w:tcBorders>
            <w:vAlign w:val="center"/>
          </w:tcPr>
          <w:p w14:paraId="15A3F8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aps w:val="0"/>
                <w:snapToGrid/>
                <w:color w:val="auto"/>
                <w:spacing w:val="0"/>
                <w:w w:val="100"/>
                <w:kern w:val="21"/>
                <w:position w:val="0"/>
                <w:sz w:val="21"/>
                <w:szCs w:val="21"/>
                <w:highlight w:val="none"/>
                <w:vertAlign w:val="baseline"/>
                <w:lang w:val="en-US" w:eastAsia="zh-CN"/>
              </w:rPr>
            </w:pPr>
            <w:r>
              <w:rPr>
                <w:rFonts w:hint="eastAsia"/>
                <w:color w:val="auto"/>
                <w:spacing w:val="0"/>
                <w:w w:val="100"/>
                <w:position w:val="0"/>
                <w:sz w:val="21"/>
                <w:szCs w:val="21"/>
                <w:highlight w:val="none"/>
                <w:lang w:val="en-US" w:eastAsia="zh-CN"/>
              </w:rPr>
              <w:t>50t</w:t>
            </w:r>
          </w:p>
        </w:tc>
        <w:tc>
          <w:tcPr>
            <w:tcW w:w="512" w:type="pct"/>
            <w:tcBorders>
              <w:tl2br w:val="nil"/>
              <w:tr2bl w:val="nil"/>
            </w:tcBorders>
            <w:vAlign w:val="center"/>
          </w:tcPr>
          <w:p w14:paraId="4A3955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color w:val="auto"/>
                <w:spacing w:val="0"/>
                <w:w w:val="100"/>
                <w:position w:val="0"/>
                <w:sz w:val="21"/>
                <w:szCs w:val="21"/>
                <w:highlight w:val="none"/>
                <w:lang w:val="en-US" w:eastAsia="zh-CN"/>
              </w:rPr>
            </w:pPr>
            <w:r>
              <w:rPr>
                <w:rFonts w:hint="eastAsia" w:cs="Times New Roman"/>
                <w:b w:val="0"/>
                <w:bCs w:val="0"/>
                <w:caps w:val="0"/>
                <w:snapToGrid/>
                <w:color w:val="auto"/>
                <w:spacing w:val="0"/>
                <w:w w:val="100"/>
                <w:kern w:val="21"/>
                <w:position w:val="0"/>
                <w:sz w:val="21"/>
                <w:szCs w:val="21"/>
                <w:highlight w:val="none"/>
                <w:vertAlign w:val="baseline"/>
                <w:lang w:val="en-US" w:eastAsia="zh-CN"/>
              </w:rPr>
              <w:t>外购</w:t>
            </w:r>
          </w:p>
        </w:tc>
        <w:tc>
          <w:tcPr>
            <w:tcW w:w="512" w:type="pct"/>
            <w:tcBorders>
              <w:tl2br w:val="nil"/>
              <w:tr2bl w:val="nil"/>
            </w:tcBorders>
            <w:vAlign w:val="center"/>
          </w:tcPr>
          <w:p w14:paraId="240F7D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cs="Times New Roman"/>
                <w:b w:val="0"/>
                <w:bCs w:val="0"/>
                <w:caps w:val="0"/>
                <w:snapToGrid/>
                <w:color w:val="auto"/>
                <w:spacing w:val="0"/>
                <w:w w:val="100"/>
                <w:kern w:val="21"/>
                <w:position w:val="0"/>
                <w:sz w:val="21"/>
                <w:szCs w:val="21"/>
                <w:highlight w:val="none"/>
                <w:vertAlign w:val="baseline"/>
                <w:lang w:val="en-US" w:eastAsia="zh-CN"/>
              </w:rPr>
            </w:pPr>
            <w:r>
              <w:rPr>
                <w:rFonts w:hint="eastAsia" w:cs="Times New Roman"/>
                <w:b w:val="0"/>
                <w:bCs w:val="0"/>
                <w:caps w:val="0"/>
                <w:snapToGrid/>
                <w:color w:val="auto"/>
                <w:spacing w:val="0"/>
                <w:w w:val="100"/>
                <w:kern w:val="21"/>
                <w:position w:val="0"/>
                <w:sz w:val="21"/>
                <w:szCs w:val="21"/>
                <w:highlight w:val="none"/>
                <w:vertAlign w:val="baseline"/>
                <w:lang w:val="en-US" w:eastAsia="zh-CN"/>
              </w:rPr>
              <w:t>/</w:t>
            </w:r>
          </w:p>
        </w:tc>
      </w:tr>
      <w:tr w14:paraId="13D15F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515" w:type="pct"/>
            <w:tcBorders>
              <w:tl2br w:val="nil"/>
              <w:tr2bl w:val="nil"/>
            </w:tcBorders>
            <w:vAlign w:val="center"/>
          </w:tcPr>
          <w:p w14:paraId="6748CD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cs="Times New Roman"/>
                <w:b w:val="0"/>
                <w:bCs w:val="0"/>
                <w:caps w:val="0"/>
                <w:snapToGrid/>
                <w:color w:val="auto"/>
                <w:spacing w:val="0"/>
                <w:w w:val="100"/>
                <w:kern w:val="21"/>
                <w:position w:val="0"/>
                <w:sz w:val="21"/>
                <w:szCs w:val="21"/>
                <w:highlight w:val="none"/>
                <w:vertAlign w:val="baseline"/>
                <w:lang w:val="en-US" w:eastAsia="zh-CN"/>
              </w:rPr>
            </w:pPr>
            <w:r>
              <w:rPr>
                <w:rFonts w:hint="eastAsia" w:cs="Times New Roman"/>
                <w:b w:val="0"/>
                <w:bCs w:val="0"/>
                <w:caps w:val="0"/>
                <w:snapToGrid/>
                <w:color w:val="auto"/>
                <w:spacing w:val="0"/>
                <w:w w:val="100"/>
                <w:kern w:val="21"/>
                <w:position w:val="0"/>
                <w:sz w:val="21"/>
                <w:szCs w:val="21"/>
                <w:highlight w:val="none"/>
                <w:vertAlign w:val="baseline"/>
                <w:lang w:val="en-US" w:eastAsia="zh-CN"/>
              </w:rPr>
              <w:t>高分子粘贴膜</w:t>
            </w:r>
          </w:p>
        </w:tc>
        <w:tc>
          <w:tcPr>
            <w:tcW w:w="1341" w:type="pct"/>
            <w:tcBorders>
              <w:tl2br w:val="nil"/>
              <w:tr2bl w:val="nil"/>
            </w:tcBorders>
            <w:vAlign w:val="center"/>
          </w:tcPr>
          <w:p w14:paraId="0635F8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cs="Times New Roman"/>
                <w:b w:val="0"/>
                <w:bCs w:val="0"/>
                <w:caps w:val="0"/>
                <w:snapToGrid/>
                <w:color w:val="auto"/>
                <w:spacing w:val="0"/>
                <w:w w:val="100"/>
                <w:kern w:val="21"/>
                <w:position w:val="0"/>
                <w:sz w:val="21"/>
                <w:szCs w:val="21"/>
                <w:highlight w:val="none"/>
                <w:vertAlign w:val="baseline"/>
                <w:lang w:val="en-US" w:eastAsia="zh-CN"/>
              </w:rPr>
            </w:pPr>
            <w:r>
              <w:rPr>
                <w:rFonts w:hint="eastAsia" w:cs="Times New Roman"/>
                <w:b w:val="0"/>
                <w:bCs w:val="0"/>
                <w:caps w:val="0"/>
                <w:snapToGrid/>
                <w:color w:val="auto"/>
                <w:spacing w:val="0"/>
                <w:w w:val="100"/>
                <w:kern w:val="21"/>
                <w:position w:val="0"/>
                <w:sz w:val="21"/>
                <w:szCs w:val="21"/>
                <w:highlight w:val="none"/>
                <w:vertAlign w:val="baseline"/>
                <w:lang w:val="en-US" w:eastAsia="zh-CN"/>
              </w:rPr>
              <w:t>121万</w:t>
            </w:r>
            <w:r>
              <w:rPr>
                <w:rFonts w:hint="eastAsia" w:ascii="Times New Roman" w:hAnsi="Times New Roman" w:eastAsia="宋体" w:cs="Times New Roman"/>
                <w:b w:val="0"/>
                <w:bCs w:val="0"/>
                <w:snapToGrid/>
                <w:color w:val="auto"/>
                <w:spacing w:val="0"/>
                <w:w w:val="100"/>
                <w:kern w:val="21"/>
                <w:position w:val="0"/>
                <w:sz w:val="21"/>
                <w:szCs w:val="21"/>
                <w:highlight w:val="none"/>
                <w:vertAlign w:val="baseline"/>
                <w:lang w:val="en-US" w:eastAsia="zh-CN"/>
              </w:rPr>
              <w:t>m</w:t>
            </w:r>
            <w:r>
              <w:rPr>
                <w:rFonts w:hint="eastAsia" w:ascii="Times New Roman" w:hAnsi="Times New Roman" w:eastAsia="宋体" w:cs="Times New Roman"/>
                <w:b w:val="0"/>
                <w:bCs w:val="0"/>
                <w:snapToGrid/>
                <w:color w:val="auto"/>
                <w:spacing w:val="0"/>
                <w:w w:val="100"/>
                <w:kern w:val="21"/>
                <w:position w:val="0"/>
                <w:sz w:val="21"/>
                <w:szCs w:val="21"/>
                <w:highlight w:val="none"/>
                <w:vertAlign w:val="superscript"/>
                <w:lang w:val="en-US" w:eastAsia="zh-CN"/>
              </w:rPr>
              <w:t>2</w:t>
            </w:r>
            <w:r>
              <w:rPr>
                <w:rFonts w:hint="eastAsia" w:ascii="Times New Roman" w:hAnsi="Times New Roman" w:eastAsia="宋体" w:cs="Times New Roman"/>
                <w:b w:val="0"/>
                <w:bCs w:val="0"/>
                <w:caps w:val="0"/>
                <w:snapToGrid/>
                <w:color w:val="auto"/>
                <w:spacing w:val="0"/>
                <w:w w:val="100"/>
                <w:kern w:val="21"/>
                <w:position w:val="0"/>
                <w:sz w:val="21"/>
                <w:szCs w:val="21"/>
                <w:highlight w:val="none"/>
                <w:vertAlign w:val="baseline"/>
                <w:lang w:val="en-US" w:eastAsia="zh-CN"/>
              </w:rPr>
              <w:t>/a（约97t）</w:t>
            </w:r>
          </w:p>
        </w:tc>
        <w:tc>
          <w:tcPr>
            <w:tcW w:w="1117" w:type="pct"/>
            <w:tcBorders>
              <w:tl2br w:val="nil"/>
              <w:tr2bl w:val="nil"/>
            </w:tcBorders>
            <w:vAlign w:val="center"/>
          </w:tcPr>
          <w:p w14:paraId="431604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eastAsia="宋体"/>
                <w:color w:val="auto"/>
                <w:spacing w:val="0"/>
                <w:w w:val="100"/>
                <w:position w:val="0"/>
                <w:sz w:val="21"/>
                <w:szCs w:val="21"/>
                <w:highlight w:val="none"/>
                <w:lang w:val="en-US" w:eastAsia="zh-CN"/>
              </w:rPr>
            </w:pPr>
            <w:r>
              <w:rPr>
                <w:rFonts w:hint="eastAsia"/>
                <w:color w:val="auto"/>
                <w:spacing w:val="0"/>
                <w:w w:val="100"/>
                <w:position w:val="0"/>
                <w:sz w:val="21"/>
                <w:szCs w:val="21"/>
                <w:highlight w:val="none"/>
                <w:lang w:val="en-US" w:eastAsia="zh-CN"/>
              </w:rPr>
              <w:t>30</w:t>
            </w:r>
            <w:r>
              <w:rPr>
                <w:rFonts w:hint="eastAsia" w:ascii="Times New Roman" w:hAnsi="Times New Roman" w:eastAsia="宋体" w:cs="Times New Roman"/>
                <w:b w:val="0"/>
                <w:bCs w:val="0"/>
                <w:snapToGrid/>
                <w:color w:val="auto"/>
                <w:spacing w:val="0"/>
                <w:w w:val="100"/>
                <w:kern w:val="21"/>
                <w:position w:val="0"/>
                <w:sz w:val="21"/>
                <w:szCs w:val="21"/>
                <w:highlight w:val="none"/>
                <w:vertAlign w:val="baseline"/>
                <w:lang w:val="en-US" w:eastAsia="zh-CN"/>
              </w:rPr>
              <w:t>万m</w:t>
            </w:r>
            <w:r>
              <w:rPr>
                <w:rFonts w:hint="eastAsia" w:ascii="Times New Roman" w:hAnsi="Times New Roman" w:eastAsia="宋体" w:cs="Times New Roman"/>
                <w:b w:val="0"/>
                <w:bCs w:val="0"/>
                <w:snapToGrid/>
                <w:color w:val="auto"/>
                <w:spacing w:val="0"/>
                <w:w w:val="100"/>
                <w:kern w:val="21"/>
                <w:position w:val="0"/>
                <w:sz w:val="21"/>
                <w:szCs w:val="21"/>
                <w:highlight w:val="none"/>
                <w:vertAlign w:val="superscript"/>
                <w:lang w:val="en-US" w:eastAsia="zh-CN"/>
              </w:rPr>
              <w:t>2</w:t>
            </w:r>
            <w:r>
              <w:rPr>
                <w:rFonts w:hint="eastAsia" w:ascii="Times New Roman" w:hAnsi="Times New Roman" w:eastAsia="宋体" w:cs="Times New Roman"/>
                <w:b w:val="0"/>
                <w:bCs w:val="0"/>
                <w:caps w:val="0"/>
                <w:snapToGrid/>
                <w:color w:val="auto"/>
                <w:spacing w:val="0"/>
                <w:w w:val="100"/>
                <w:kern w:val="21"/>
                <w:position w:val="0"/>
                <w:sz w:val="21"/>
                <w:szCs w:val="21"/>
                <w:highlight w:val="none"/>
                <w:vertAlign w:val="baseline"/>
                <w:lang w:val="en-US" w:eastAsia="zh-CN"/>
              </w:rPr>
              <w:t>/a</w:t>
            </w:r>
          </w:p>
        </w:tc>
        <w:tc>
          <w:tcPr>
            <w:tcW w:w="512" w:type="pct"/>
            <w:tcBorders>
              <w:tl2br w:val="nil"/>
              <w:tr2bl w:val="nil"/>
            </w:tcBorders>
            <w:vAlign w:val="center"/>
          </w:tcPr>
          <w:p w14:paraId="0AB763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color w:val="auto"/>
                <w:spacing w:val="0"/>
                <w:w w:val="100"/>
                <w:position w:val="0"/>
                <w:sz w:val="21"/>
                <w:szCs w:val="21"/>
                <w:highlight w:val="none"/>
                <w:lang w:val="en-US" w:eastAsia="zh-CN"/>
              </w:rPr>
            </w:pPr>
            <w:r>
              <w:rPr>
                <w:rFonts w:hint="eastAsia" w:cs="Times New Roman"/>
                <w:b w:val="0"/>
                <w:bCs w:val="0"/>
                <w:caps w:val="0"/>
                <w:snapToGrid/>
                <w:color w:val="auto"/>
                <w:spacing w:val="0"/>
                <w:w w:val="100"/>
                <w:kern w:val="21"/>
                <w:position w:val="0"/>
                <w:sz w:val="21"/>
                <w:szCs w:val="21"/>
                <w:highlight w:val="none"/>
                <w:vertAlign w:val="baseline"/>
                <w:lang w:val="en-US" w:eastAsia="zh-CN"/>
              </w:rPr>
              <w:t>外购</w:t>
            </w:r>
          </w:p>
        </w:tc>
        <w:tc>
          <w:tcPr>
            <w:tcW w:w="512" w:type="pct"/>
            <w:tcBorders>
              <w:tl2br w:val="nil"/>
              <w:tr2bl w:val="nil"/>
            </w:tcBorders>
            <w:vAlign w:val="center"/>
          </w:tcPr>
          <w:p w14:paraId="5755C7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cs="Times New Roman"/>
                <w:b w:val="0"/>
                <w:bCs w:val="0"/>
                <w:caps w:val="0"/>
                <w:snapToGrid/>
                <w:color w:val="auto"/>
                <w:spacing w:val="0"/>
                <w:w w:val="100"/>
                <w:kern w:val="21"/>
                <w:position w:val="0"/>
                <w:sz w:val="21"/>
                <w:szCs w:val="21"/>
                <w:highlight w:val="none"/>
                <w:vertAlign w:val="baseline"/>
                <w:lang w:val="en-US" w:eastAsia="zh-CN"/>
              </w:rPr>
            </w:pPr>
            <w:r>
              <w:rPr>
                <w:rFonts w:hint="eastAsia" w:cs="Times New Roman"/>
                <w:b w:val="0"/>
                <w:bCs w:val="0"/>
                <w:caps w:val="0"/>
                <w:snapToGrid/>
                <w:color w:val="auto"/>
                <w:spacing w:val="0"/>
                <w:w w:val="100"/>
                <w:kern w:val="21"/>
                <w:position w:val="0"/>
                <w:sz w:val="21"/>
                <w:szCs w:val="21"/>
                <w:highlight w:val="none"/>
                <w:vertAlign w:val="baseline"/>
                <w:lang w:val="en-US" w:eastAsia="zh-CN"/>
              </w:rPr>
              <w:t>不含胶</w:t>
            </w:r>
          </w:p>
        </w:tc>
      </w:tr>
      <w:tr w14:paraId="17728B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515" w:type="pct"/>
            <w:tcBorders>
              <w:tl2br w:val="nil"/>
              <w:tr2bl w:val="nil"/>
            </w:tcBorders>
            <w:vAlign w:val="center"/>
          </w:tcPr>
          <w:p w14:paraId="2DF5DB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cs="Times New Roman"/>
                <w:b w:val="0"/>
                <w:bCs w:val="0"/>
                <w:caps w:val="0"/>
                <w:snapToGrid/>
                <w:color w:val="auto"/>
                <w:spacing w:val="0"/>
                <w:w w:val="100"/>
                <w:kern w:val="21"/>
                <w:position w:val="0"/>
                <w:sz w:val="21"/>
                <w:szCs w:val="21"/>
                <w:highlight w:val="none"/>
                <w:vertAlign w:val="baseline"/>
                <w:lang w:val="en-US" w:eastAsia="zh-CN"/>
              </w:rPr>
            </w:pPr>
            <w:r>
              <w:rPr>
                <w:rFonts w:hint="eastAsia" w:cs="Times New Roman"/>
                <w:b w:val="0"/>
                <w:bCs w:val="0"/>
                <w:caps w:val="0"/>
                <w:snapToGrid/>
                <w:color w:val="auto"/>
                <w:spacing w:val="0"/>
                <w:w w:val="100"/>
                <w:kern w:val="21"/>
                <w:position w:val="0"/>
                <w:sz w:val="21"/>
                <w:szCs w:val="21"/>
                <w:highlight w:val="none"/>
                <w:vertAlign w:val="baseline"/>
                <w:lang w:val="en-US" w:eastAsia="zh-CN"/>
              </w:rPr>
              <w:t>保护膜</w:t>
            </w:r>
          </w:p>
        </w:tc>
        <w:tc>
          <w:tcPr>
            <w:tcW w:w="1341" w:type="pct"/>
            <w:tcBorders>
              <w:tl2br w:val="nil"/>
              <w:tr2bl w:val="nil"/>
            </w:tcBorders>
            <w:vAlign w:val="center"/>
          </w:tcPr>
          <w:p w14:paraId="00B78E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cs="Times New Roman"/>
                <w:b w:val="0"/>
                <w:bCs w:val="0"/>
                <w:caps w:val="0"/>
                <w:snapToGrid/>
                <w:color w:val="auto"/>
                <w:spacing w:val="0"/>
                <w:w w:val="100"/>
                <w:kern w:val="21"/>
                <w:position w:val="0"/>
                <w:sz w:val="21"/>
                <w:szCs w:val="21"/>
                <w:highlight w:val="none"/>
                <w:vertAlign w:val="baseline"/>
                <w:lang w:val="en-US" w:eastAsia="zh-CN"/>
              </w:rPr>
            </w:pPr>
            <w:r>
              <w:rPr>
                <w:rFonts w:hint="eastAsia" w:cs="Times New Roman"/>
                <w:b w:val="0"/>
                <w:bCs w:val="0"/>
                <w:caps w:val="0"/>
                <w:snapToGrid/>
                <w:color w:val="auto"/>
                <w:spacing w:val="0"/>
                <w:w w:val="100"/>
                <w:kern w:val="21"/>
                <w:position w:val="0"/>
                <w:sz w:val="21"/>
                <w:szCs w:val="21"/>
                <w:highlight w:val="none"/>
                <w:vertAlign w:val="baseline"/>
                <w:lang w:val="en-US" w:eastAsia="zh-CN"/>
              </w:rPr>
              <w:t>121</w:t>
            </w:r>
            <w:r>
              <w:rPr>
                <w:rFonts w:hint="eastAsia" w:ascii="Times New Roman" w:hAnsi="Times New Roman" w:eastAsia="宋体" w:cs="Times New Roman"/>
                <w:b w:val="0"/>
                <w:bCs w:val="0"/>
                <w:snapToGrid/>
                <w:color w:val="auto"/>
                <w:spacing w:val="0"/>
                <w:w w:val="100"/>
                <w:kern w:val="21"/>
                <w:position w:val="0"/>
                <w:sz w:val="21"/>
                <w:szCs w:val="21"/>
                <w:highlight w:val="none"/>
                <w:vertAlign w:val="baseline"/>
                <w:lang w:val="en-US" w:eastAsia="zh-CN"/>
              </w:rPr>
              <w:t>万m</w:t>
            </w:r>
            <w:r>
              <w:rPr>
                <w:rFonts w:hint="eastAsia" w:ascii="Times New Roman" w:hAnsi="Times New Roman" w:eastAsia="宋体" w:cs="Times New Roman"/>
                <w:b w:val="0"/>
                <w:bCs w:val="0"/>
                <w:snapToGrid/>
                <w:color w:val="auto"/>
                <w:spacing w:val="0"/>
                <w:w w:val="100"/>
                <w:kern w:val="21"/>
                <w:position w:val="0"/>
                <w:sz w:val="21"/>
                <w:szCs w:val="21"/>
                <w:highlight w:val="none"/>
                <w:vertAlign w:val="superscript"/>
                <w:lang w:val="en-US" w:eastAsia="zh-CN"/>
              </w:rPr>
              <w:t>2</w:t>
            </w:r>
            <w:r>
              <w:rPr>
                <w:rFonts w:hint="eastAsia" w:ascii="Times New Roman" w:hAnsi="Times New Roman" w:eastAsia="宋体" w:cs="Times New Roman"/>
                <w:b w:val="0"/>
                <w:bCs w:val="0"/>
                <w:caps w:val="0"/>
                <w:snapToGrid/>
                <w:color w:val="auto"/>
                <w:spacing w:val="0"/>
                <w:w w:val="100"/>
                <w:kern w:val="21"/>
                <w:position w:val="0"/>
                <w:sz w:val="21"/>
                <w:szCs w:val="21"/>
                <w:highlight w:val="none"/>
                <w:vertAlign w:val="baseline"/>
                <w:lang w:val="en-US" w:eastAsia="zh-CN"/>
              </w:rPr>
              <w:t>/a</w:t>
            </w:r>
            <w:r>
              <w:rPr>
                <w:rFonts w:hint="eastAsia" w:cs="Times New Roman"/>
                <w:b w:val="0"/>
                <w:bCs w:val="0"/>
                <w:caps w:val="0"/>
                <w:snapToGrid/>
                <w:color w:val="auto"/>
                <w:spacing w:val="0"/>
                <w:w w:val="100"/>
                <w:kern w:val="21"/>
                <w:position w:val="0"/>
                <w:sz w:val="21"/>
                <w:szCs w:val="21"/>
                <w:highlight w:val="none"/>
                <w:vertAlign w:val="baseline"/>
                <w:lang w:val="en-US" w:eastAsia="zh-CN"/>
              </w:rPr>
              <w:t>（约85t）</w:t>
            </w:r>
          </w:p>
        </w:tc>
        <w:tc>
          <w:tcPr>
            <w:tcW w:w="1117" w:type="pct"/>
            <w:tcBorders>
              <w:tl2br w:val="nil"/>
              <w:tr2bl w:val="nil"/>
            </w:tcBorders>
            <w:vAlign w:val="center"/>
          </w:tcPr>
          <w:p w14:paraId="3F6F47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eastAsia="宋体"/>
                <w:color w:val="auto"/>
                <w:spacing w:val="0"/>
                <w:w w:val="100"/>
                <w:position w:val="0"/>
                <w:sz w:val="21"/>
                <w:szCs w:val="21"/>
                <w:highlight w:val="none"/>
                <w:lang w:val="en-US" w:eastAsia="zh-CN"/>
              </w:rPr>
            </w:pPr>
            <w:r>
              <w:rPr>
                <w:rFonts w:hint="eastAsia"/>
                <w:color w:val="auto"/>
                <w:spacing w:val="0"/>
                <w:w w:val="100"/>
                <w:position w:val="0"/>
                <w:sz w:val="21"/>
                <w:szCs w:val="21"/>
                <w:highlight w:val="none"/>
                <w:lang w:val="en-US" w:eastAsia="zh-CN"/>
              </w:rPr>
              <w:t>30</w:t>
            </w:r>
            <w:r>
              <w:rPr>
                <w:rFonts w:hint="eastAsia" w:ascii="Times New Roman" w:hAnsi="Times New Roman" w:eastAsia="宋体" w:cs="Times New Roman"/>
                <w:b w:val="0"/>
                <w:bCs w:val="0"/>
                <w:snapToGrid/>
                <w:color w:val="auto"/>
                <w:spacing w:val="0"/>
                <w:w w:val="100"/>
                <w:kern w:val="21"/>
                <w:position w:val="0"/>
                <w:sz w:val="21"/>
                <w:szCs w:val="21"/>
                <w:highlight w:val="none"/>
                <w:vertAlign w:val="baseline"/>
                <w:lang w:val="en-US" w:eastAsia="zh-CN"/>
              </w:rPr>
              <w:t>万m</w:t>
            </w:r>
            <w:r>
              <w:rPr>
                <w:rFonts w:hint="eastAsia" w:ascii="Times New Roman" w:hAnsi="Times New Roman" w:eastAsia="宋体" w:cs="Times New Roman"/>
                <w:b w:val="0"/>
                <w:bCs w:val="0"/>
                <w:snapToGrid/>
                <w:color w:val="auto"/>
                <w:spacing w:val="0"/>
                <w:w w:val="100"/>
                <w:kern w:val="21"/>
                <w:position w:val="0"/>
                <w:sz w:val="21"/>
                <w:szCs w:val="21"/>
                <w:highlight w:val="none"/>
                <w:vertAlign w:val="superscript"/>
                <w:lang w:val="en-US" w:eastAsia="zh-CN"/>
              </w:rPr>
              <w:t>2</w:t>
            </w:r>
            <w:r>
              <w:rPr>
                <w:rFonts w:hint="eastAsia" w:ascii="Times New Roman" w:hAnsi="Times New Roman" w:eastAsia="宋体" w:cs="Times New Roman"/>
                <w:b w:val="0"/>
                <w:bCs w:val="0"/>
                <w:caps w:val="0"/>
                <w:snapToGrid/>
                <w:color w:val="auto"/>
                <w:spacing w:val="0"/>
                <w:w w:val="100"/>
                <w:kern w:val="21"/>
                <w:position w:val="0"/>
                <w:sz w:val="21"/>
                <w:szCs w:val="21"/>
                <w:highlight w:val="none"/>
                <w:vertAlign w:val="baseline"/>
                <w:lang w:val="en-US" w:eastAsia="zh-CN"/>
              </w:rPr>
              <w:t>/a</w:t>
            </w:r>
          </w:p>
        </w:tc>
        <w:tc>
          <w:tcPr>
            <w:tcW w:w="512" w:type="pct"/>
            <w:tcBorders>
              <w:tl2br w:val="nil"/>
              <w:tr2bl w:val="nil"/>
            </w:tcBorders>
            <w:vAlign w:val="center"/>
          </w:tcPr>
          <w:p w14:paraId="1B7CAA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color w:val="auto"/>
                <w:spacing w:val="0"/>
                <w:w w:val="100"/>
                <w:position w:val="0"/>
                <w:sz w:val="21"/>
                <w:szCs w:val="21"/>
                <w:highlight w:val="none"/>
                <w:lang w:val="en-US" w:eastAsia="zh-CN"/>
              </w:rPr>
            </w:pPr>
            <w:r>
              <w:rPr>
                <w:rFonts w:hint="eastAsia" w:cs="Times New Roman"/>
                <w:b w:val="0"/>
                <w:bCs w:val="0"/>
                <w:caps w:val="0"/>
                <w:snapToGrid/>
                <w:color w:val="auto"/>
                <w:spacing w:val="0"/>
                <w:w w:val="100"/>
                <w:kern w:val="21"/>
                <w:position w:val="0"/>
                <w:sz w:val="21"/>
                <w:szCs w:val="21"/>
                <w:highlight w:val="none"/>
                <w:vertAlign w:val="baseline"/>
                <w:lang w:val="en-US" w:eastAsia="zh-CN"/>
              </w:rPr>
              <w:t>外购</w:t>
            </w:r>
          </w:p>
        </w:tc>
        <w:tc>
          <w:tcPr>
            <w:tcW w:w="512" w:type="pct"/>
            <w:tcBorders>
              <w:tl2br w:val="nil"/>
              <w:tr2bl w:val="nil"/>
            </w:tcBorders>
            <w:vAlign w:val="center"/>
          </w:tcPr>
          <w:p w14:paraId="12369D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cs="Times New Roman"/>
                <w:b w:val="0"/>
                <w:bCs w:val="0"/>
                <w:caps w:val="0"/>
                <w:snapToGrid/>
                <w:color w:val="auto"/>
                <w:spacing w:val="0"/>
                <w:w w:val="100"/>
                <w:kern w:val="21"/>
                <w:position w:val="0"/>
                <w:sz w:val="21"/>
                <w:szCs w:val="21"/>
                <w:highlight w:val="none"/>
                <w:vertAlign w:val="baseline"/>
                <w:lang w:val="en-US" w:eastAsia="zh-CN"/>
              </w:rPr>
            </w:pPr>
            <w:r>
              <w:rPr>
                <w:rFonts w:hint="eastAsia" w:cs="Times New Roman"/>
                <w:b w:val="0"/>
                <w:bCs w:val="0"/>
                <w:caps w:val="0"/>
                <w:snapToGrid/>
                <w:color w:val="auto"/>
                <w:spacing w:val="0"/>
                <w:w w:val="100"/>
                <w:kern w:val="21"/>
                <w:position w:val="0"/>
                <w:sz w:val="21"/>
                <w:szCs w:val="21"/>
                <w:highlight w:val="none"/>
                <w:vertAlign w:val="baseline"/>
                <w:lang w:val="en-US" w:eastAsia="zh-CN"/>
              </w:rPr>
              <w:t>自带背胶（压敏胶）</w:t>
            </w:r>
          </w:p>
        </w:tc>
      </w:tr>
    </w:tbl>
    <w:p w14:paraId="03B8E0E9">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jc w:val="left"/>
        <w:outlineLvl w:val="9"/>
        <w:rPr>
          <w:rFonts w:hint="eastAsia" w:ascii="Times New Roman" w:hAnsi="Times New Roman" w:eastAsia="宋体" w:cs="Times New Roman"/>
          <w:caps w:val="0"/>
          <w:snapToGrid/>
          <w:color w:val="auto"/>
          <w:spacing w:val="0"/>
          <w:w w:val="100"/>
          <w:kern w:val="21"/>
          <w:position w:val="0"/>
          <w:sz w:val="24"/>
          <w:szCs w:val="24"/>
          <w:highlight w:val="none"/>
          <w:lang w:val="en-US" w:eastAsia="zh-CN"/>
        </w:rPr>
      </w:pPr>
      <w:r>
        <w:rPr>
          <w:rFonts w:hint="eastAsia" w:ascii="Times New Roman" w:hAnsi="Times New Roman" w:eastAsia="宋体" w:cs="Times New Roman"/>
          <w:caps w:val="0"/>
          <w:snapToGrid/>
          <w:color w:val="auto"/>
          <w:spacing w:val="0"/>
          <w:w w:val="100"/>
          <w:kern w:val="21"/>
          <w:position w:val="0"/>
          <w:sz w:val="24"/>
          <w:szCs w:val="24"/>
          <w:highlight w:val="none"/>
          <w:lang w:val="en-US" w:eastAsia="zh-CN"/>
        </w:rPr>
        <w:t>本项目能源消耗建表3.1.3-2。</w:t>
      </w:r>
    </w:p>
    <w:p w14:paraId="6A02F197">
      <w:pPr>
        <w:keepNext w:val="0"/>
        <w:keepLines w:val="0"/>
        <w:pageBreakBefore w:val="0"/>
        <w:widowControl w:val="0"/>
        <w:tabs>
          <w:tab w:val="left" w:pos="1021"/>
        </w:tabs>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表3.</w:t>
      </w:r>
      <w:r>
        <w:rPr>
          <w:rFonts w:hint="eastAsia" w:ascii="Times New Roman" w:hAnsi="Times New Roman" w:eastAsia="宋体" w:cs="Times New Roman"/>
          <w:b/>
          <w:bCs/>
          <w:caps w:val="0"/>
          <w:snapToGrid/>
          <w:color w:val="auto"/>
          <w:spacing w:val="0"/>
          <w:w w:val="100"/>
          <w:kern w:val="21"/>
          <w:position w:val="0"/>
          <w:sz w:val="21"/>
          <w:szCs w:val="21"/>
          <w:highlight w:val="none"/>
          <w:lang w:val="en-US" w:eastAsia="zh-CN"/>
        </w:rPr>
        <w:t>1</w:t>
      </w:r>
      <w:r>
        <w:rPr>
          <w:rFonts w:hint="eastAsia" w:cs="Times New Roman"/>
          <w:b/>
          <w:bCs/>
          <w:caps w:val="0"/>
          <w:snapToGrid/>
          <w:color w:val="auto"/>
          <w:spacing w:val="0"/>
          <w:w w:val="100"/>
          <w:kern w:val="21"/>
          <w:position w:val="0"/>
          <w:sz w:val="21"/>
          <w:szCs w:val="21"/>
          <w:highlight w:val="none"/>
          <w:lang w:val="en-US" w:eastAsia="zh-CN"/>
        </w:rPr>
        <w:t>.3-2</w:t>
      </w:r>
      <w:r>
        <w:rPr>
          <w:rFonts w:hint="default" w:ascii="Times New Roman" w:hAnsi="Times New Roman" w:eastAsia="宋体" w:cs="Times New Roman"/>
          <w:b/>
          <w:bCs/>
          <w:caps w:val="0"/>
          <w:snapToGrid/>
          <w:color w:val="auto"/>
          <w:spacing w:val="0"/>
          <w:w w:val="100"/>
          <w:kern w:val="21"/>
          <w:position w:val="0"/>
          <w:sz w:val="21"/>
          <w:szCs w:val="21"/>
          <w:highlight w:val="none"/>
        </w:rPr>
        <w:t xml:space="preserve">  </w:t>
      </w:r>
      <w:r>
        <w:rPr>
          <w:rFonts w:hint="eastAsia" w:ascii="Times New Roman" w:hAnsi="Times New Roman" w:eastAsia="宋体" w:cs="Times New Roman"/>
          <w:b/>
          <w:bCs/>
          <w:caps w:val="0"/>
          <w:snapToGrid/>
          <w:color w:val="auto"/>
          <w:spacing w:val="0"/>
          <w:w w:val="100"/>
          <w:kern w:val="21"/>
          <w:position w:val="0"/>
          <w:sz w:val="21"/>
          <w:szCs w:val="21"/>
          <w:highlight w:val="none"/>
          <w:lang w:val="en-US" w:eastAsia="zh-CN"/>
        </w:rPr>
        <w:t xml:space="preserve"> </w:t>
      </w:r>
      <w:r>
        <w:rPr>
          <w:rFonts w:hint="eastAsia"/>
          <w:b/>
          <w:bCs/>
          <w:color w:val="auto"/>
          <w:spacing w:val="0"/>
          <w:w w:val="100"/>
          <w:position w:val="0"/>
          <w:sz w:val="21"/>
          <w:szCs w:val="21"/>
          <w:highlight w:val="none"/>
          <w:lang w:val="en-US" w:eastAsia="zh-CN"/>
        </w:rPr>
        <w:t>能源消耗</w:t>
      </w:r>
      <w:r>
        <w:rPr>
          <w:rFonts w:hint="default" w:ascii="Times New Roman" w:hAnsi="Times New Roman" w:eastAsia="宋体" w:cs="Times New Roman"/>
          <w:b/>
          <w:bCs/>
          <w:caps w:val="0"/>
          <w:snapToGrid/>
          <w:color w:val="auto"/>
          <w:spacing w:val="0"/>
          <w:w w:val="100"/>
          <w:kern w:val="21"/>
          <w:position w:val="0"/>
          <w:sz w:val="21"/>
          <w:szCs w:val="21"/>
          <w:highlight w:val="none"/>
        </w:rPr>
        <w:t>一览表</w:t>
      </w:r>
    </w:p>
    <w:tbl>
      <w:tblPr>
        <w:tblStyle w:val="26"/>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1704"/>
        <w:gridCol w:w="1709"/>
        <w:gridCol w:w="2383"/>
        <w:gridCol w:w="2621"/>
      </w:tblGrid>
      <w:tr w14:paraId="1027CE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012" w:type="pct"/>
            <w:tcBorders>
              <w:tl2br w:val="nil"/>
              <w:tr2bl w:val="nil"/>
            </w:tcBorders>
            <w:vAlign w:val="center"/>
          </w:tcPr>
          <w:p w14:paraId="2762F8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vertAlign w:val="baseline"/>
                <w:lang w:val="en-US" w:eastAsia="zh-CN"/>
              </w:rPr>
            </w:pPr>
            <w:r>
              <w:rPr>
                <w:rFonts w:hint="default" w:ascii="Times New Roman" w:hAnsi="Times New Roman" w:eastAsia="宋体" w:cs="Times New Roman"/>
                <w:b/>
                <w:bCs/>
                <w:caps w:val="0"/>
                <w:snapToGrid/>
                <w:color w:val="auto"/>
                <w:spacing w:val="0"/>
                <w:w w:val="100"/>
                <w:kern w:val="21"/>
                <w:position w:val="0"/>
                <w:sz w:val="21"/>
                <w:szCs w:val="21"/>
                <w:highlight w:val="none"/>
                <w:vertAlign w:val="baseline"/>
                <w:lang w:val="en-US" w:eastAsia="zh-CN"/>
              </w:rPr>
              <w:t>名称</w:t>
            </w:r>
          </w:p>
        </w:tc>
        <w:tc>
          <w:tcPr>
            <w:tcW w:w="1015" w:type="pct"/>
            <w:tcBorders>
              <w:tl2br w:val="nil"/>
              <w:tr2bl w:val="nil"/>
            </w:tcBorders>
            <w:vAlign w:val="center"/>
          </w:tcPr>
          <w:p w14:paraId="690439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vertAlign w:val="baseline"/>
                <w:lang w:val="en-US" w:eastAsia="zh-CN"/>
              </w:rPr>
            </w:pPr>
            <w:r>
              <w:rPr>
                <w:rFonts w:hint="default" w:ascii="Times New Roman" w:hAnsi="Times New Roman" w:eastAsia="宋体" w:cs="Times New Roman"/>
                <w:b/>
                <w:bCs/>
                <w:caps w:val="0"/>
                <w:snapToGrid/>
                <w:color w:val="auto"/>
                <w:spacing w:val="0"/>
                <w:w w:val="100"/>
                <w:kern w:val="21"/>
                <w:position w:val="0"/>
                <w:sz w:val="21"/>
                <w:szCs w:val="21"/>
                <w:highlight w:val="none"/>
                <w:vertAlign w:val="baseline"/>
                <w:lang w:val="en-US" w:eastAsia="zh-CN"/>
              </w:rPr>
              <w:t>单位</w:t>
            </w:r>
          </w:p>
        </w:tc>
        <w:tc>
          <w:tcPr>
            <w:tcW w:w="1415" w:type="pct"/>
            <w:tcBorders>
              <w:tl2br w:val="nil"/>
              <w:tr2bl w:val="nil"/>
            </w:tcBorders>
            <w:vAlign w:val="center"/>
          </w:tcPr>
          <w:p w14:paraId="796DA5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vertAlign w:val="baseline"/>
                <w:lang w:val="en-US" w:eastAsia="zh-CN"/>
              </w:rPr>
            </w:pPr>
            <w:r>
              <w:rPr>
                <w:rFonts w:hint="default" w:ascii="Times New Roman" w:hAnsi="Times New Roman" w:eastAsia="宋体" w:cs="Times New Roman"/>
                <w:b/>
                <w:bCs/>
                <w:caps w:val="0"/>
                <w:snapToGrid/>
                <w:color w:val="auto"/>
                <w:spacing w:val="0"/>
                <w:w w:val="100"/>
                <w:kern w:val="21"/>
                <w:position w:val="0"/>
                <w:sz w:val="21"/>
                <w:szCs w:val="21"/>
                <w:highlight w:val="none"/>
                <w:vertAlign w:val="baseline"/>
                <w:lang w:val="en-US" w:eastAsia="zh-CN"/>
              </w:rPr>
              <w:t>消耗量</w:t>
            </w:r>
          </w:p>
        </w:tc>
        <w:tc>
          <w:tcPr>
            <w:tcW w:w="1556" w:type="pct"/>
            <w:tcBorders>
              <w:tl2br w:val="nil"/>
              <w:tr2bl w:val="nil"/>
            </w:tcBorders>
            <w:vAlign w:val="center"/>
          </w:tcPr>
          <w:p w14:paraId="2B7866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vertAlign w:val="baseline"/>
                <w:lang w:val="en-US" w:eastAsia="zh-CN"/>
              </w:rPr>
            </w:pPr>
            <w:r>
              <w:rPr>
                <w:rFonts w:hint="default" w:ascii="Times New Roman" w:hAnsi="Times New Roman" w:eastAsia="宋体" w:cs="Times New Roman"/>
                <w:b/>
                <w:bCs/>
                <w:caps w:val="0"/>
                <w:snapToGrid/>
                <w:color w:val="auto"/>
                <w:spacing w:val="0"/>
                <w:w w:val="100"/>
                <w:kern w:val="21"/>
                <w:position w:val="0"/>
                <w:sz w:val="21"/>
                <w:szCs w:val="21"/>
                <w:highlight w:val="none"/>
                <w:vertAlign w:val="baseline"/>
                <w:lang w:val="en-US" w:eastAsia="zh-CN"/>
              </w:rPr>
              <w:t>备注</w:t>
            </w:r>
          </w:p>
        </w:tc>
      </w:tr>
      <w:tr w14:paraId="3D6ABE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012" w:type="pct"/>
            <w:tcBorders>
              <w:tl2br w:val="nil"/>
              <w:tr2bl w:val="nil"/>
            </w:tcBorders>
            <w:vAlign w:val="center"/>
          </w:tcPr>
          <w:p w14:paraId="5FC314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aps w:val="0"/>
                <w:snapToGrid/>
                <w:color w:val="auto"/>
                <w:spacing w:val="0"/>
                <w:w w:val="100"/>
                <w:kern w:val="21"/>
                <w:position w:val="0"/>
                <w:sz w:val="21"/>
                <w:szCs w:val="21"/>
                <w:highlight w:val="none"/>
                <w:vertAlign w:val="baseline"/>
                <w:lang w:val="en-US" w:eastAsia="zh-CN"/>
              </w:rPr>
            </w:pPr>
            <w:r>
              <w:rPr>
                <w:rFonts w:hint="default" w:ascii="Times New Roman" w:hAnsi="Times New Roman" w:cs="Times New Roman"/>
                <w:b w:val="0"/>
                <w:bCs w:val="0"/>
                <w:caps w:val="0"/>
                <w:snapToGrid/>
                <w:color w:val="auto"/>
                <w:spacing w:val="0"/>
                <w:w w:val="100"/>
                <w:kern w:val="21"/>
                <w:position w:val="0"/>
                <w:sz w:val="21"/>
                <w:szCs w:val="21"/>
                <w:highlight w:val="none"/>
                <w:vertAlign w:val="baseline"/>
                <w:lang w:val="en-US" w:eastAsia="zh-CN"/>
              </w:rPr>
              <w:t>水</w:t>
            </w:r>
          </w:p>
        </w:tc>
        <w:tc>
          <w:tcPr>
            <w:tcW w:w="1015" w:type="pct"/>
            <w:tcBorders>
              <w:tl2br w:val="nil"/>
              <w:tr2bl w:val="nil"/>
            </w:tcBorders>
            <w:vAlign w:val="center"/>
          </w:tcPr>
          <w:p w14:paraId="68A214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aps w:val="0"/>
                <w:snapToGrid/>
                <w:color w:val="auto"/>
                <w:spacing w:val="0"/>
                <w:w w:val="100"/>
                <w:kern w:val="21"/>
                <w:position w:val="0"/>
                <w:sz w:val="21"/>
                <w:szCs w:val="21"/>
                <w:highlight w:val="none"/>
                <w:vertAlign w:val="baseline"/>
                <w:lang w:val="en-US" w:eastAsia="zh-CN"/>
              </w:rPr>
            </w:pPr>
            <w:r>
              <w:rPr>
                <w:rFonts w:hint="default" w:ascii="Times New Roman" w:hAnsi="Times New Roman" w:cs="Times New Roman"/>
                <w:b w:val="0"/>
                <w:bCs w:val="0"/>
                <w:snapToGrid/>
                <w:color w:val="auto"/>
                <w:spacing w:val="0"/>
                <w:w w:val="100"/>
                <w:kern w:val="21"/>
                <w:position w:val="0"/>
                <w:sz w:val="21"/>
                <w:szCs w:val="21"/>
                <w:highlight w:val="none"/>
                <w:vertAlign w:val="baseline"/>
                <w:lang w:val="en-US" w:eastAsia="zh-CN"/>
              </w:rPr>
              <w:t>m</w:t>
            </w:r>
            <w:r>
              <w:rPr>
                <w:rFonts w:hint="default" w:ascii="Times New Roman" w:hAnsi="Times New Roman" w:cs="Times New Roman"/>
                <w:b w:val="0"/>
                <w:bCs w:val="0"/>
                <w:caps w:val="0"/>
                <w:snapToGrid/>
                <w:color w:val="auto"/>
                <w:spacing w:val="0"/>
                <w:w w:val="100"/>
                <w:kern w:val="21"/>
                <w:position w:val="0"/>
                <w:sz w:val="21"/>
                <w:szCs w:val="21"/>
                <w:highlight w:val="none"/>
                <w:vertAlign w:val="superscript"/>
                <w:lang w:val="en-US" w:eastAsia="zh-CN"/>
              </w:rPr>
              <w:t>3</w:t>
            </w:r>
            <w:r>
              <w:rPr>
                <w:rFonts w:hint="default" w:ascii="Times New Roman" w:hAnsi="Times New Roman" w:cs="Times New Roman"/>
                <w:b w:val="0"/>
                <w:bCs w:val="0"/>
                <w:caps w:val="0"/>
                <w:snapToGrid/>
                <w:color w:val="auto"/>
                <w:spacing w:val="0"/>
                <w:w w:val="100"/>
                <w:kern w:val="21"/>
                <w:position w:val="0"/>
                <w:sz w:val="21"/>
                <w:szCs w:val="21"/>
                <w:highlight w:val="none"/>
                <w:vertAlign w:val="baseline"/>
                <w:lang w:val="en-US" w:eastAsia="zh-CN"/>
              </w:rPr>
              <w:t>/a</w:t>
            </w:r>
          </w:p>
        </w:tc>
        <w:tc>
          <w:tcPr>
            <w:tcW w:w="1415" w:type="pct"/>
            <w:tcBorders>
              <w:tl2br w:val="nil"/>
              <w:tr2bl w:val="nil"/>
            </w:tcBorders>
            <w:vAlign w:val="center"/>
          </w:tcPr>
          <w:p w14:paraId="296CE0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aps w:val="0"/>
                <w:snapToGrid/>
                <w:color w:val="auto"/>
                <w:spacing w:val="0"/>
                <w:w w:val="100"/>
                <w:kern w:val="21"/>
                <w:position w:val="0"/>
                <w:sz w:val="21"/>
                <w:szCs w:val="21"/>
                <w:highlight w:val="none"/>
                <w:vertAlign w:val="baseline"/>
                <w:lang w:val="en-US" w:eastAsia="zh-CN"/>
              </w:rPr>
            </w:pPr>
            <w:r>
              <w:rPr>
                <w:rFonts w:hint="eastAsia" w:cs="Times New Roman"/>
                <w:color w:val="auto"/>
                <w:spacing w:val="0"/>
                <w:w w:val="100"/>
                <w:position w:val="0"/>
                <w:sz w:val="21"/>
                <w:szCs w:val="21"/>
                <w:highlight w:val="none"/>
                <w:lang w:val="en-US" w:eastAsia="zh-CN"/>
              </w:rPr>
              <w:t>1084.5</w:t>
            </w:r>
          </w:p>
        </w:tc>
        <w:tc>
          <w:tcPr>
            <w:tcW w:w="1556" w:type="pct"/>
            <w:tcBorders>
              <w:tl2br w:val="nil"/>
              <w:tr2bl w:val="nil"/>
            </w:tcBorders>
            <w:vAlign w:val="center"/>
          </w:tcPr>
          <w:p w14:paraId="7CB372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aps w:val="0"/>
                <w:snapToGrid/>
                <w:color w:val="auto"/>
                <w:spacing w:val="0"/>
                <w:w w:val="100"/>
                <w:kern w:val="21"/>
                <w:position w:val="0"/>
                <w:sz w:val="21"/>
                <w:szCs w:val="21"/>
                <w:highlight w:val="none"/>
                <w:vertAlign w:val="baseline"/>
                <w:lang w:val="en-US" w:eastAsia="zh-CN"/>
              </w:rPr>
            </w:pPr>
            <w:r>
              <w:rPr>
                <w:rFonts w:hint="default" w:ascii="Times New Roman" w:hAnsi="Times New Roman" w:cs="Times New Roman"/>
                <w:b w:val="0"/>
                <w:bCs w:val="0"/>
                <w:caps w:val="0"/>
                <w:snapToGrid/>
                <w:color w:val="auto"/>
                <w:spacing w:val="0"/>
                <w:w w:val="100"/>
                <w:kern w:val="21"/>
                <w:position w:val="0"/>
                <w:sz w:val="21"/>
                <w:szCs w:val="21"/>
                <w:highlight w:val="none"/>
                <w:vertAlign w:val="baseline"/>
                <w:lang w:val="en-US" w:eastAsia="zh-CN"/>
              </w:rPr>
              <w:t>/</w:t>
            </w:r>
          </w:p>
        </w:tc>
      </w:tr>
      <w:tr w14:paraId="0B031E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012" w:type="pct"/>
            <w:tcBorders>
              <w:tl2br w:val="nil"/>
              <w:tr2bl w:val="nil"/>
            </w:tcBorders>
            <w:vAlign w:val="center"/>
          </w:tcPr>
          <w:p w14:paraId="54498D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aps w:val="0"/>
                <w:snapToGrid/>
                <w:color w:val="auto"/>
                <w:spacing w:val="0"/>
                <w:w w:val="100"/>
                <w:kern w:val="21"/>
                <w:position w:val="0"/>
                <w:sz w:val="21"/>
                <w:szCs w:val="21"/>
                <w:highlight w:val="none"/>
                <w:vertAlign w:val="baseline"/>
                <w:lang w:val="en-US" w:eastAsia="zh-CN"/>
              </w:rPr>
            </w:pPr>
            <w:r>
              <w:rPr>
                <w:rFonts w:hint="default" w:ascii="Times New Roman" w:hAnsi="Times New Roman" w:cs="Times New Roman"/>
                <w:b w:val="0"/>
                <w:bCs w:val="0"/>
                <w:caps w:val="0"/>
                <w:snapToGrid/>
                <w:color w:val="auto"/>
                <w:spacing w:val="0"/>
                <w:w w:val="100"/>
                <w:kern w:val="21"/>
                <w:position w:val="0"/>
                <w:sz w:val="21"/>
                <w:szCs w:val="21"/>
                <w:highlight w:val="none"/>
                <w:vertAlign w:val="baseline"/>
                <w:lang w:val="en-US" w:eastAsia="zh-CN"/>
              </w:rPr>
              <w:t>电</w:t>
            </w:r>
          </w:p>
        </w:tc>
        <w:tc>
          <w:tcPr>
            <w:tcW w:w="1015" w:type="pct"/>
            <w:tcBorders>
              <w:tl2br w:val="nil"/>
              <w:tr2bl w:val="nil"/>
            </w:tcBorders>
            <w:vAlign w:val="center"/>
          </w:tcPr>
          <w:p w14:paraId="580E36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b w:val="0"/>
                <w:bCs w:val="0"/>
                <w:snapToGrid/>
                <w:color w:val="auto"/>
                <w:spacing w:val="0"/>
                <w:w w:val="100"/>
                <w:kern w:val="21"/>
                <w:position w:val="0"/>
                <w:sz w:val="21"/>
                <w:szCs w:val="21"/>
                <w:highlight w:val="none"/>
                <w:vertAlign w:val="baseline"/>
                <w:lang w:val="en-US" w:eastAsia="zh-CN"/>
              </w:rPr>
            </w:pPr>
            <w:r>
              <w:rPr>
                <w:rFonts w:hint="default" w:ascii="Times New Roman" w:hAnsi="Times New Roman" w:eastAsia="宋体" w:cs="Times New Roman"/>
                <w:color w:val="auto"/>
                <w:spacing w:val="0"/>
                <w:w w:val="100"/>
                <w:kern w:val="0"/>
                <w:position w:val="0"/>
                <w:sz w:val="21"/>
                <w:szCs w:val="21"/>
                <w:highlight w:val="none"/>
                <w:u w:val="none" w:color="auto"/>
                <w:lang w:val="en-US" w:eastAsia="zh-CN"/>
              </w:rPr>
              <w:t>万kW.h</w:t>
            </w:r>
          </w:p>
        </w:tc>
        <w:tc>
          <w:tcPr>
            <w:tcW w:w="1415" w:type="pct"/>
            <w:tcBorders>
              <w:tl2br w:val="nil"/>
              <w:tr2bl w:val="nil"/>
            </w:tcBorders>
            <w:vAlign w:val="center"/>
          </w:tcPr>
          <w:p w14:paraId="1A0924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b w:val="0"/>
                <w:bCs w:val="0"/>
                <w:caps w:val="0"/>
                <w:snapToGrid/>
                <w:color w:val="auto"/>
                <w:spacing w:val="0"/>
                <w:w w:val="100"/>
                <w:kern w:val="21"/>
                <w:position w:val="0"/>
                <w:sz w:val="21"/>
                <w:szCs w:val="21"/>
                <w:highlight w:val="none"/>
                <w:vertAlign w:val="baseline"/>
                <w:lang w:val="en-US" w:eastAsia="zh-CN"/>
              </w:rPr>
            </w:pPr>
            <w:r>
              <w:rPr>
                <w:rFonts w:hint="default" w:ascii="Times New Roman" w:hAnsi="Times New Roman" w:cs="Times New Roman"/>
                <w:color w:val="auto"/>
                <w:spacing w:val="0"/>
                <w:w w:val="100"/>
                <w:kern w:val="0"/>
                <w:position w:val="0"/>
                <w:sz w:val="21"/>
                <w:szCs w:val="21"/>
                <w:highlight w:val="none"/>
                <w:u w:val="none" w:color="auto"/>
                <w:lang w:val="en-US" w:eastAsia="zh-CN"/>
              </w:rPr>
              <w:t>2220</w:t>
            </w:r>
          </w:p>
        </w:tc>
        <w:tc>
          <w:tcPr>
            <w:tcW w:w="1556" w:type="pct"/>
            <w:tcBorders>
              <w:tl2br w:val="nil"/>
              <w:tr2bl w:val="nil"/>
            </w:tcBorders>
            <w:vAlign w:val="center"/>
          </w:tcPr>
          <w:p w14:paraId="7301A9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bCs w:val="0"/>
                <w:caps w:val="0"/>
                <w:snapToGrid/>
                <w:color w:val="auto"/>
                <w:spacing w:val="0"/>
                <w:w w:val="100"/>
                <w:kern w:val="21"/>
                <w:position w:val="0"/>
                <w:sz w:val="21"/>
                <w:szCs w:val="21"/>
                <w:highlight w:val="none"/>
                <w:vertAlign w:val="baseline"/>
                <w:lang w:val="en-US" w:eastAsia="zh-CN"/>
              </w:rPr>
            </w:pPr>
            <w:r>
              <w:rPr>
                <w:rFonts w:hint="default" w:ascii="Times New Roman" w:hAnsi="Times New Roman" w:cs="Times New Roman"/>
                <w:b w:val="0"/>
                <w:bCs w:val="0"/>
                <w:caps w:val="0"/>
                <w:snapToGrid/>
                <w:color w:val="auto"/>
                <w:spacing w:val="0"/>
                <w:w w:val="100"/>
                <w:kern w:val="21"/>
                <w:position w:val="0"/>
                <w:sz w:val="21"/>
                <w:szCs w:val="21"/>
                <w:highlight w:val="none"/>
                <w:vertAlign w:val="baseline"/>
                <w:lang w:val="en-US" w:eastAsia="zh-CN"/>
              </w:rPr>
              <w:t>/</w:t>
            </w:r>
          </w:p>
        </w:tc>
      </w:tr>
    </w:tbl>
    <w:p w14:paraId="04CE9DB9">
      <w:pPr>
        <w:pStyle w:val="33"/>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s="Times New Roman"/>
          <w:b/>
          <w:color w:val="auto"/>
          <w:spacing w:val="0"/>
          <w:w w:val="100"/>
          <w:kern w:val="0"/>
          <w:position w:val="0"/>
          <w:szCs w:val="20"/>
          <w:highlight w:val="none"/>
        </w:rPr>
      </w:pPr>
      <w:r>
        <w:rPr>
          <w:rFonts w:hint="default"/>
          <w:color w:val="auto"/>
          <w:spacing w:val="0"/>
          <w:w w:val="100"/>
          <w:position w:val="0"/>
          <w:highlight w:val="none"/>
        </w:rPr>
        <w:t>表</w:t>
      </w:r>
      <w:r>
        <w:rPr>
          <w:rFonts w:hint="default"/>
          <w:color w:val="auto"/>
          <w:spacing w:val="0"/>
          <w:w w:val="100"/>
          <w:position w:val="0"/>
          <w:highlight w:val="none"/>
          <w:lang w:val="en-US" w:eastAsia="zh-CN"/>
        </w:rPr>
        <w:t>3.</w:t>
      </w:r>
      <w:r>
        <w:rPr>
          <w:rFonts w:hint="eastAsia"/>
          <w:color w:val="auto"/>
          <w:spacing w:val="0"/>
          <w:w w:val="100"/>
          <w:position w:val="0"/>
          <w:highlight w:val="none"/>
          <w:lang w:val="en-US" w:eastAsia="zh-CN"/>
        </w:rPr>
        <w:t>1.1-3</w:t>
      </w:r>
      <w:r>
        <w:rPr>
          <w:rFonts w:hint="default"/>
          <w:color w:val="auto"/>
          <w:spacing w:val="0"/>
          <w:w w:val="100"/>
          <w:position w:val="0"/>
          <w:highlight w:val="none"/>
          <w:lang w:val="en-US" w:eastAsia="zh-CN"/>
        </w:rPr>
        <w:t xml:space="preserve"> </w:t>
      </w:r>
      <w:r>
        <w:rPr>
          <w:rFonts w:hint="default"/>
          <w:color w:val="auto"/>
          <w:spacing w:val="0"/>
          <w:w w:val="100"/>
          <w:position w:val="0"/>
          <w:highlight w:val="none"/>
        </w:rPr>
        <w:t xml:space="preserve"> 主要原辅材料</w:t>
      </w:r>
      <w:r>
        <w:rPr>
          <w:rFonts w:hint="default"/>
          <w:color w:val="auto"/>
          <w:spacing w:val="0"/>
          <w:w w:val="100"/>
          <w:position w:val="0"/>
          <w:highlight w:val="none"/>
          <w:lang w:val="en-US" w:eastAsia="zh-CN"/>
        </w:rPr>
        <w:t>中主要成分</w:t>
      </w:r>
      <w:r>
        <w:rPr>
          <w:rFonts w:hint="default"/>
          <w:color w:val="auto"/>
          <w:spacing w:val="0"/>
          <w:w w:val="100"/>
          <w:position w:val="0"/>
          <w:highlight w:val="none"/>
        </w:rPr>
        <w:t>理化性质</w:t>
      </w:r>
    </w:p>
    <w:tbl>
      <w:tblPr>
        <w:tblStyle w:val="36"/>
        <w:tblW w:w="8522"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57" w:type="dxa"/>
          <w:left w:w="57" w:type="dxa"/>
          <w:bottom w:w="57" w:type="dxa"/>
          <w:right w:w="57" w:type="dxa"/>
        </w:tblCellMar>
      </w:tblPr>
      <w:tblGrid>
        <w:gridCol w:w="457"/>
        <w:gridCol w:w="633"/>
        <w:gridCol w:w="974"/>
        <w:gridCol w:w="989"/>
        <w:gridCol w:w="3950"/>
        <w:gridCol w:w="927"/>
        <w:gridCol w:w="592"/>
      </w:tblGrid>
      <w:tr w14:paraId="60F1250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tblHeader/>
          <w:jc w:val="center"/>
        </w:trPr>
        <w:tc>
          <w:tcPr>
            <w:tcW w:w="457" w:type="dxa"/>
            <w:tcBorders>
              <w:tl2br w:val="nil"/>
              <w:tr2bl w:val="nil"/>
            </w:tcBorders>
            <w:vAlign w:val="center"/>
          </w:tcPr>
          <w:p w14:paraId="0BF06C61">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21"/>
                <w:szCs w:val="21"/>
              </w:rPr>
            </w:pPr>
            <w:bookmarkStart w:id="208" w:name="_Toc8528"/>
            <w:r>
              <w:rPr>
                <w:rFonts w:hint="default" w:ascii="Times New Roman" w:hAnsi="Times New Roman" w:eastAsia="宋体" w:cs="Times New Roman"/>
                <w:b/>
                <w:bCs/>
                <w:color w:val="auto"/>
                <w:spacing w:val="0"/>
                <w:w w:val="100"/>
                <w:position w:val="0"/>
                <w:sz w:val="21"/>
                <w:szCs w:val="21"/>
              </w:rPr>
              <w:t>序号</w:t>
            </w:r>
          </w:p>
        </w:tc>
        <w:tc>
          <w:tcPr>
            <w:tcW w:w="633" w:type="dxa"/>
            <w:tcBorders>
              <w:tl2br w:val="nil"/>
              <w:tr2bl w:val="nil"/>
            </w:tcBorders>
            <w:vAlign w:val="center"/>
          </w:tcPr>
          <w:p w14:paraId="63BD1A93">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b/>
                <w:bCs/>
                <w:color w:val="auto"/>
                <w:spacing w:val="0"/>
                <w:w w:val="100"/>
                <w:position w:val="0"/>
                <w:sz w:val="21"/>
                <w:szCs w:val="21"/>
              </w:rPr>
              <w:t>原辅料名称</w:t>
            </w:r>
          </w:p>
        </w:tc>
        <w:tc>
          <w:tcPr>
            <w:tcW w:w="974" w:type="dxa"/>
            <w:tcBorders>
              <w:tl2br w:val="nil"/>
              <w:tr2bl w:val="nil"/>
            </w:tcBorders>
            <w:vAlign w:val="center"/>
          </w:tcPr>
          <w:p w14:paraId="216FF2E6">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b/>
                <w:bCs/>
                <w:color w:val="auto"/>
                <w:spacing w:val="0"/>
                <w:w w:val="100"/>
                <w:position w:val="0"/>
                <w:sz w:val="21"/>
                <w:szCs w:val="21"/>
              </w:rPr>
              <w:t>化学式</w:t>
            </w:r>
          </w:p>
        </w:tc>
        <w:tc>
          <w:tcPr>
            <w:tcW w:w="0" w:type="auto"/>
            <w:tcBorders>
              <w:tl2br w:val="nil"/>
              <w:tr2bl w:val="nil"/>
            </w:tcBorders>
            <w:vAlign w:val="center"/>
          </w:tcPr>
          <w:p w14:paraId="709B29CE">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b/>
                <w:bCs/>
                <w:color w:val="auto"/>
                <w:spacing w:val="0"/>
                <w:w w:val="100"/>
                <w:position w:val="0"/>
                <w:sz w:val="21"/>
                <w:szCs w:val="21"/>
              </w:rPr>
              <w:t>CAS号</w:t>
            </w:r>
          </w:p>
        </w:tc>
        <w:tc>
          <w:tcPr>
            <w:tcW w:w="3950" w:type="dxa"/>
            <w:tcBorders>
              <w:tl2br w:val="nil"/>
              <w:tr2bl w:val="nil"/>
            </w:tcBorders>
            <w:vAlign w:val="center"/>
          </w:tcPr>
          <w:p w14:paraId="60E4593B">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b/>
                <w:bCs/>
                <w:color w:val="auto"/>
                <w:spacing w:val="0"/>
                <w:w w:val="100"/>
                <w:position w:val="0"/>
                <w:sz w:val="21"/>
                <w:szCs w:val="21"/>
              </w:rPr>
              <w:t>理化性质</w:t>
            </w:r>
          </w:p>
        </w:tc>
        <w:tc>
          <w:tcPr>
            <w:tcW w:w="927" w:type="dxa"/>
            <w:tcBorders>
              <w:tl2br w:val="nil"/>
              <w:tr2bl w:val="nil"/>
            </w:tcBorders>
            <w:vAlign w:val="center"/>
          </w:tcPr>
          <w:p w14:paraId="56ACB412">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b/>
                <w:bCs/>
                <w:color w:val="auto"/>
                <w:spacing w:val="0"/>
                <w:w w:val="100"/>
                <w:position w:val="0"/>
                <w:sz w:val="21"/>
                <w:szCs w:val="21"/>
              </w:rPr>
              <w:t>燃烧爆炸性</w:t>
            </w:r>
          </w:p>
        </w:tc>
        <w:tc>
          <w:tcPr>
            <w:tcW w:w="592" w:type="dxa"/>
            <w:tcBorders>
              <w:tl2br w:val="nil"/>
              <w:tr2bl w:val="nil"/>
            </w:tcBorders>
            <w:vAlign w:val="center"/>
          </w:tcPr>
          <w:p w14:paraId="377E730C">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b/>
                <w:bCs/>
                <w:color w:val="auto"/>
                <w:spacing w:val="0"/>
                <w:w w:val="100"/>
                <w:position w:val="0"/>
                <w:sz w:val="21"/>
                <w:szCs w:val="21"/>
              </w:rPr>
              <w:t>毒理毒性</w:t>
            </w:r>
          </w:p>
        </w:tc>
      </w:tr>
      <w:tr w14:paraId="6F69713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457" w:type="dxa"/>
            <w:tcBorders>
              <w:tl2br w:val="nil"/>
              <w:tr2bl w:val="nil"/>
            </w:tcBorders>
            <w:vAlign w:val="center"/>
          </w:tcPr>
          <w:p w14:paraId="5B9443B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w:t>
            </w:r>
          </w:p>
        </w:tc>
        <w:tc>
          <w:tcPr>
            <w:tcW w:w="633" w:type="dxa"/>
            <w:tcBorders>
              <w:tl2br w:val="nil"/>
              <w:tr2bl w:val="nil"/>
            </w:tcBorders>
            <w:vAlign w:val="center"/>
          </w:tcPr>
          <w:p w14:paraId="23396C2E">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eastAsia" w:ascii="Times New Roman" w:hAnsi="Times New Roman" w:eastAsia="宋体" w:cs="Times New Roman"/>
                <w:color w:val="auto"/>
                <w:spacing w:val="0"/>
                <w:w w:val="100"/>
                <w:position w:val="0"/>
                <w:sz w:val="21"/>
                <w:szCs w:val="21"/>
                <w:lang w:val="en-US" w:eastAsia="zh-CN"/>
              </w:rPr>
              <w:t>再生</w:t>
            </w:r>
            <w:r>
              <w:rPr>
                <w:rFonts w:hint="default" w:ascii="Times New Roman" w:hAnsi="Times New Roman" w:eastAsia="宋体" w:cs="Times New Roman"/>
                <w:color w:val="auto"/>
                <w:spacing w:val="0"/>
                <w:w w:val="100"/>
                <w:position w:val="0"/>
                <w:sz w:val="21"/>
                <w:szCs w:val="21"/>
              </w:rPr>
              <w:t>聚乙烯</w:t>
            </w:r>
          </w:p>
        </w:tc>
        <w:tc>
          <w:tcPr>
            <w:tcW w:w="974" w:type="dxa"/>
            <w:tcBorders>
              <w:tl2br w:val="nil"/>
              <w:tr2bl w:val="nil"/>
            </w:tcBorders>
            <w:vAlign w:val="center"/>
          </w:tcPr>
          <w:p w14:paraId="7021A350">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（C</w:t>
            </w:r>
            <w:r>
              <w:rPr>
                <w:rFonts w:hint="default" w:ascii="Times New Roman" w:hAnsi="Times New Roman" w:eastAsia="宋体" w:cs="Times New Roman"/>
                <w:color w:val="auto"/>
                <w:spacing w:val="0"/>
                <w:w w:val="100"/>
                <w:position w:val="0"/>
                <w:sz w:val="21"/>
                <w:szCs w:val="21"/>
                <w:vertAlign w:val="subscript"/>
              </w:rPr>
              <w:t>2</w:t>
            </w:r>
            <w:r>
              <w:rPr>
                <w:rFonts w:hint="default" w:ascii="Times New Roman" w:hAnsi="Times New Roman" w:eastAsia="宋体" w:cs="Times New Roman"/>
                <w:color w:val="auto"/>
                <w:spacing w:val="0"/>
                <w:w w:val="100"/>
                <w:position w:val="0"/>
                <w:sz w:val="21"/>
                <w:szCs w:val="21"/>
              </w:rPr>
              <w:t>H</w:t>
            </w:r>
            <w:r>
              <w:rPr>
                <w:rFonts w:hint="default" w:ascii="Times New Roman" w:hAnsi="Times New Roman" w:eastAsia="宋体" w:cs="Times New Roman"/>
                <w:color w:val="auto"/>
                <w:spacing w:val="0"/>
                <w:w w:val="100"/>
                <w:position w:val="0"/>
                <w:sz w:val="21"/>
                <w:szCs w:val="21"/>
                <w:vertAlign w:val="subscript"/>
              </w:rPr>
              <w:t>4</w:t>
            </w:r>
            <w:r>
              <w:rPr>
                <w:rFonts w:hint="default" w:ascii="Times New Roman" w:hAnsi="Times New Roman" w:eastAsia="宋体" w:cs="Times New Roman"/>
                <w:color w:val="auto"/>
                <w:spacing w:val="0"/>
                <w:w w:val="100"/>
                <w:position w:val="0"/>
                <w:sz w:val="21"/>
                <w:szCs w:val="21"/>
              </w:rPr>
              <w:t>）n</w:t>
            </w:r>
          </w:p>
        </w:tc>
        <w:tc>
          <w:tcPr>
            <w:tcW w:w="0" w:type="auto"/>
            <w:tcBorders>
              <w:tl2br w:val="nil"/>
              <w:tr2bl w:val="nil"/>
            </w:tcBorders>
            <w:vAlign w:val="center"/>
          </w:tcPr>
          <w:p w14:paraId="3644E4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9002-88-4</w:t>
            </w:r>
          </w:p>
        </w:tc>
        <w:tc>
          <w:tcPr>
            <w:tcW w:w="3950" w:type="dxa"/>
            <w:tcBorders>
              <w:tl2br w:val="nil"/>
              <w:tr2bl w:val="nil"/>
            </w:tcBorders>
            <w:vAlign w:val="center"/>
          </w:tcPr>
          <w:p w14:paraId="18AB9883">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聚乙烯无臭，无毒，手感似蜡，具有优良的耐低温性能（最低使用温度可达-100℃)</w:t>
            </w:r>
            <w:r>
              <w:rPr>
                <w:rFonts w:hint="eastAsia"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化学稳定性好，能耐大多数酸碱的侵蚀（不耐具有氧化性质的酸）。常温下不溶于一般溶剂，吸水性小，电绝缘性优良。熔点92℃</w:t>
            </w:r>
            <w:r>
              <w:rPr>
                <w:rFonts w:hint="eastAsia"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闪点270℃</w:t>
            </w:r>
            <w:r>
              <w:rPr>
                <w:rFonts w:hint="eastAsia"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常温是密度为0.962g/</w:t>
            </w:r>
            <w:r>
              <w:rPr>
                <w:rFonts w:hint="eastAsia" w:ascii="Times New Roman" w:hAnsi="Times New Roman" w:eastAsia="宋体" w:cs="Times New Roman"/>
                <w:color w:val="auto"/>
                <w:spacing w:val="0"/>
                <w:w w:val="100"/>
                <w:position w:val="0"/>
                <w:sz w:val="21"/>
                <w:szCs w:val="21"/>
                <w:lang w:val="en-US" w:eastAsia="zh-CN"/>
              </w:rPr>
              <w:t>cm</w:t>
            </w:r>
            <w:r>
              <w:rPr>
                <w:rFonts w:hint="eastAsia" w:ascii="Times New Roman" w:hAnsi="Times New Roman" w:eastAsia="宋体" w:cs="Times New Roman"/>
                <w:color w:val="auto"/>
                <w:spacing w:val="0"/>
                <w:w w:val="100"/>
                <w:position w:val="0"/>
                <w:sz w:val="21"/>
                <w:szCs w:val="21"/>
                <w:vertAlign w:val="superscript"/>
                <w:lang w:val="en-US" w:eastAsia="zh-CN"/>
              </w:rPr>
              <w:t>2</w:t>
            </w:r>
            <w:r>
              <w:rPr>
                <w:rFonts w:hint="default" w:ascii="Times New Roman" w:hAnsi="Times New Roman" w:eastAsia="宋体" w:cs="Times New Roman"/>
                <w:color w:val="auto"/>
                <w:spacing w:val="0"/>
                <w:w w:val="100"/>
                <w:position w:val="0"/>
                <w:sz w:val="21"/>
                <w:szCs w:val="21"/>
              </w:rPr>
              <w:t>。超高分子量的聚乙烯热变形温度为79~83℃</w:t>
            </w:r>
            <w:r>
              <w:rPr>
                <w:rFonts w:hint="eastAsia"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高密度聚乙烯热变形温度为63~71℃。</w:t>
            </w:r>
          </w:p>
        </w:tc>
        <w:tc>
          <w:tcPr>
            <w:tcW w:w="927" w:type="dxa"/>
            <w:tcBorders>
              <w:tl2br w:val="nil"/>
              <w:tr2bl w:val="nil"/>
            </w:tcBorders>
            <w:vAlign w:val="center"/>
          </w:tcPr>
          <w:p w14:paraId="7D48FF71">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可燃</w:t>
            </w:r>
          </w:p>
        </w:tc>
        <w:tc>
          <w:tcPr>
            <w:tcW w:w="592" w:type="dxa"/>
            <w:tcBorders>
              <w:tl2br w:val="nil"/>
              <w:tr2bl w:val="nil"/>
            </w:tcBorders>
            <w:vAlign w:val="center"/>
          </w:tcPr>
          <w:p w14:paraId="25877A29">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无毒</w:t>
            </w:r>
          </w:p>
        </w:tc>
      </w:tr>
      <w:tr w14:paraId="365F1F8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457" w:type="dxa"/>
            <w:tcBorders>
              <w:tl2br w:val="nil"/>
              <w:tr2bl w:val="nil"/>
            </w:tcBorders>
            <w:vAlign w:val="center"/>
          </w:tcPr>
          <w:p w14:paraId="600F4C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w w:val="100"/>
                <w:position w:val="0"/>
                <w:sz w:val="21"/>
                <w:szCs w:val="21"/>
                <w:lang w:val="en-US" w:eastAsia="zh-CN"/>
              </w:rPr>
            </w:pPr>
            <w:r>
              <w:rPr>
                <w:rFonts w:hint="eastAsia" w:ascii="Times New Roman" w:hAnsi="Times New Roman" w:eastAsia="宋体" w:cs="Times New Roman"/>
                <w:color w:val="auto"/>
                <w:spacing w:val="0"/>
                <w:w w:val="100"/>
                <w:position w:val="0"/>
                <w:sz w:val="21"/>
                <w:szCs w:val="21"/>
                <w:lang w:val="en-US" w:eastAsia="zh-CN"/>
              </w:rPr>
              <w:t>2</w:t>
            </w:r>
          </w:p>
        </w:tc>
        <w:tc>
          <w:tcPr>
            <w:tcW w:w="633" w:type="dxa"/>
            <w:tcBorders>
              <w:tl2br w:val="nil"/>
              <w:tr2bl w:val="nil"/>
            </w:tcBorders>
            <w:vAlign w:val="center"/>
          </w:tcPr>
          <w:p w14:paraId="187E9D6B">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w w:val="100"/>
                <w:position w:val="0"/>
                <w:sz w:val="21"/>
                <w:szCs w:val="21"/>
                <w:lang w:eastAsia="zh-CN"/>
              </w:rPr>
            </w:pPr>
            <w:r>
              <w:rPr>
                <w:rFonts w:hint="eastAsia" w:ascii="Times New Roman" w:hAnsi="Times New Roman" w:eastAsia="宋体" w:cs="Times New Roman"/>
                <w:color w:val="auto"/>
                <w:spacing w:val="0"/>
                <w:w w:val="100"/>
                <w:position w:val="0"/>
                <w:sz w:val="21"/>
                <w:szCs w:val="21"/>
                <w:lang w:val="en-US" w:eastAsia="zh-CN"/>
              </w:rPr>
              <w:t>钙粉</w:t>
            </w:r>
          </w:p>
        </w:tc>
        <w:tc>
          <w:tcPr>
            <w:tcW w:w="974" w:type="dxa"/>
            <w:tcBorders>
              <w:tl2br w:val="nil"/>
              <w:tr2bl w:val="nil"/>
            </w:tcBorders>
            <w:vAlign w:val="center"/>
          </w:tcPr>
          <w:p w14:paraId="592C39A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CaO</w:t>
            </w:r>
          </w:p>
        </w:tc>
        <w:tc>
          <w:tcPr>
            <w:tcW w:w="0" w:type="auto"/>
            <w:tcBorders>
              <w:tl2br w:val="nil"/>
              <w:tr2bl w:val="nil"/>
            </w:tcBorders>
            <w:vAlign w:val="center"/>
          </w:tcPr>
          <w:p w14:paraId="5BC6C78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1305-78-8</w:t>
            </w:r>
          </w:p>
        </w:tc>
        <w:tc>
          <w:tcPr>
            <w:tcW w:w="3950" w:type="dxa"/>
            <w:tcBorders>
              <w:tl2br w:val="nil"/>
              <w:tr2bl w:val="nil"/>
            </w:tcBorders>
            <w:vAlign w:val="center"/>
          </w:tcPr>
          <w:p w14:paraId="4FDC857A">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白色结晶性块状物或颗粒、粉末，具有吸湿性。溶于酸、甘油、糖溶液，微溶于水，不溶于乙醇。在空气中吸收二氧化碳和水分。遇水生成氢氧化钙并放出大量的热。熔点2580℃</w:t>
            </w:r>
            <w:r>
              <w:rPr>
                <w:rFonts w:hint="eastAsia"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沸点2850℃。</w:t>
            </w:r>
          </w:p>
        </w:tc>
        <w:tc>
          <w:tcPr>
            <w:tcW w:w="927" w:type="dxa"/>
            <w:tcBorders>
              <w:tl2br w:val="nil"/>
              <w:tr2bl w:val="nil"/>
            </w:tcBorders>
            <w:vAlign w:val="center"/>
          </w:tcPr>
          <w:p w14:paraId="1004F631">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不燃</w:t>
            </w:r>
          </w:p>
        </w:tc>
        <w:tc>
          <w:tcPr>
            <w:tcW w:w="592" w:type="dxa"/>
            <w:tcBorders>
              <w:tl2br w:val="nil"/>
              <w:tr2bl w:val="nil"/>
            </w:tcBorders>
            <w:vAlign w:val="center"/>
          </w:tcPr>
          <w:p w14:paraId="1899DC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p>
        </w:tc>
      </w:tr>
      <w:tr w14:paraId="35F3CB8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457" w:type="dxa"/>
            <w:tcBorders>
              <w:tl2br w:val="nil"/>
              <w:tr2bl w:val="nil"/>
            </w:tcBorders>
            <w:vAlign w:val="center"/>
          </w:tcPr>
          <w:p w14:paraId="4A2D2A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w w:val="100"/>
                <w:position w:val="0"/>
                <w:sz w:val="21"/>
                <w:szCs w:val="21"/>
                <w:lang w:val="en-US" w:eastAsia="zh-CN"/>
              </w:rPr>
            </w:pPr>
            <w:r>
              <w:rPr>
                <w:rFonts w:hint="eastAsia" w:ascii="Times New Roman" w:hAnsi="Times New Roman" w:eastAsia="宋体" w:cs="Times New Roman"/>
                <w:color w:val="auto"/>
                <w:spacing w:val="0"/>
                <w:w w:val="100"/>
                <w:position w:val="0"/>
                <w:sz w:val="21"/>
                <w:szCs w:val="21"/>
                <w:lang w:val="en-US" w:eastAsia="zh-CN"/>
              </w:rPr>
              <w:t>3</w:t>
            </w:r>
          </w:p>
        </w:tc>
        <w:tc>
          <w:tcPr>
            <w:tcW w:w="633" w:type="dxa"/>
            <w:tcBorders>
              <w:tl2br w:val="nil"/>
              <w:tr2bl w:val="nil"/>
            </w:tcBorders>
            <w:vAlign w:val="center"/>
          </w:tcPr>
          <w:p w14:paraId="2B53C105">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FangSong_GB2312" w:cs="Times New Roman"/>
                <w:color w:val="auto"/>
                <w:spacing w:val="0"/>
                <w:w w:val="100"/>
                <w:position w:val="0"/>
                <w:sz w:val="21"/>
                <w:szCs w:val="21"/>
                <w:lang w:val="en-US" w:eastAsia="zh-CN"/>
              </w:rPr>
            </w:pPr>
            <w:r>
              <w:rPr>
                <w:rFonts w:hint="eastAsia" w:ascii="Times New Roman" w:hAnsi="Times New Roman" w:eastAsia="宋体" w:cs="Times New Roman"/>
                <w:color w:val="auto"/>
                <w:spacing w:val="0"/>
                <w:w w:val="100"/>
                <w:position w:val="0"/>
                <w:sz w:val="21"/>
                <w:szCs w:val="21"/>
                <w:lang w:val="en-US" w:eastAsia="zh-CN"/>
              </w:rPr>
              <w:t>涂装</w:t>
            </w:r>
            <w:r>
              <w:rPr>
                <w:rFonts w:hint="default" w:ascii="Times New Roman" w:hAnsi="Times New Roman" w:eastAsia="宋体" w:cs="Times New Roman"/>
                <w:color w:val="auto"/>
                <w:spacing w:val="0"/>
                <w:w w:val="100"/>
                <w:position w:val="0"/>
                <w:sz w:val="21"/>
                <w:szCs w:val="21"/>
                <w:lang w:val="en-US" w:eastAsia="zh-CN"/>
              </w:rPr>
              <w:t>铝</w:t>
            </w:r>
            <w:r>
              <w:rPr>
                <w:rFonts w:hint="eastAsia" w:ascii="Times New Roman" w:hAnsi="Times New Roman" w:eastAsia="宋体" w:cs="Times New Roman"/>
                <w:color w:val="auto"/>
                <w:spacing w:val="0"/>
                <w:w w:val="100"/>
                <w:position w:val="0"/>
                <w:sz w:val="21"/>
                <w:szCs w:val="21"/>
                <w:lang w:val="en-US" w:eastAsia="zh-CN"/>
              </w:rPr>
              <w:t>卷</w:t>
            </w:r>
          </w:p>
        </w:tc>
        <w:tc>
          <w:tcPr>
            <w:tcW w:w="974" w:type="dxa"/>
            <w:tcBorders>
              <w:tl2br w:val="nil"/>
              <w:tr2bl w:val="nil"/>
            </w:tcBorders>
            <w:vAlign w:val="center"/>
          </w:tcPr>
          <w:p w14:paraId="199326B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w w:val="100"/>
                <w:position w:val="0"/>
                <w:sz w:val="21"/>
                <w:szCs w:val="21"/>
                <w:lang w:eastAsia="zh-CN"/>
              </w:rPr>
            </w:pPr>
            <w:r>
              <w:rPr>
                <w:rFonts w:hint="eastAsia" w:cs="Times New Roman"/>
                <w:color w:val="auto"/>
                <w:spacing w:val="0"/>
                <w:w w:val="100"/>
                <w:position w:val="0"/>
                <w:sz w:val="21"/>
                <w:szCs w:val="21"/>
                <w:lang w:val="en-US" w:eastAsia="zh-CN"/>
              </w:rPr>
              <w:t>/</w:t>
            </w:r>
          </w:p>
        </w:tc>
        <w:tc>
          <w:tcPr>
            <w:tcW w:w="989" w:type="dxa"/>
            <w:tcBorders>
              <w:tl2br w:val="nil"/>
              <w:tr2bl w:val="nil"/>
            </w:tcBorders>
            <w:vAlign w:val="center"/>
          </w:tcPr>
          <w:p w14:paraId="7553396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w w:val="100"/>
                <w:position w:val="0"/>
                <w:sz w:val="21"/>
                <w:szCs w:val="21"/>
                <w:lang w:val="en-US" w:eastAsia="zh-CN"/>
              </w:rPr>
            </w:pPr>
            <w:r>
              <w:rPr>
                <w:rFonts w:hint="eastAsia" w:cs="Times New Roman"/>
                <w:color w:val="auto"/>
                <w:spacing w:val="0"/>
                <w:w w:val="100"/>
                <w:position w:val="0"/>
                <w:sz w:val="21"/>
                <w:szCs w:val="21"/>
                <w:lang w:val="en-US" w:eastAsia="zh-CN"/>
              </w:rPr>
              <w:t>/</w:t>
            </w:r>
          </w:p>
        </w:tc>
        <w:tc>
          <w:tcPr>
            <w:tcW w:w="3950" w:type="dxa"/>
            <w:tcBorders>
              <w:tl2br w:val="nil"/>
              <w:tr2bl w:val="nil"/>
            </w:tcBorders>
            <w:vAlign w:val="center"/>
          </w:tcPr>
          <w:p w14:paraId="7BC0BA80">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auto"/>
                <w:spacing w:val="0"/>
                <w:w w:val="100"/>
                <w:position w:val="0"/>
                <w:sz w:val="21"/>
                <w:szCs w:val="21"/>
              </w:rPr>
            </w:pPr>
            <w:r>
              <w:rPr>
                <w:rFonts w:hint="eastAsia" w:ascii="Times New Roman" w:hAnsi="Times New Roman" w:eastAsia="宋体" w:cs="Times New Roman"/>
                <w:color w:val="auto"/>
                <w:spacing w:val="0"/>
                <w:w w:val="100"/>
                <w:position w:val="0"/>
                <w:sz w:val="21"/>
                <w:szCs w:val="21"/>
                <w:lang w:val="en-US" w:eastAsia="zh-CN"/>
              </w:rPr>
              <w:t>规格按需定制，采用双面涂装铝卷，厚度不小于0.5mm，涂层为氟碳树脂</w:t>
            </w:r>
            <w:r>
              <w:rPr>
                <w:rFonts w:hint="default" w:ascii="Times New Roman" w:hAnsi="Times New Roman" w:eastAsia="宋体" w:cs="Times New Roman"/>
                <w:color w:val="auto"/>
                <w:spacing w:val="0"/>
                <w:w w:val="100"/>
                <w:position w:val="0"/>
                <w:sz w:val="21"/>
                <w:szCs w:val="21"/>
              </w:rPr>
              <w:t>。</w:t>
            </w:r>
          </w:p>
        </w:tc>
        <w:tc>
          <w:tcPr>
            <w:tcW w:w="927" w:type="dxa"/>
            <w:tcBorders>
              <w:tl2br w:val="nil"/>
              <w:tr2bl w:val="nil"/>
            </w:tcBorders>
            <w:vAlign w:val="center"/>
          </w:tcPr>
          <w:p w14:paraId="3CC9A189">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w w:val="100"/>
                <w:position w:val="0"/>
                <w:sz w:val="21"/>
                <w:szCs w:val="21"/>
                <w:lang w:eastAsia="zh-CN"/>
              </w:rPr>
            </w:pPr>
            <w:r>
              <w:rPr>
                <w:rFonts w:hint="eastAsia" w:ascii="Times New Roman" w:hAnsi="Times New Roman" w:eastAsia="宋体" w:cs="Times New Roman"/>
                <w:color w:val="auto"/>
                <w:spacing w:val="0"/>
                <w:w w:val="100"/>
                <w:position w:val="0"/>
                <w:sz w:val="21"/>
                <w:szCs w:val="21"/>
                <w:lang w:val="en-US" w:eastAsia="zh-CN"/>
              </w:rPr>
              <w:t>/</w:t>
            </w:r>
          </w:p>
        </w:tc>
        <w:tc>
          <w:tcPr>
            <w:tcW w:w="592" w:type="dxa"/>
            <w:tcBorders>
              <w:tl2br w:val="nil"/>
              <w:tr2bl w:val="nil"/>
            </w:tcBorders>
            <w:vAlign w:val="center"/>
          </w:tcPr>
          <w:p w14:paraId="1FCBC936">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w w:val="100"/>
                <w:position w:val="0"/>
                <w:sz w:val="21"/>
                <w:szCs w:val="21"/>
                <w:lang w:eastAsia="zh-CN"/>
              </w:rPr>
            </w:pPr>
            <w:r>
              <w:rPr>
                <w:rFonts w:hint="eastAsia" w:ascii="Times New Roman" w:hAnsi="Times New Roman" w:eastAsia="宋体" w:cs="Times New Roman"/>
                <w:color w:val="auto"/>
                <w:spacing w:val="0"/>
                <w:w w:val="100"/>
                <w:position w:val="0"/>
                <w:sz w:val="21"/>
                <w:szCs w:val="21"/>
                <w:lang w:val="en-US" w:eastAsia="zh-CN"/>
              </w:rPr>
              <w:t>/</w:t>
            </w:r>
          </w:p>
        </w:tc>
      </w:tr>
      <w:tr w14:paraId="33EA1E5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90" w:hRule="atLeast"/>
          <w:jc w:val="center"/>
        </w:trPr>
        <w:tc>
          <w:tcPr>
            <w:tcW w:w="457" w:type="dxa"/>
            <w:tcBorders>
              <w:tl2br w:val="nil"/>
              <w:tr2bl w:val="nil"/>
            </w:tcBorders>
            <w:vAlign w:val="center"/>
          </w:tcPr>
          <w:p w14:paraId="694F95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eastAsia" w:cs="Times New Roman"/>
                <w:color w:val="auto"/>
                <w:spacing w:val="0"/>
                <w:w w:val="100"/>
                <w:position w:val="0"/>
                <w:sz w:val="21"/>
                <w:szCs w:val="21"/>
                <w:lang w:val="en-US" w:eastAsia="zh-CN"/>
              </w:rPr>
              <w:t>4</w:t>
            </w:r>
          </w:p>
        </w:tc>
        <w:tc>
          <w:tcPr>
            <w:tcW w:w="633" w:type="dxa"/>
            <w:tcBorders>
              <w:tl2br w:val="nil"/>
              <w:tr2bl w:val="nil"/>
            </w:tcBorders>
            <w:vAlign w:val="center"/>
          </w:tcPr>
          <w:p w14:paraId="54003472">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eastAsia" w:ascii="Times New Roman" w:hAnsi="Times New Roman" w:eastAsia="宋体" w:cs="Times New Roman"/>
                <w:color w:val="auto"/>
                <w:spacing w:val="0"/>
                <w:w w:val="100"/>
                <w:position w:val="0"/>
                <w:sz w:val="21"/>
                <w:szCs w:val="21"/>
                <w:lang w:val="en-US" w:eastAsia="zh-CN"/>
              </w:rPr>
              <w:t>保护膜</w:t>
            </w:r>
          </w:p>
        </w:tc>
        <w:tc>
          <w:tcPr>
            <w:tcW w:w="974" w:type="dxa"/>
            <w:tcBorders>
              <w:tl2br w:val="nil"/>
              <w:tr2bl w:val="nil"/>
            </w:tcBorders>
            <w:vAlign w:val="center"/>
          </w:tcPr>
          <w:p w14:paraId="62FA5DB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w w:val="100"/>
                <w:position w:val="0"/>
                <w:sz w:val="21"/>
                <w:szCs w:val="21"/>
                <w:lang w:val="en-US" w:eastAsia="zh-CN"/>
              </w:rPr>
            </w:pPr>
            <w:r>
              <w:rPr>
                <w:rFonts w:hint="eastAsia" w:cs="Times New Roman"/>
                <w:color w:val="auto"/>
                <w:spacing w:val="0"/>
                <w:w w:val="100"/>
                <w:position w:val="0"/>
                <w:sz w:val="21"/>
                <w:szCs w:val="21"/>
                <w:lang w:val="en-US" w:eastAsia="zh-CN"/>
              </w:rPr>
              <w:t>/</w:t>
            </w:r>
          </w:p>
        </w:tc>
        <w:tc>
          <w:tcPr>
            <w:tcW w:w="989" w:type="dxa"/>
            <w:tcBorders>
              <w:tl2br w:val="nil"/>
              <w:tr2bl w:val="nil"/>
            </w:tcBorders>
            <w:vAlign w:val="center"/>
          </w:tcPr>
          <w:p w14:paraId="6DD6283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w w:val="100"/>
                <w:position w:val="0"/>
                <w:sz w:val="21"/>
                <w:szCs w:val="21"/>
                <w:lang w:val="en-US" w:eastAsia="zh-CN"/>
              </w:rPr>
            </w:pPr>
            <w:r>
              <w:rPr>
                <w:rFonts w:hint="eastAsia" w:cs="Times New Roman"/>
                <w:color w:val="auto"/>
                <w:spacing w:val="0"/>
                <w:w w:val="100"/>
                <w:position w:val="0"/>
                <w:sz w:val="21"/>
                <w:szCs w:val="21"/>
                <w:lang w:val="en-US" w:eastAsia="zh-CN"/>
              </w:rPr>
              <w:t>/</w:t>
            </w:r>
          </w:p>
        </w:tc>
        <w:tc>
          <w:tcPr>
            <w:tcW w:w="3950" w:type="dxa"/>
            <w:tcBorders>
              <w:tl2br w:val="nil"/>
              <w:tr2bl w:val="nil"/>
            </w:tcBorders>
            <w:vAlign w:val="center"/>
          </w:tcPr>
          <w:p w14:paraId="6EA0B78C">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auto"/>
                <w:spacing w:val="0"/>
                <w:w w:val="100"/>
                <w:position w:val="0"/>
                <w:sz w:val="21"/>
                <w:szCs w:val="21"/>
              </w:rPr>
            </w:pPr>
            <w:r>
              <w:rPr>
                <w:rFonts w:hint="eastAsia" w:ascii="Times New Roman" w:hAnsi="Times New Roman" w:eastAsia="宋体" w:cs="Times New Roman"/>
                <w:color w:val="auto"/>
                <w:spacing w:val="0"/>
                <w:w w:val="100"/>
                <w:position w:val="0"/>
                <w:sz w:val="21"/>
                <w:szCs w:val="21"/>
                <w:lang w:val="en-US" w:eastAsia="zh-CN"/>
              </w:rPr>
              <w:t>自带背胶，背胶为压敏胶，由</w:t>
            </w:r>
            <w:r>
              <w:rPr>
                <w:rFonts w:hint="default" w:ascii="Times New Roman" w:hAnsi="Times New Roman" w:eastAsia="宋体" w:cs="Times New Roman"/>
                <w:color w:val="auto"/>
                <w:spacing w:val="0"/>
                <w:w w:val="100"/>
                <w:position w:val="0"/>
                <w:sz w:val="21"/>
                <w:szCs w:val="21"/>
              </w:rPr>
              <w:t>基体树脂</w:t>
            </w:r>
            <w:r>
              <w:rPr>
                <w:rFonts w:hint="eastAsia"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常见的有天然/合成橡胶、丙烯酸酯类聚合物、聚氨酯、聚异丁烯、有机硅等</w:t>
            </w:r>
            <w:r>
              <w:rPr>
                <w:rFonts w:hint="eastAsia" w:ascii="Times New Roman" w:hAnsi="Times New Roman" w:eastAsia="宋体" w:cs="Times New Roman"/>
                <w:color w:val="auto"/>
                <w:spacing w:val="0"/>
                <w:w w:val="100"/>
                <w:position w:val="0"/>
                <w:sz w:val="21"/>
                <w:szCs w:val="21"/>
                <w:lang w:eastAsia="zh-CN"/>
              </w:rPr>
              <w:t>）、</w:t>
            </w:r>
          </w:p>
          <w:p w14:paraId="33271DF4">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增粘树脂</w:t>
            </w:r>
            <w:r>
              <w:rPr>
                <w:rFonts w:hint="eastAsia"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助剂</w:t>
            </w:r>
            <w:r>
              <w:rPr>
                <w:rFonts w:hint="eastAsia"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分散介质</w:t>
            </w:r>
            <w:r>
              <w:rPr>
                <w:rFonts w:hint="eastAsia"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水或无溶剂（热熔型）</w:t>
            </w:r>
            <w:r>
              <w:rPr>
                <w:rFonts w:hint="eastAsia" w:ascii="Times New Roman" w:hAnsi="Times New Roman" w:eastAsia="宋体" w:cs="Times New Roman"/>
                <w:color w:val="auto"/>
                <w:spacing w:val="0"/>
                <w:w w:val="100"/>
                <w:position w:val="0"/>
                <w:sz w:val="21"/>
                <w:szCs w:val="21"/>
                <w:lang w:eastAsia="zh-CN"/>
              </w:rPr>
              <w:t>）</w:t>
            </w:r>
            <w:r>
              <w:rPr>
                <w:rFonts w:hint="eastAsia" w:ascii="Times New Roman" w:hAnsi="Times New Roman" w:eastAsia="宋体" w:cs="Times New Roman"/>
                <w:color w:val="auto"/>
                <w:spacing w:val="0"/>
                <w:w w:val="100"/>
                <w:position w:val="0"/>
                <w:sz w:val="21"/>
                <w:szCs w:val="21"/>
                <w:lang w:val="en-US" w:eastAsia="zh-CN"/>
              </w:rPr>
              <w:t>组成，常温下基本无挥发物</w:t>
            </w:r>
            <w:r>
              <w:rPr>
                <w:rFonts w:hint="default" w:ascii="Times New Roman" w:hAnsi="Times New Roman" w:eastAsia="宋体" w:cs="Times New Roman"/>
                <w:color w:val="auto"/>
                <w:spacing w:val="0"/>
                <w:w w:val="100"/>
                <w:position w:val="0"/>
                <w:sz w:val="21"/>
                <w:szCs w:val="21"/>
              </w:rPr>
              <w:t>。</w:t>
            </w:r>
          </w:p>
        </w:tc>
        <w:tc>
          <w:tcPr>
            <w:tcW w:w="927" w:type="dxa"/>
            <w:tcBorders>
              <w:tl2br w:val="nil"/>
              <w:tr2bl w:val="nil"/>
            </w:tcBorders>
            <w:vAlign w:val="center"/>
          </w:tcPr>
          <w:p w14:paraId="5C064DB8">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w w:val="100"/>
                <w:position w:val="0"/>
                <w:sz w:val="21"/>
                <w:szCs w:val="21"/>
                <w:lang w:val="en-US" w:eastAsia="zh-CN"/>
              </w:rPr>
            </w:pPr>
            <w:r>
              <w:rPr>
                <w:rFonts w:hint="eastAsia" w:ascii="Times New Roman" w:hAnsi="Times New Roman" w:eastAsia="宋体" w:cs="Times New Roman"/>
                <w:color w:val="auto"/>
                <w:spacing w:val="0"/>
                <w:w w:val="100"/>
                <w:position w:val="0"/>
                <w:sz w:val="21"/>
                <w:szCs w:val="21"/>
                <w:lang w:val="en-US" w:eastAsia="zh-CN"/>
              </w:rPr>
              <w:t>可燃</w:t>
            </w:r>
          </w:p>
        </w:tc>
        <w:tc>
          <w:tcPr>
            <w:tcW w:w="592" w:type="dxa"/>
            <w:tcBorders>
              <w:tl2br w:val="nil"/>
              <w:tr2bl w:val="nil"/>
            </w:tcBorders>
            <w:vAlign w:val="center"/>
          </w:tcPr>
          <w:p w14:paraId="35F4D191">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eastAsia" w:ascii="Times New Roman" w:hAnsi="Times New Roman" w:eastAsia="宋体" w:cs="Times New Roman"/>
                <w:color w:val="auto"/>
                <w:spacing w:val="0"/>
                <w:w w:val="100"/>
                <w:position w:val="0"/>
                <w:sz w:val="21"/>
                <w:szCs w:val="21"/>
                <w:lang w:val="en-US" w:eastAsia="zh-CN"/>
              </w:rPr>
              <w:t>无毒</w:t>
            </w:r>
          </w:p>
        </w:tc>
      </w:tr>
    </w:tbl>
    <w:p w14:paraId="0C5B8199">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3.1.4厂区总平面布置</w:t>
      </w:r>
      <w:bookmarkEnd w:id="208"/>
    </w:p>
    <w:p w14:paraId="3F1F1D16">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本项目租赁新疆鑫古龙建材有限责任公司用地进行建设，整个厂区用地形状呈四边形，设置一个出入口位于厂区北侧，厂区内建设生活办公楼1栋和生产厂房1栋，生活办公楼位于厂区北侧，生产厂房位于厂区中部及南侧，生产厂房四周规划环形道路</w:t>
      </w:r>
      <w:r>
        <w:rPr>
          <w:rFonts w:hint="eastAsia"/>
          <w:color w:val="auto"/>
          <w:spacing w:val="0"/>
          <w:w w:val="100"/>
          <w:position w:val="0"/>
          <w:highlight w:val="none"/>
          <w:lang w:eastAsia="zh-CN"/>
        </w:rPr>
        <w:t>。</w:t>
      </w:r>
      <w:r>
        <w:rPr>
          <w:rFonts w:hint="eastAsia"/>
          <w:color w:val="auto"/>
          <w:spacing w:val="0"/>
          <w:w w:val="100"/>
          <w:position w:val="0"/>
          <w:highlight w:val="none"/>
          <w:lang w:val="en-US" w:eastAsia="zh-CN"/>
        </w:rPr>
        <w:t>本次建设租赁生产厂房中西侧一半空置区域进行建设，东侧一半厂房为新疆鑫古龙建材有限责任树脂瓦生产项目，厂房内整体布置如下：</w:t>
      </w:r>
    </w:p>
    <w:p w14:paraId="04D9E5EE">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生产区布置租赁区域东侧，原料及成品在车间内划分区域存储，整体位于生产车间西侧，危废暂存间位于租赁区域西北角，一般固废暂存区位于租赁区域南侧角落。</w:t>
      </w:r>
      <w:r>
        <w:rPr>
          <w:rFonts w:hint="default"/>
          <w:color w:val="auto"/>
          <w:spacing w:val="0"/>
          <w:w w:val="100"/>
          <w:position w:val="0"/>
          <w:highlight w:val="none"/>
        </w:rPr>
        <w:t>本项目生产区整体工艺流程布局流畅，功能区布置紧凑，传输线路简短便捷。</w:t>
      </w:r>
    </w:p>
    <w:p w14:paraId="4E38DD8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依托的生活办公楼位于在厂区北侧，阜康市常年主导风向为西风，办公生活区位于生产区的侧风向。</w:t>
      </w:r>
    </w:p>
    <w:p w14:paraId="570B066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本项目总平面布置图基本满足生产工艺、运输和防火安全等国家现行的规范要求。本项目厂区总平面布置合理，</w:t>
      </w:r>
      <w:r>
        <w:rPr>
          <w:rFonts w:hint="eastAsia"/>
          <w:color w:val="auto"/>
          <w:spacing w:val="0"/>
          <w:w w:val="100"/>
          <w:position w:val="0"/>
          <w:highlight w:val="none"/>
          <w:lang w:val="en-US" w:eastAsia="zh-CN"/>
        </w:rPr>
        <w:t>工程</w:t>
      </w:r>
      <w:r>
        <w:rPr>
          <w:rFonts w:hint="default"/>
          <w:color w:val="auto"/>
          <w:spacing w:val="0"/>
          <w:w w:val="100"/>
          <w:position w:val="0"/>
          <w:highlight w:val="none"/>
          <w:lang w:val="en-US" w:eastAsia="zh-CN"/>
        </w:rPr>
        <w:t>总平面布置见</w:t>
      </w:r>
      <w:r>
        <w:rPr>
          <w:rFonts w:hint="eastAsia"/>
          <w:color w:val="auto"/>
          <w:spacing w:val="0"/>
          <w:w w:val="100"/>
          <w:position w:val="0"/>
          <w:highlight w:val="none"/>
          <w:lang w:val="en-US" w:eastAsia="zh-CN"/>
        </w:rPr>
        <w:t>图3.1.4-1</w:t>
      </w:r>
      <w:r>
        <w:rPr>
          <w:rFonts w:hint="default"/>
          <w:color w:val="auto"/>
          <w:spacing w:val="0"/>
          <w:w w:val="100"/>
          <w:position w:val="0"/>
          <w:highlight w:val="none"/>
          <w:lang w:val="en-US" w:eastAsia="zh-CN"/>
        </w:rPr>
        <w:t>。</w:t>
      </w:r>
      <w:bookmarkStart w:id="209" w:name="_Toc21078"/>
      <w:r>
        <w:rPr>
          <w:rFonts w:hint="eastAsia"/>
          <w:color w:val="auto"/>
          <w:spacing w:val="0"/>
          <w:w w:val="100"/>
          <w:position w:val="0"/>
          <w:highlight w:val="none"/>
          <w:lang w:val="en-US" w:eastAsia="zh-CN"/>
        </w:rPr>
        <w:t>3.1.5公用工程</w:t>
      </w:r>
      <w:bookmarkEnd w:id="209"/>
    </w:p>
    <w:p w14:paraId="47D24E3C">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3.1.5.1供电</w:t>
      </w:r>
    </w:p>
    <w:p w14:paraId="0472FA7D">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本项目用电由市政供电电网供给，经公司变电室处理后满足生产和公用设施需求，项目供电能保证生产实施。</w:t>
      </w:r>
    </w:p>
    <w:p w14:paraId="67EC9F6D">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3.1.5.2供暖</w:t>
      </w:r>
    </w:p>
    <w:p w14:paraId="3810F727">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本项目</w:t>
      </w:r>
      <w:r>
        <w:rPr>
          <w:rFonts w:hint="eastAsia"/>
          <w:color w:val="auto"/>
          <w:spacing w:val="0"/>
          <w:w w:val="100"/>
          <w:position w:val="0"/>
          <w:highlight w:val="none"/>
          <w:lang w:val="en-US" w:eastAsia="zh-CN"/>
        </w:rPr>
        <w:t>生活及生产供热均采用电采暖。</w:t>
      </w:r>
    </w:p>
    <w:p w14:paraId="12B025FA">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3.1.5.3给水</w:t>
      </w:r>
    </w:p>
    <w:p w14:paraId="0BAFC525">
      <w:pPr>
        <w:pStyle w:val="32"/>
        <w:keepNext w:val="0"/>
        <w:keepLines w:val="0"/>
        <w:pageBreakBefore w:val="0"/>
        <w:widowControl w:val="0"/>
        <w:kinsoku/>
        <w:wordWrap/>
        <w:overflowPunct/>
        <w:topLinePunct w:val="0"/>
        <w:autoSpaceDE/>
        <w:autoSpaceDN/>
        <w:bidi w:val="0"/>
        <w:adjustRightInd/>
        <w:snapToGrid/>
        <w:rPr>
          <w:rFonts w:hint="eastAsia"/>
          <w:b w:val="0"/>
          <w:bCs w:val="0"/>
          <w:color w:val="auto"/>
          <w:spacing w:val="0"/>
          <w:w w:val="100"/>
          <w:position w:val="0"/>
          <w:highlight w:val="none"/>
          <w:lang w:val="en-US" w:eastAsia="zh-CN"/>
        </w:rPr>
      </w:pPr>
      <w:r>
        <w:rPr>
          <w:rFonts w:hint="eastAsia"/>
          <w:b w:val="0"/>
          <w:bCs w:val="0"/>
          <w:color w:val="auto"/>
          <w:spacing w:val="0"/>
          <w:w w:val="100"/>
          <w:position w:val="0"/>
          <w:highlight w:val="none"/>
          <w:lang w:val="en-US" w:eastAsia="zh-CN"/>
        </w:rPr>
        <w:t>1.生活用水</w:t>
      </w:r>
    </w:p>
    <w:p w14:paraId="46B0F32A">
      <w:pPr>
        <w:keepNext w:val="0"/>
        <w:keepLines w:val="0"/>
        <w:pageBreakBefore w:val="0"/>
        <w:widowControl w:val="0"/>
        <w:kinsoku/>
        <w:wordWrap/>
        <w:overflowPunct/>
        <w:topLinePunct w:val="0"/>
        <w:autoSpaceDE/>
        <w:autoSpaceDN/>
        <w:bidi w:val="0"/>
        <w:adjustRightInd w:val="0"/>
        <w:snapToGrid w:val="0"/>
        <w:spacing w:line="360" w:lineRule="auto"/>
        <w:ind w:firstLine="460" w:firstLineChars="192"/>
        <w:rPr>
          <w:rFonts w:hint="default" w:ascii="Times New Roman" w:hAnsi="Times New Roman" w:cs="Times New Roman"/>
          <w:snapToGrid w:val="0"/>
          <w:color w:val="auto"/>
          <w:spacing w:val="0"/>
          <w:w w:val="100"/>
          <w:kern w:val="0"/>
          <w:position w:val="0"/>
          <w:sz w:val="24"/>
          <w:highlight w:val="none"/>
        </w:rPr>
      </w:pPr>
      <w:r>
        <w:rPr>
          <w:rFonts w:hint="default" w:ascii="Times New Roman" w:hAnsi="Times New Roman" w:cs="Times New Roman"/>
          <w:snapToGrid w:val="0"/>
          <w:color w:val="auto"/>
          <w:spacing w:val="0"/>
          <w:w w:val="100"/>
          <w:kern w:val="0"/>
          <w:position w:val="0"/>
          <w:sz w:val="24"/>
          <w:szCs w:val="22"/>
          <w:highlight w:val="none"/>
        </w:rPr>
        <w:t>项目劳动定员为</w:t>
      </w:r>
      <w:r>
        <w:rPr>
          <w:rFonts w:hint="eastAsia" w:ascii="Times New Roman" w:hAnsi="Times New Roman" w:cs="Times New Roman"/>
          <w:snapToGrid w:val="0"/>
          <w:color w:val="auto"/>
          <w:spacing w:val="0"/>
          <w:w w:val="100"/>
          <w:kern w:val="0"/>
          <w:position w:val="0"/>
          <w:sz w:val="24"/>
          <w:szCs w:val="22"/>
          <w:highlight w:val="none"/>
          <w:lang w:val="en-US" w:eastAsia="zh-CN"/>
        </w:rPr>
        <w:t>55</w:t>
      </w:r>
      <w:r>
        <w:rPr>
          <w:rFonts w:hint="default" w:ascii="Times New Roman" w:hAnsi="Times New Roman" w:cs="Times New Roman"/>
          <w:snapToGrid w:val="0"/>
          <w:color w:val="auto"/>
          <w:spacing w:val="0"/>
          <w:w w:val="100"/>
          <w:kern w:val="0"/>
          <w:position w:val="0"/>
          <w:sz w:val="24"/>
          <w:szCs w:val="22"/>
          <w:highlight w:val="none"/>
        </w:rPr>
        <w:t>人，不在厂区食宿</w:t>
      </w:r>
      <w:r>
        <w:rPr>
          <w:rFonts w:hint="default" w:ascii="Times New Roman" w:hAnsi="Times New Roman" w:cs="Times New Roman"/>
          <w:snapToGrid w:val="0"/>
          <w:color w:val="auto"/>
          <w:spacing w:val="0"/>
          <w:w w:val="100"/>
          <w:kern w:val="0"/>
          <w:position w:val="0"/>
          <w:sz w:val="24"/>
          <w:szCs w:val="22"/>
          <w:highlight w:val="none"/>
          <w:lang w:val="en-US" w:eastAsia="zh-CN"/>
        </w:rPr>
        <w:t>，</w:t>
      </w:r>
      <w:r>
        <w:rPr>
          <w:rFonts w:hint="default" w:ascii="Times New Roman" w:hAnsi="Times New Roman" w:cs="Times New Roman"/>
          <w:snapToGrid w:val="0"/>
          <w:color w:val="auto"/>
          <w:spacing w:val="0"/>
          <w:w w:val="100"/>
          <w:kern w:val="0"/>
          <w:position w:val="0"/>
          <w:sz w:val="24"/>
          <w:szCs w:val="22"/>
          <w:highlight w:val="none"/>
        </w:rPr>
        <w:t>根据《新疆维吾尔自治区生活用水定额》，生活用水量为25L/人·d。项目全年有效生产运营3</w:t>
      </w:r>
      <w:r>
        <w:rPr>
          <w:rFonts w:hint="eastAsia" w:ascii="Times New Roman" w:hAnsi="Times New Roman" w:cs="Times New Roman"/>
          <w:snapToGrid w:val="0"/>
          <w:color w:val="auto"/>
          <w:spacing w:val="0"/>
          <w:w w:val="100"/>
          <w:kern w:val="0"/>
          <w:position w:val="0"/>
          <w:sz w:val="24"/>
          <w:szCs w:val="22"/>
          <w:highlight w:val="none"/>
          <w:lang w:val="en-US" w:eastAsia="zh-CN"/>
        </w:rPr>
        <w:t>00</w:t>
      </w:r>
      <w:r>
        <w:rPr>
          <w:rFonts w:hint="default" w:ascii="Times New Roman" w:hAnsi="Times New Roman" w:cs="Times New Roman"/>
          <w:snapToGrid w:val="0"/>
          <w:color w:val="auto"/>
          <w:spacing w:val="0"/>
          <w:w w:val="100"/>
          <w:kern w:val="0"/>
          <w:position w:val="0"/>
          <w:sz w:val="24"/>
          <w:szCs w:val="22"/>
          <w:highlight w:val="none"/>
        </w:rPr>
        <w:t>d，则项目员工生活用水量约为</w:t>
      </w:r>
      <w:r>
        <w:rPr>
          <w:rFonts w:hint="eastAsia" w:ascii="Times New Roman" w:hAnsi="Times New Roman" w:cs="Times New Roman"/>
          <w:snapToGrid w:val="0"/>
          <w:color w:val="auto"/>
          <w:spacing w:val="0"/>
          <w:w w:val="100"/>
          <w:kern w:val="0"/>
          <w:position w:val="0"/>
          <w:sz w:val="24"/>
          <w:szCs w:val="22"/>
          <w:highlight w:val="none"/>
          <w:lang w:val="en-US" w:eastAsia="zh-CN"/>
        </w:rPr>
        <w:t>1.375</w:t>
      </w:r>
      <w:r>
        <w:rPr>
          <w:rFonts w:hint="default" w:ascii="Times New Roman" w:hAnsi="Times New Roman" w:cs="Times New Roman"/>
          <w:snapToGrid w:val="0"/>
          <w:color w:val="auto"/>
          <w:spacing w:val="0"/>
          <w:w w:val="100"/>
          <w:kern w:val="0"/>
          <w:position w:val="0"/>
          <w:sz w:val="24"/>
          <w:szCs w:val="22"/>
          <w:highlight w:val="none"/>
        </w:rPr>
        <w:t>m</w:t>
      </w:r>
      <w:r>
        <w:rPr>
          <w:rFonts w:hint="default" w:ascii="Times New Roman" w:hAnsi="Times New Roman" w:cs="Times New Roman"/>
          <w:snapToGrid w:val="0"/>
          <w:color w:val="auto"/>
          <w:spacing w:val="0"/>
          <w:w w:val="100"/>
          <w:kern w:val="0"/>
          <w:position w:val="0"/>
          <w:sz w:val="24"/>
          <w:szCs w:val="22"/>
          <w:highlight w:val="none"/>
          <w:vertAlign w:val="superscript"/>
        </w:rPr>
        <w:t>3</w:t>
      </w:r>
      <w:r>
        <w:rPr>
          <w:rFonts w:hint="default" w:ascii="Times New Roman" w:hAnsi="Times New Roman" w:cs="Times New Roman"/>
          <w:snapToGrid w:val="0"/>
          <w:color w:val="auto"/>
          <w:spacing w:val="0"/>
          <w:w w:val="100"/>
          <w:kern w:val="0"/>
          <w:position w:val="0"/>
          <w:sz w:val="24"/>
          <w:szCs w:val="22"/>
          <w:highlight w:val="none"/>
        </w:rPr>
        <w:t>/d（</w:t>
      </w:r>
      <w:r>
        <w:rPr>
          <w:rFonts w:hint="eastAsia" w:ascii="Times New Roman" w:hAnsi="Times New Roman" w:cs="Times New Roman"/>
          <w:snapToGrid w:val="0"/>
          <w:color w:val="auto"/>
          <w:spacing w:val="0"/>
          <w:w w:val="100"/>
          <w:kern w:val="0"/>
          <w:position w:val="0"/>
          <w:sz w:val="24"/>
          <w:szCs w:val="22"/>
          <w:highlight w:val="none"/>
          <w:lang w:val="en-US" w:eastAsia="zh-CN"/>
        </w:rPr>
        <w:t>412.5</w:t>
      </w:r>
      <w:r>
        <w:rPr>
          <w:rFonts w:hint="default" w:ascii="Times New Roman" w:hAnsi="Times New Roman" w:cs="Times New Roman"/>
          <w:snapToGrid w:val="0"/>
          <w:color w:val="auto"/>
          <w:spacing w:val="0"/>
          <w:w w:val="100"/>
          <w:kern w:val="0"/>
          <w:position w:val="0"/>
          <w:sz w:val="24"/>
          <w:szCs w:val="22"/>
          <w:highlight w:val="none"/>
        </w:rPr>
        <w:t>m</w:t>
      </w:r>
      <w:r>
        <w:rPr>
          <w:rFonts w:hint="default" w:ascii="Times New Roman" w:hAnsi="Times New Roman" w:cs="Times New Roman"/>
          <w:snapToGrid w:val="0"/>
          <w:color w:val="auto"/>
          <w:spacing w:val="0"/>
          <w:w w:val="100"/>
          <w:kern w:val="0"/>
          <w:position w:val="0"/>
          <w:sz w:val="24"/>
          <w:szCs w:val="22"/>
          <w:highlight w:val="none"/>
          <w:vertAlign w:val="superscript"/>
        </w:rPr>
        <w:t>3</w:t>
      </w:r>
      <w:r>
        <w:rPr>
          <w:rFonts w:hint="default" w:ascii="Times New Roman" w:hAnsi="Times New Roman" w:cs="Times New Roman"/>
          <w:snapToGrid w:val="0"/>
          <w:color w:val="auto"/>
          <w:spacing w:val="0"/>
          <w:w w:val="100"/>
          <w:kern w:val="0"/>
          <w:position w:val="0"/>
          <w:sz w:val="24"/>
          <w:szCs w:val="22"/>
          <w:highlight w:val="none"/>
        </w:rPr>
        <w:t>/a）</w:t>
      </w:r>
      <w:r>
        <w:rPr>
          <w:rFonts w:hint="default" w:ascii="Times New Roman" w:hAnsi="Times New Roman" w:cs="Times New Roman"/>
          <w:color w:val="auto"/>
          <w:spacing w:val="0"/>
          <w:w w:val="100"/>
          <w:position w:val="0"/>
          <w:sz w:val="24"/>
          <w:highlight w:val="none"/>
        </w:rPr>
        <w:t>。</w:t>
      </w:r>
    </w:p>
    <w:p w14:paraId="2A5434D3">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②冷却用水：热压完成的铝塑复合板在冷却机上进行冷却，冷却方式为间接水冷，根据建设单位提供资料，水冷循环用水量为7m</w:t>
      </w:r>
      <w:r>
        <w:rPr>
          <w:rFonts w:hint="eastAsia"/>
          <w:color w:val="auto"/>
          <w:spacing w:val="0"/>
          <w:w w:val="100"/>
          <w:position w:val="0"/>
          <w:highlight w:val="none"/>
          <w:vertAlign w:val="superscript"/>
          <w:lang w:val="en-US" w:eastAsia="zh-CN"/>
        </w:rPr>
        <w:t>3</w:t>
      </w:r>
      <w:r>
        <w:rPr>
          <w:rFonts w:hint="eastAsia"/>
          <w:color w:val="auto"/>
          <w:spacing w:val="0"/>
          <w:w w:val="100"/>
          <w:position w:val="0"/>
          <w:highlight w:val="none"/>
          <w:lang w:val="en-US" w:eastAsia="zh-CN"/>
        </w:rPr>
        <w:t>/h，因生产运行蒸发损失量约为2%，即0.14m</w:t>
      </w:r>
      <w:r>
        <w:rPr>
          <w:rFonts w:hint="eastAsia"/>
          <w:color w:val="auto"/>
          <w:spacing w:val="0"/>
          <w:w w:val="100"/>
          <w:position w:val="0"/>
          <w:highlight w:val="none"/>
          <w:vertAlign w:val="superscript"/>
          <w:lang w:val="en-US" w:eastAsia="zh-CN"/>
        </w:rPr>
        <w:t>3</w:t>
      </w:r>
      <w:r>
        <w:rPr>
          <w:rFonts w:hint="eastAsia"/>
          <w:color w:val="auto"/>
          <w:spacing w:val="0"/>
          <w:w w:val="100"/>
          <w:position w:val="0"/>
          <w:highlight w:val="none"/>
          <w:lang w:val="en-US" w:eastAsia="zh-CN"/>
        </w:rPr>
        <w:t>/h，则补充水量为2.24m</w:t>
      </w:r>
      <w:r>
        <w:rPr>
          <w:rFonts w:hint="eastAsia"/>
          <w:color w:val="auto"/>
          <w:spacing w:val="0"/>
          <w:w w:val="100"/>
          <w:position w:val="0"/>
          <w:highlight w:val="none"/>
          <w:vertAlign w:val="superscript"/>
          <w:lang w:val="en-US" w:eastAsia="zh-CN"/>
        </w:rPr>
        <w:t>3</w:t>
      </w:r>
      <w:r>
        <w:rPr>
          <w:rFonts w:hint="eastAsia"/>
          <w:color w:val="auto"/>
          <w:spacing w:val="0"/>
          <w:w w:val="100"/>
          <w:position w:val="0"/>
          <w:highlight w:val="none"/>
          <w:lang w:val="en-US" w:eastAsia="zh-CN"/>
        </w:rPr>
        <w:t>/d（672m</w:t>
      </w:r>
      <w:r>
        <w:rPr>
          <w:rFonts w:hint="eastAsia"/>
          <w:color w:val="auto"/>
          <w:spacing w:val="0"/>
          <w:w w:val="100"/>
          <w:position w:val="0"/>
          <w:highlight w:val="none"/>
          <w:vertAlign w:val="superscript"/>
          <w:lang w:val="en-US" w:eastAsia="zh-CN"/>
        </w:rPr>
        <w:t>3</w:t>
      </w:r>
      <w:r>
        <w:rPr>
          <w:rFonts w:hint="eastAsia"/>
          <w:color w:val="auto"/>
          <w:spacing w:val="0"/>
          <w:w w:val="100"/>
          <w:position w:val="0"/>
          <w:highlight w:val="none"/>
          <w:lang w:val="en-US" w:eastAsia="zh-CN"/>
        </w:rPr>
        <w:t>/a），冷却用水循环使用不外排。</w:t>
      </w:r>
    </w:p>
    <w:p w14:paraId="239B0F31">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综上所述，项目新鲜水使用量合计为1084.5m</w:t>
      </w:r>
      <w:r>
        <w:rPr>
          <w:rFonts w:hint="eastAsia"/>
          <w:color w:val="auto"/>
          <w:spacing w:val="0"/>
          <w:w w:val="100"/>
          <w:position w:val="0"/>
          <w:highlight w:val="none"/>
          <w:vertAlign w:val="superscript"/>
          <w:lang w:val="en-US" w:eastAsia="zh-CN"/>
        </w:rPr>
        <w:t>3</w:t>
      </w:r>
      <w:r>
        <w:rPr>
          <w:rFonts w:hint="eastAsia"/>
          <w:color w:val="auto"/>
          <w:spacing w:val="0"/>
          <w:w w:val="100"/>
          <w:position w:val="0"/>
          <w:highlight w:val="none"/>
          <w:lang w:val="en-US" w:eastAsia="zh-CN"/>
        </w:rPr>
        <w:t>/a。</w:t>
      </w:r>
    </w:p>
    <w:p w14:paraId="608B0C69">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3.1.5.4排水</w:t>
      </w:r>
    </w:p>
    <w:p w14:paraId="76D4A3E9">
      <w:pPr>
        <w:pStyle w:val="32"/>
        <w:keepNext w:val="0"/>
        <w:keepLines w:val="0"/>
        <w:pageBreakBefore w:val="0"/>
        <w:widowControl w:val="0"/>
        <w:kinsoku/>
        <w:wordWrap/>
        <w:overflowPunct/>
        <w:topLinePunct w:val="0"/>
        <w:autoSpaceDE/>
        <w:autoSpaceDN/>
        <w:bidi w:val="0"/>
        <w:adjustRightInd/>
        <w:snapToGrid/>
        <w:rPr>
          <w:rFonts w:hint="default"/>
          <w:b w:val="0"/>
          <w:bCs w:val="0"/>
          <w:color w:val="auto"/>
          <w:spacing w:val="0"/>
          <w:w w:val="100"/>
          <w:position w:val="0"/>
          <w:highlight w:val="none"/>
          <w:lang w:val="en-US" w:eastAsia="zh-CN"/>
        </w:rPr>
      </w:pPr>
      <w:r>
        <w:rPr>
          <w:rFonts w:hint="default" w:ascii="Times New Roman" w:hAnsi="Times New Roman" w:cs="Times New Roman"/>
          <w:snapToGrid w:val="0"/>
          <w:color w:val="auto"/>
          <w:spacing w:val="0"/>
          <w:w w:val="100"/>
          <w:kern w:val="0"/>
          <w:position w:val="0"/>
          <w:sz w:val="24"/>
          <w:highlight w:val="none"/>
        </w:rPr>
        <w:t>本项目废水主要为生活污水，</w:t>
      </w:r>
      <w:r>
        <w:rPr>
          <w:rFonts w:hint="eastAsia"/>
          <w:color w:val="auto"/>
          <w:spacing w:val="0"/>
          <w:w w:val="100"/>
          <w:position w:val="0"/>
          <w:highlight w:val="none"/>
          <w:lang w:val="en-US" w:eastAsia="zh-CN"/>
        </w:rPr>
        <w:t>生活用水量为</w:t>
      </w:r>
      <w:r>
        <w:rPr>
          <w:rFonts w:hint="eastAsia" w:ascii="Times New Roman" w:hAnsi="Times New Roman" w:cs="Times New Roman"/>
          <w:snapToGrid w:val="0"/>
          <w:color w:val="auto"/>
          <w:spacing w:val="0"/>
          <w:w w:val="100"/>
          <w:kern w:val="0"/>
          <w:position w:val="0"/>
          <w:sz w:val="24"/>
          <w:szCs w:val="22"/>
          <w:highlight w:val="none"/>
          <w:lang w:val="en-US" w:eastAsia="zh-CN"/>
        </w:rPr>
        <w:t>1.375</w:t>
      </w:r>
      <w:r>
        <w:rPr>
          <w:rFonts w:hint="default" w:ascii="Times New Roman" w:hAnsi="Times New Roman" w:cs="Times New Roman"/>
          <w:snapToGrid w:val="0"/>
          <w:color w:val="auto"/>
          <w:spacing w:val="0"/>
          <w:w w:val="100"/>
          <w:kern w:val="0"/>
          <w:position w:val="0"/>
          <w:sz w:val="24"/>
          <w:szCs w:val="22"/>
          <w:highlight w:val="none"/>
        </w:rPr>
        <w:t>m</w:t>
      </w:r>
      <w:r>
        <w:rPr>
          <w:rFonts w:hint="default" w:ascii="Times New Roman" w:hAnsi="Times New Roman" w:cs="Times New Roman"/>
          <w:snapToGrid w:val="0"/>
          <w:color w:val="auto"/>
          <w:spacing w:val="0"/>
          <w:w w:val="100"/>
          <w:kern w:val="0"/>
          <w:position w:val="0"/>
          <w:sz w:val="24"/>
          <w:szCs w:val="22"/>
          <w:highlight w:val="none"/>
          <w:vertAlign w:val="superscript"/>
        </w:rPr>
        <w:t>3</w:t>
      </w:r>
      <w:r>
        <w:rPr>
          <w:rFonts w:hint="default" w:ascii="Times New Roman" w:hAnsi="Times New Roman" w:cs="Times New Roman"/>
          <w:snapToGrid w:val="0"/>
          <w:color w:val="auto"/>
          <w:spacing w:val="0"/>
          <w:w w:val="100"/>
          <w:kern w:val="0"/>
          <w:position w:val="0"/>
          <w:sz w:val="24"/>
          <w:szCs w:val="22"/>
          <w:highlight w:val="none"/>
        </w:rPr>
        <w:t>/d（</w:t>
      </w:r>
      <w:r>
        <w:rPr>
          <w:rFonts w:hint="eastAsia" w:ascii="Times New Roman" w:hAnsi="Times New Roman" w:cs="Times New Roman"/>
          <w:snapToGrid w:val="0"/>
          <w:color w:val="auto"/>
          <w:spacing w:val="0"/>
          <w:w w:val="100"/>
          <w:kern w:val="0"/>
          <w:position w:val="0"/>
          <w:sz w:val="24"/>
          <w:szCs w:val="22"/>
          <w:highlight w:val="none"/>
          <w:lang w:val="en-US" w:eastAsia="zh-CN"/>
        </w:rPr>
        <w:t>412.5</w:t>
      </w:r>
      <w:r>
        <w:rPr>
          <w:rFonts w:hint="default" w:ascii="Times New Roman" w:hAnsi="Times New Roman" w:cs="Times New Roman"/>
          <w:snapToGrid w:val="0"/>
          <w:color w:val="auto"/>
          <w:spacing w:val="0"/>
          <w:w w:val="100"/>
          <w:kern w:val="0"/>
          <w:position w:val="0"/>
          <w:sz w:val="24"/>
          <w:szCs w:val="22"/>
          <w:highlight w:val="none"/>
        </w:rPr>
        <w:t>m</w:t>
      </w:r>
      <w:r>
        <w:rPr>
          <w:rFonts w:hint="default" w:ascii="Times New Roman" w:hAnsi="Times New Roman" w:cs="Times New Roman"/>
          <w:snapToGrid w:val="0"/>
          <w:color w:val="auto"/>
          <w:spacing w:val="0"/>
          <w:w w:val="100"/>
          <w:kern w:val="0"/>
          <w:position w:val="0"/>
          <w:sz w:val="24"/>
          <w:szCs w:val="22"/>
          <w:highlight w:val="none"/>
          <w:vertAlign w:val="superscript"/>
        </w:rPr>
        <w:t>3</w:t>
      </w:r>
      <w:r>
        <w:rPr>
          <w:rFonts w:hint="default" w:ascii="Times New Roman" w:hAnsi="Times New Roman" w:cs="Times New Roman"/>
          <w:snapToGrid w:val="0"/>
          <w:color w:val="auto"/>
          <w:spacing w:val="0"/>
          <w:w w:val="100"/>
          <w:kern w:val="0"/>
          <w:position w:val="0"/>
          <w:sz w:val="24"/>
          <w:szCs w:val="22"/>
          <w:highlight w:val="none"/>
        </w:rPr>
        <w:t>/a）</w:t>
      </w:r>
      <w:r>
        <w:rPr>
          <w:rFonts w:hint="eastAsia"/>
          <w:color w:val="auto"/>
          <w:spacing w:val="0"/>
          <w:w w:val="100"/>
          <w:position w:val="0"/>
          <w:highlight w:val="none"/>
          <w:lang w:val="en-US" w:eastAsia="zh-CN"/>
        </w:rPr>
        <w:t>，按80%产污计，则生活污水量约为1.1m</w:t>
      </w:r>
      <w:r>
        <w:rPr>
          <w:rFonts w:hint="eastAsia"/>
          <w:color w:val="auto"/>
          <w:spacing w:val="0"/>
          <w:w w:val="100"/>
          <w:position w:val="0"/>
          <w:highlight w:val="none"/>
          <w:vertAlign w:val="superscript"/>
          <w:lang w:val="en-US" w:eastAsia="zh-CN"/>
        </w:rPr>
        <w:t>3</w:t>
      </w:r>
      <w:r>
        <w:rPr>
          <w:rFonts w:hint="eastAsia"/>
          <w:color w:val="auto"/>
          <w:spacing w:val="0"/>
          <w:w w:val="100"/>
          <w:position w:val="0"/>
          <w:highlight w:val="none"/>
          <w:lang w:val="en-US" w:eastAsia="zh-CN"/>
        </w:rPr>
        <w:t>/d（330m</w:t>
      </w:r>
      <w:r>
        <w:rPr>
          <w:rFonts w:hint="eastAsia"/>
          <w:color w:val="auto"/>
          <w:spacing w:val="0"/>
          <w:w w:val="100"/>
          <w:position w:val="0"/>
          <w:highlight w:val="none"/>
          <w:vertAlign w:val="superscript"/>
          <w:lang w:val="en-US" w:eastAsia="zh-CN"/>
        </w:rPr>
        <w:t>3</w:t>
      </w:r>
      <w:r>
        <w:rPr>
          <w:rFonts w:hint="eastAsia"/>
          <w:color w:val="auto"/>
          <w:spacing w:val="0"/>
          <w:w w:val="100"/>
          <w:position w:val="0"/>
          <w:highlight w:val="none"/>
          <w:lang w:val="en-US" w:eastAsia="zh-CN"/>
        </w:rPr>
        <w:t>/a）。</w:t>
      </w:r>
    </w:p>
    <w:p w14:paraId="77E08920">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本项目水平衡见下表</w:t>
      </w:r>
    </w:p>
    <w:p w14:paraId="28090F05">
      <w:pPr>
        <w:pStyle w:val="3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r>
        <w:rPr>
          <w:rFonts w:hint="default"/>
          <w:color w:val="auto"/>
          <w:spacing w:val="0"/>
          <w:w w:val="100"/>
          <w:position w:val="0"/>
          <w:highlight w:val="none"/>
          <w:lang w:val="en-US" w:eastAsia="zh-CN"/>
        </w:rPr>
        <w:t>表3.1</w:t>
      </w:r>
      <w:r>
        <w:rPr>
          <w:rFonts w:hint="eastAsia"/>
          <w:color w:val="auto"/>
          <w:spacing w:val="0"/>
          <w:w w:val="100"/>
          <w:position w:val="0"/>
          <w:highlight w:val="none"/>
          <w:lang w:val="en-US" w:eastAsia="zh-CN"/>
        </w:rPr>
        <w:t xml:space="preserve">.5-1   </w:t>
      </w:r>
      <w:r>
        <w:rPr>
          <w:rFonts w:hint="default"/>
          <w:color w:val="auto"/>
          <w:spacing w:val="0"/>
          <w:w w:val="100"/>
          <w:position w:val="0"/>
          <w:highlight w:val="none"/>
          <w:lang w:val="en-US" w:eastAsia="zh-CN"/>
        </w:rPr>
        <w:t>本项目给、排水量平衡表</w:t>
      </w:r>
    </w:p>
    <w:tbl>
      <w:tblPr>
        <w:tblStyle w:val="25"/>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57" w:type="dxa"/>
          <w:left w:w="57" w:type="dxa"/>
          <w:bottom w:w="57" w:type="dxa"/>
          <w:right w:w="57" w:type="dxa"/>
        </w:tblCellMar>
      </w:tblPr>
      <w:tblGrid>
        <w:gridCol w:w="1586"/>
        <w:gridCol w:w="2104"/>
        <w:gridCol w:w="1646"/>
        <w:gridCol w:w="1641"/>
        <w:gridCol w:w="1441"/>
      </w:tblGrid>
      <w:tr w14:paraId="7BB47E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cantSplit/>
          <w:trHeight w:val="0" w:hRule="atLeast"/>
          <w:jc w:val="center"/>
        </w:trPr>
        <w:tc>
          <w:tcPr>
            <w:tcW w:w="942" w:type="pct"/>
            <w:noWrap w:val="0"/>
            <w:vAlign w:val="center"/>
          </w:tcPr>
          <w:p w14:paraId="56DF1E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bCs/>
                <w:color w:val="auto"/>
                <w:spacing w:val="0"/>
                <w:w w:val="100"/>
                <w:position w:val="0"/>
                <w:sz w:val="21"/>
                <w:szCs w:val="21"/>
                <w:highlight w:val="none"/>
              </w:rPr>
            </w:pPr>
            <w:r>
              <w:rPr>
                <w:rFonts w:hint="default" w:ascii="Times New Roman" w:hAnsi="Times New Roman" w:cs="Times New Roman"/>
                <w:b/>
                <w:bCs/>
                <w:color w:val="auto"/>
                <w:spacing w:val="0"/>
                <w:w w:val="100"/>
                <w:position w:val="0"/>
                <w:sz w:val="21"/>
                <w:szCs w:val="21"/>
                <w:highlight w:val="none"/>
              </w:rPr>
              <w:t>用水类别</w:t>
            </w:r>
          </w:p>
        </w:tc>
        <w:tc>
          <w:tcPr>
            <w:tcW w:w="1249" w:type="pct"/>
            <w:noWrap w:val="0"/>
            <w:vAlign w:val="center"/>
          </w:tcPr>
          <w:p w14:paraId="7AADC5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bCs/>
                <w:color w:val="auto"/>
                <w:spacing w:val="0"/>
                <w:w w:val="100"/>
                <w:position w:val="0"/>
                <w:sz w:val="21"/>
                <w:szCs w:val="21"/>
                <w:highlight w:val="none"/>
              </w:rPr>
            </w:pPr>
            <w:r>
              <w:rPr>
                <w:rFonts w:hint="default" w:ascii="Times New Roman" w:hAnsi="Times New Roman" w:cs="Times New Roman"/>
                <w:b/>
                <w:bCs/>
                <w:color w:val="auto"/>
                <w:spacing w:val="0"/>
                <w:w w:val="100"/>
                <w:position w:val="0"/>
                <w:sz w:val="21"/>
                <w:szCs w:val="21"/>
                <w:highlight w:val="none"/>
              </w:rPr>
              <w:t>用水规模</w:t>
            </w:r>
          </w:p>
        </w:tc>
        <w:tc>
          <w:tcPr>
            <w:tcW w:w="977" w:type="pct"/>
            <w:noWrap w:val="0"/>
            <w:vAlign w:val="center"/>
          </w:tcPr>
          <w:p w14:paraId="3F0E07F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bCs/>
                <w:color w:val="auto"/>
                <w:spacing w:val="0"/>
                <w:w w:val="100"/>
                <w:position w:val="0"/>
                <w:sz w:val="21"/>
                <w:szCs w:val="21"/>
                <w:highlight w:val="none"/>
              </w:rPr>
            </w:pPr>
            <w:r>
              <w:rPr>
                <w:rFonts w:hint="default" w:ascii="Times New Roman" w:hAnsi="Times New Roman" w:cs="Times New Roman"/>
                <w:b/>
                <w:bCs/>
                <w:color w:val="auto"/>
                <w:spacing w:val="0"/>
                <w:w w:val="100"/>
                <w:position w:val="0"/>
                <w:sz w:val="21"/>
                <w:szCs w:val="21"/>
                <w:highlight w:val="none"/>
              </w:rPr>
              <w:t>用水量（m</w:t>
            </w:r>
            <w:r>
              <w:rPr>
                <w:rFonts w:hint="default" w:ascii="Times New Roman" w:hAnsi="Times New Roman" w:cs="Times New Roman"/>
                <w:b/>
                <w:bCs/>
                <w:color w:val="auto"/>
                <w:spacing w:val="0"/>
                <w:w w:val="100"/>
                <w:position w:val="0"/>
                <w:sz w:val="21"/>
                <w:szCs w:val="21"/>
                <w:highlight w:val="none"/>
                <w:vertAlign w:val="superscript"/>
              </w:rPr>
              <w:t>3</w:t>
            </w:r>
            <w:r>
              <w:rPr>
                <w:rFonts w:hint="default" w:ascii="Times New Roman" w:hAnsi="Times New Roman" w:cs="Times New Roman"/>
                <w:b/>
                <w:bCs/>
                <w:color w:val="auto"/>
                <w:spacing w:val="0"/>
                <w:w w:val="100"/>
                <w:position w:val="0"/>
                <w:sz w:val="21"/>
                <w:szCs w:val="21"/>
                <w:highlight w:val="none"/>
              </w:rPr>
              <w:t>/a）</w:t>
            </w:r>
          </w:p>
        </w:tc>
        <w:tc>
          <w:tcPr>
            <w:tcW w:w="974" w:type="pct"/>
            <w:noWrap w:val="0"/>
            <w:vAlign w:val="center"/>
          </w:tcPr>
          <w:p w14:paraId="018781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bCs/>
                <w:color w:val="auto"/>
                <w:spacing w:val="0"/>
                <w:w w:val="100"/>
                <w:position w:val="0"/>
                <w:sz w:val="21"/>
                <w:szCs w:val="21"/>
                <w:highlight w:val="none"/>
              </w:rPr>
            </w:pPr>
            <w:r>
              <w:rPr>
                <w:rFonts w:hint="default" w:ascii="Times New Roman" w:hAnsi="Times New Roman" w:cs="Times New Roman"/>
                <w:b/>
                <w:bCs/>
                <w:color w:val="auto"/>
                <w:spacing w:val="0"/>
                <w:w w:val="100"/>
                <w:position w:val="0"/>
                <w:sz w:val="21"/>
                <w:szCs w:val="21"/>
                <w:highlight w:val="none"/>
              </w:rPr>
              <w:t>消耗量（m</w:t>
            </w:r>
            <w:r>
              <w:rPr>
                <w:rFonts w:hint="default" w:ascii="Times New Roman" w:hAnsi="Times New Roman" w:cs="Times New Roman"/>
                <w:b/>
                <w:bCs/>
                <w:color w:val="auto"/>
                <w:spacing w:val="0"/>
                <w:w w:val="100"/>
                <w:position w:val="0"/>
                <w:sz w:val="21"/>
                <w:szCs w:val="21"/>
                <w:highlight w:val="none"/>
                <w:vertAlign w:val="superscript"/>
              </w:rPr>
              <w:t>3</w:t>
            </w:r>
            <w:r>
              <w:rPr>
                <w:rFonts w:hint="default" w:ascii="Times New Roman" w:hAnsi="Times New Roman" w:cs="Times New Roman"/>
                <w:b/>
                <w:bCs/>
                <w:color w:val="auto"/>
                <w:spacing w:val="0"/>
                <w:w w:val="100"/>
                <w:position w:val="0"/>
                <w:sz w:val="21"/>
                <w:szCs w:val="21"/>
                <w:highlight w:val="none"/>
              </w:rPr>
              <w:t>/a）</w:t>
            </w:r>
          </w:p>
        </w:tc>
        <w:tc>
          <w:tcPr>
            <w:tcW w:w="855" w:type="pct"/>
            <w:noWrap w:val="0"/>
            <w:vAlign w:val="center"/>
          </w:tcPr>
          <w:p w14:paraId="2C8F360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bCs/>
                <w:color w:val="auto"/>
                <w:spacing w:val="0"/>
                <w:w w:val="100"/>
                <w:position w:val="0"/>
                <w:sz w:val="21"/>
                <w:szCs w:val="21"/>
                <w:highlight w:val="none"/>
              </w:rPr>
            </w:pPr>
            <w:r>
              <w:rPr>
                <w:rFonts w:hint="default" w:ascii="Times New Roman" w:hAnsi="Times New Roman" w:cs="Times New Roman"/>
                <w:b/>
                <w:bCs/>
                <w:color w:val="auto"/>
                <w:spacing w:val="0"/>
                <w:w w:val="100"/>
                <w:position w:val="0"/>
                <w:sz w:val="21"/>
                <w:szCs w:val="21"/>
                <w:highlight w:val="none"/>
              </w:rPr>
              <w:t>排水量（m</w:t>
            </w:r>
            <w:r>
              <w:rPr>
                <w:rFonts w:hint="default" w:ascii="Times New Roman" w:hAnsi="Times New Roman" w:cs="Times New Roman"/>
                <w:b/>
                <w:bCs/>
                <w:color w:val="auto"/>
                <w:spacing w:val="0"/>
                <w:w w:val="100"/>
                <w:position w:val="0"/>
                <w:sz w:val="21"/>
                <w:szCs w:val="21"/>
                <w:highlight w:val="none"/>
                <w:vertAlign w:val="superscript"/>
              </w:rPr>
              <w:t>3</w:t>
            </w:r>
            <w:r>
              <w:rPr>
                <w:rFonts w:hint="default" w:ascii="Times New Roman" w:hAnsi="Times New Roman" w:cs="Times New Roman"/>
                <w:b/>
                <w:bCs/>
                <w:color w:val="auto"/>
                <w:spacing w:val="0"/>
                <w:w w:val="100"/>
                <w:position w:val="0"/>
                <w:sz w:val="21"/>
                <w:szCs w:val="21"/>
                <w:highlight w:val="none"/>
              </w:rPr>
              <w:t>/a）</w:t>
            </w:r>
          </w:p>
        </w:tc>
      </w:tr>
      <w:tr w14:paraId="1717E6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cantSplit/>
          <w:trHeight w:val="0" w:hRule="atLeast"/>
          <w:jc w:val="center"/>
        </w:trPr>
        <w:tc>
          <w:tcPr>
            <w:tcW w:w="942" w:type="pct"/>
            <w:noWrap w:val="0"/>
            <w:vAlign w:val="center"/>
          </w:tcPr>
          <w:p w14:paraId="205EE6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color w:val="auto"/>
                <w:spacing w:val="0"/>
                <w:w w:val="100"/>
                <w:position w:val="0"/>
                <w:sz w:val="21"/>
                <w:szCs w:val="21"/>
                <w:highlight w:val="none"/>
              </w:rPr>
            </w:pPr>
            <w:r>
              <w:rPr>
                <w:rFonts w:hint="default" w:ascii="Times New Roman" w:hAnsi="Times New Roman" w:cs="Times New Roman"/>
                <w:color w:val="auto"/>
                <w:spacing w:val="0"/>
                <w:w w:val="100"/>
                <w:position w:val="0"/>
                <w:sz w:val="21"/>
                <w:szCs w:val="21"/>
                <w:highlight w:val="none"/>
              </w:rPr>
              <w:t>生活用水</w:t>
            </w:r>
          </w:p>
        </w:tc>
        <w:tc>
          <w:tcPr>
            <w:tcW w:w="1249" w:type="pct"/>
            <w:noWrap w:val="0"/>
            <w:vAlign w:val="center"/>
          </w:tcPr>
          <w:p w14:paraId="0709581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color w:val="auto"/>
                <w:spacing w:val="0"/>
                <w:w w:val="100"/>
                <w:position w:val="0"/>
                <w:sz w:val="21"/>
                <w:szCs w:val="21"/>
                <w:highlight w:val="none"/>
              </w:rPr>
            </w:pPr>
            <w:r>
              <w:rPr>
                <w:rFonts w:hint="default" w:ascii="Times New Roman" w:hAnsi="Times New Roman" w:cs="Times New Roman"/>
                <w:color w:val="auto"/>
                <w:spacing w:val="0"/>
                <w:w w:val="100"/>
                <w:position w:val="0"/>
                <w:sz w:val="21"/>
                <w:szCs w:val="21"/>
                <w:highlight w:val="none"/>
              </w:rPr>
              <w:t>25L/人·d，</w:t>
            </w:r>
            <w:r>
              <w:rPr>
                <w:rFonts w:hint="eastAsia" w:ascii="Times New Roman" w:hAnsi="Times New Roman" w:cs="Times New Roman"/>
                <w:color w:val="auto"/>
                <w:spacing w:val="0"/>
                <w:w w:val="100"/>
                <w:position w:val="0"/>
                <w:sz w:val="21"/>
                <w:szCs w:val="21"/>
                <w:highlight w:val="none"/>
                <w:lang w:val="en-US" w:eastAsia="zh-CN"/>
              </w:rPr>
              <w:t>55</w:t>
            </w:r>
            <w:r>
              <w:rPr>
                <w:rFonts w:hint="default" w:ascii="Times New Roman" w:hAnsi="Times New Roman" w:cs="Times New Roman"/>
                <w:color w:val="auto"/>
                <w:spacing w:val="0"/>
                <w:w w:val="100"/>
                <w:position w:val="0"/>
                <w:sz w:val="21"/>
                <w:szCs w:val="21"/>
                <w:highlight w:val="none"/>
              </w:rPr>
              <w:t>人/d</w:t>
            </w:r>
          </w:p>
        </w:tc>
        <w:tc>
          <w:tcPr>
            <w:tcW w:w="977" w:type="pct"/>
            <w:noWrap w:val="0"/>
            <w:vAlign w:val="center"/>
          </w:tcPr>
          <w:p w14:paraId="695B6A4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w w:val="100"/>
                <w:position w:val="0"/>
                <w:sz w:val="21"/>
                <w:szCs w:val="21"/>
                <w:highlight w:val="none"/>
                <w:lang w:val="en-US" w:eastAsia="zh-CN"/>
              </w:rPr>
            </w:pPr>
            <w:r>
              <w:rPr>
                <w:rFonts w:hint="eastAsia" w:ascii="Times New Roman" w:hAnsi="Times New Roman" w:cs="Times New Roman"/>
                <w:color w:val="auto"/>
                <w:spacing w:val="0"/>
                <w:w w:val="100"/>
                <w:position w:val="0"/>
                <w:sz w:val="21"/>
                <w:szCs w:val="21"/>
                <w:highlight w:val="none"/>
                <w:lang w:val="en-US" w:eastAsia="zh-CN"/>
              </w:rPr>
              <w:t>412.5</w:t>
            </w:r>
          </w:p>
        </w:tc>
        <w:tc>
          <w:tcPr>
            <w:tcW w:w="974" w:type="pct"/>
            <w:noWrap w:val="0"/>
            <w:vAlign w:val="center"/>
          </w:tcPr>
          <w:p w14:paraId="4816A8B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w w:val="100"/>
                <w:position w:val="0"/>
                <w:sz w:val="21"/>
                <w:szCs w:val="21"/>
                <w:highlight w:val="none"/>
                <w:lang w:val="en-US" w:eastAsia="zh-CN"/>
              </w:rPr>
            </w:pPr>
            <w:r>
              <w:rPr>
                <w:rFonts w:hint="eastAsia" w:ascii="Times New Roman" w:hAnsi="Times New Roman" w:cs="Times New Roman"/>
                <w:color w:val="auto"/>
                <w:spacing w:val="0"/>
                <w:w w:val="100"/>
                <w:position w:val="0"/>
                <w:sz w:val="21"/>
                <w:szCs w:val="21"/>
                <w:highlight w:val="none"/>
                <w:lang w:val="en-US" w:eastAsia="zh-CN"/>
              </w:rPr>
              <w:t>82.5</w:t>
            </w:r>
          </w:p>
        </w:tc>
        <w:tc>
          <w:tcPr>
            <w:tcW w:w="855" w:type="pct"/>
            <w:noWrap w:val="0"/>
            <w:vAlign w:val="center"/>
          </w:tcPr>
          <w:p w14:paraId="2F305DD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w w:val="100"/>
                <w:position w:val="0"/>
                <w:sz w:val="21"/>
                <w:szCs w:val="21"/>
                <w:highlight w:val="none"/>
                <w:lang w:val="en-US" w:eastAsia="zh-CN"/>
              </w:rPr>
            </w:pPr>
            <w:r>
              <w:rPr>
                <w:rFonts w:hint="eastAsia" w:ascii="Times New Roman" w:hAnsi="Times New Roman" w:cs="Times New Roman"/>
                <w:color w:val="auto"/>
                <w:spacing w:val="0"/>
                <w:w w:val="100"/>
                <w:position w:val="0"/>
                <w:sz w:val="21"/>
                <w:szCs w:val="21"/>
                <w:highlight w:val="none"/>
                <w:lang w:val="en-US" w:eastAsia="zh-CN"/>
              </w:rPr>
              <w:t>330</w:t>
            </w:r>
          </w:p>
        </w:tc>
      </w:tr>
      <w:tr w14:paraId="794D45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cantSplit/>
          <w:trHeight w:val="0" w:hRule="atLeast"/>
          <w:jc w:val="center"/>
        </w:trPr>
        <w:tc>
          <w:tcPr>
            <w:tcW w:w="942" w:type="pct"/>
            <w:noWrap w:val="0"/>
            <w:vAlign w:val="center"/>
          </w:tcPr>
          <w:p w14:paraId="295C2E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w w:val="100"/>
                <w:position w:val="0"/>
                <w:sz w:val="21"/>
                <w:szCs w:val="21"/>
                <w:highlight w:val="none"/>
                <w:lang w:val="en-US" w:eastAsia="zh-CN"/>
              </w:rPr>
            </w:pPr>
            <w:r>
              <w:rPr>
                <w:rFonts w:hint="eastAsia" w:ascii="Times New Roman" w:hAnsi="Times New Roman" w:cs="Times New Roman"/>
                <w:color w:val="auto"/>
                <w:spacing w:val="0"/>
                <w:w w:val="100"/>
                <w:position w:val="0"/>
                <w:sz w:val="21"/>
                <w:szCs w:val="21"/>
                <w:highlight w:val="none"/>
                <w:lang w:val="en-US" w:eastAsia="zh-CN"/>
              </w:rPr>
              <w:t>冷却</w:t>
            </w:r>
            <w:r>
              <w:rPr>
                <w:rFonts w:hint="default" w:ascii="Times New Roman" w:hAnsi="Times New Roman" w:cs="Times New Roman"/>
                <w:color w:val="auto"/>
                <w:spacing w:val="0"/>
                <w:w w:val="100"/>
                <w:position w:val="0"/>
                <w:sz w:val="21"/>
                <w:szCs w:val="21"/>
                <w:highlight w:val="none"/>
                <w:lang w:val="en-US" w:eastAsia="zh-CN"/>
              </w:rPr>
              <w:t>用水</w:t>
            </w:r>
          </w:p>
        </w:tc>
        <w:tc>
          <w:tcPr>
            <w:tcW w:w="1249" w:type="pct"/>
            <w:noWrap w:val="0"/>
            <w:vAlign w:val="center"/>
          </w:tcPr>
          <w:p w14:paraId="15DCB9E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w w:val="100"/>
                <w:position w:val="0"/>
                <w:sz w:val="21"/>
                <w:szCs w:val="21"/>
                <w:highlight w:val="none"/>
                <w:lang w:val="en-US" w:eastAsia="zh-CN"/>
              </w:rPr>
            </w:pPr>
            <w:r>
              <w:rPr>
                <w:rFonts w:hint="eastAsia"/>
                <w:color w:val="auto"/>
                <w:spacing w:val="0"/>
                <w:w w:val="100"/>
                <w:position w:val="0"/>
                <w:sz w:val="21"/>
                <w:szCs w:val="21"/>
                <w:highlight w:val="none"/>
                <w:lang w:val="en-US" w:eastAsia="zh-CN"/>
              </w:rPr>
              <w:t>2.24m</w:t>
            </w:r>
            <w:r>
              <w:rPr>
                <w:rFonts w:hint="eastAsia"/>
                <w:color w:val="auto"/>
                <w:spacing w:val="0"/>
                <w:w w:val="100"/>
                <w:position w:val="0"/>
                <w:sz w:val="21"/>
                <w:szCs w:val="21"/>
                <w:highlight w:val="none"/>
                <w:vertAlign w:val="superscript"/>
                <w:lang w:val="en-US" w:eastAsia="zh-CN"/>
              </w:rPr>
              <w:t>3</w:t>
            </w:r>
            <w:r>
              <w:rPr>
                <w:rFonts w:hint="eastAsia"/>
                <w:color w:val="auto"/>
                <w:spacing w:val="0"/>
                <w:w w:val="100"/>
                <w:position w:val="0"/>
                <w:sz w:val="21"/>
                <w:szCs w:val="21"/>
                <w:highlight w:val="none"/>
                <w:lang w:val="en-US" w:eastAsia="zh-CN"/>
              </w:rPr>
              <w:t>/d</w:t>
            </w:r>
          </w:p>
        </w:tc>
        <w:tc>
          <w:tcPr>
            <w:tcW w:w="977" w:type="pct"/>
            <w:noWrap w:val="0"/>
            <w:vAlign w:val="center"/>
          </w:tcPr>
          <w:p w14:paraId="3518B6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w w:val="100"/>
                <w:position w:val="0"/>
                <w:sz w:val="21"/>
                <w:szCs w:val="21"/>
                <w:highlight w:val="none"/>
                <w:lang w:val="en-US" w:eastAsia="zh-CN"/>
              </w:rPr>
            </w:pPr>
            <w:r>
              <w:rPr>
                <w:rFonts w:hint="eastAsia" w:cs="Times New Roman"/>
                <w:color w:val="auto"/>
                <w:spacing w:val="0"/>
                <w:w w:val="100"/>
                <w:position w:val="0"/>
                <w:sz w:val="21"/>
                <w:szCs w:val="21"/>
                <w:highlight w:val="none"/>
                <w:lang w:val="en-US" w:eastAsia="zh-CN"/>
              </w:rPr>
              <w:t>672</w:t>
            </w:r>
          </w:p>
        </w:tc>
        <w:tc>
          <w:tcPr>
            <w:tcW w:w="974" w:type="pct"/>
            <w:noWrap w:val="0"/>
            <w:vAlign w:val="center"/>
          </w:tcPr>
          <w:p w14:paraId="4326C9B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w w:val="100"/>
                <w:position w:val="0"/>
                <w:sz w:val="21"/>
                <w:szCs w:val="21"/>
                <w:highlight w:val="none"/>
                <w:lang w:val="en-US" w:eastAsia="zh-CN"/>
              </w:rPr>
            </w:pPr>
            <w:r>
              <w:rPr>
                <w:rFonts w:hint="eastAsia" w:cs="Times New Roman"/>
                <w:color w:val="auto"/>
                <w:spacing w:val="0"/>
                <w:w w:val="100"/>
                <w:position w:val="0"/>
                <w:sz w:val="21"/>
                <w:szCs w:val="21"/>
                <w:highlight w:val="none"/>
                <w:lang w:val="en-US" w:eastAsia="zh-CN"/>
              </w:rPr>
              <w:t>672</w:t>
            </w:r>
          </w:p>
        </w:tc>
        <w:tc>
          <w:tcPr>
            <w:tcW w:w="855" w:type="pct"/>
            <w:noWrap w:val="0"/>
            <w:vAlign w:val="center"/>
          </w:tcPr>
          <w:p w14:paraId="0A5AF2A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w w:val="100"/>
                <w:position w:val="0"/>
                <w:sz w:val="21"/>
                <w:szCs w:val="21"/>
                <w:highlight w:val="none"/>
                <w:lang w:val="en-US" w:eastAsia="zh-CN"/>
              </w:rPr>
            </w:pPr>
            <w:r>
              <w:rPr>
                <w:rFonts w:hint="default" w:ascii="Times New Roman" w:hAnsi="Times New Roman" w:cs="Times New Roman"/>
                <w:color w:val="auto"/>
                <w:spacing w:val="0"/>
                <w:w w:val="100"/>
                <w:position w:val="0"/>
                <w:sz w:val="21"/>
                <w:szCs w:val="21"/>
                <w:highlight w:val="none"/>
                <w:lang w:val="en-US" w:eastAsia="zh-CN"/>
              </w:rPr>
              <w:t>0</w:t>
            </w:r>
          </w:p>
        </w:tc>
      </w:tr>
      <w:tr w14:paraId="23544F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cantSplit/>
          <w:trHeight w:val="0" w:hRule="atLeast"/>
          <w:jc w:val="center"/>
        </w:trPr>
        <w:tc>
          <w:tcPr>
            <w:tcW w:w="942" w:type="pct"/>
            <w:noWrap w:val="0"/>
            <w:vAlign w:val="center"/>
          </w:tcPr>
          <w:p w14:paraId="5E780A1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color w:val="auto"/>
                <w:spacing w:val="0"/>
                <w:w w:val="100"/>
                <w:position w:val="0"/>
                <w:sz w:val="21"/>
                <w:szCs w:val="21"/>
                <w:highlight w:val="none"/>
              </w:rPr>
            </w:pPr>
            <w:r>
              <w:rPr>
                <w:rFonts w:hint="default" w:ascii="Times New Roman" w:hAnsi="Times New Roman" w:cs="Times New Roman"/>
                <w:color w:val="auto"/>
                <w:spacing w:val="0"/>
                <w:w w:val="100"/>
                <w:position w:val="0"/>
                <w:sz w:val="21"/>
                <w:szCs w:val="21"/>
                <w:highlight w:val="none"/>
              </w:rPr>
              <w:t>合计</w:t>
            </w:r>
          </w:p>
        </w:tc>
        <w:tc>
          <w:tcPr>
            <w:tcW w:w="1249" w:type="pct"/>
            <w:noWrap w:val="0"/>
            <w:vAlign w:val="center"/>
          </w:tcPr>
          <w:p w14:paraId="35DBD5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color w:val="auto"/>
                <w:spacing w:val="0"/>
                <w:w w:val="100"/>
                <w:position w:val="0"/>
                <w:sz w:val="21"/>
                <w:szCs w:val="21"/>
                <w:highlight w:val="none"/>
              </w:rPr>
            </w:pPr>
            <w:r>
              <w:rPr>
                <w:rFonts w:hint="default" w:ascii="Times New Roman" w:hAnsi="Times New Roman" w:cs="Times New Roman"/>
                <w:color w:val="auto"/>
                <w:spacing w:val="0"/>
                <w:w w:val="100"/>
                <w:position w:val="0"/>
                <w:sz w:val="21"/>
                <w:szCs w:val="21"/>
                <w:highlight w:val="none"/>
              </w:rPr>
              <w:t>--</w:t>
            </w:r>
          </w:p>
        </w:tc>
        <w:tc>
          <w:tcPr>
            <w:tcW w:w="977" w:type="pct"/>
            <w:noWrap w:val="0"/>
            <w:vAlign w:val="center"/>
          </w:tcPr>
          <w:p w14:paraId="36AC2E9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w w:val="100"/>
                <w:position w:val="0"/>
                <w:sz w:val="21"/>
                <w:szCs w:val="21"/>
                <w:highlight w:val="none"/>
                <w:lang w:val="en-US" w:eastAsia="zh-CN"/>
              </w:rPr>
            </w:pPr>
            <w:r>
              <w:rPr>
                <w:rFonts w:hint="eastAsia" w:cs="Times New Roman"/>
                <w:color w:val="auto"/>
                <w:spacing w:val="0"/>
                <w:w w:val="100"/>
                <w:position w:val="0"/>
                <w:sz w:val="21"/>
                <w:szCs w:val="21"/>
                <w:highlight w:val="none"/>
                <w:lang w:val="en-US" w:eastAsia="zh-CN"/>
              </w:rPr>
              <w:t>1084.5</w:t>
            </w:r>
          </w:p>
        </w:tc>
        <w:tc>
          <w:tcPr>
            <w:tcW w:w="974" w:type="pct"/>
            <w:noWrap w:val="0"/>
            <w:vAlign w:val="center"/>
          </w:tcPr>
          <w:p w14:paraId="4D3B38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color w:val="auto"/>
                <w:spacing w:val="0"/>
                <w:w w:val="100"/>
                <w:position w:val="0"/>
                <w:sz w:val="21"/>
                <w:szCs w:val="21"/>
                <w:highlight w:val="none"/>
                <w:lang w:val="en-US"/>
              </w:rPr>
            </w:pPr>
            <w:r>
              <w:rPr>
                <w:rFonts w:hint="eastAsia" w:cs="Times New Roman"/>
                <w:color w:val="auto"/>
                <w:spacing w:val="0"/>
                <w:w w:val="100"/>
                <w:position w:val="0"/>
                <w:sz w:val="21"/>
                <w:szCs w:val="21"/>
                <w:highlight w:val="none"/>
                <w:lang w:val="en-US" w:eastAsia="zh-CN"/>
              </w:rPr>
              <w:t>754.5</w:t>
            </w:r>
          </w:p>
        </w:tc>
        <w:tc>
          <w:tcPr>
            <w:tcW w:w="855" w:type="pct"/>
            <w:noWrap w:val="0"/>
            <w:vAlign w:val="center"/>
          </w:tcPr>
          <w:p w14:paraId="2D87497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w w:val="100"/>
                <w:position w:val="0"/>
                <w:sz w:val="21"/>
                <w:szCs w:val="21"/>
                <w:highlight w:val="none"/>
                <w:lang w:val="en-US" w:eastAsia="zh-CN"/>
              </w:rPr>
            </w:pPr>
            <w:r>
              <w:rPr>
                <w:rFonts w:hint="eastAsia" w:ascii="Times New Roman" w:hAnsi="Times New Roman" w:cs="Times New Roman"/>
                <w:color w:val="auto"/>
                <w:spacing w:val="0"/>
                <w:w w:val="100"/>
                <w:position w:val="0"/>
                <w:sz w:val="21"/>
                <w:szCs w:val="21"/>
                <w:highlight w:val="none"/>
                <w:lang w:val="en-US" w:eastAsia="zh-CN"/>
              </w:rPr>
              <w:t>330</w:t>
            </w:r>
          </w:p>
        </w:tc>
      </w:tr>
    </w:tbl>
    <w:p w14:paraId="0E451D02">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210" w:name="_Toc28700"/>
      <w:bookmarkStart w:id="211" w:name="_Toc30786"/>
      <w:r>
        <w:rPr>
          <w:rFonts w:hint="default"/>
          <w:color w:val="auto"/>
          <w:spacing w:val="0"/>
          <w:w w:val="100"/>
          <w:position w:val="0"/>
          <w:highlight w:val="none"/>
          <w:lang w:val="en-US" w:eastAsia="zh-CN"/>
        </w:rPr>
        <w:t>3.</w:t>
      </w:r>
      <w:r>
        <w:rPr>
          <w:rFonts w:hint="eastAsia"/>
          <w:color w:val="auto"/>
          <w:spacing w:val="0"/>
          <w:w w:val="100"/>
          <w:position w:val="0"/>
          <w:highlight w:val="none"/>
          <w:lang w:val="en-US" w:eastAsia="zh-CN"/>
        </w:rPr>
        <w:t>2工程分析</w:t>
      </w:r>
      <w:bookmarkEnd w:id="210"/>
      <w:bookmarkEnd w:id="211"/>
    </w:p>
    <w:p w14:paraId="06342B2A">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212" w:name="_Toc14707"/>
      <w:r>
        <w:rPr>
          <w:rFonts w:hint="eastAsia"/>
          <w:color w:val="auto"/>
          <w:spacing w:val="0"/>
          <w:w w:val="100"/>
          <w:position w:val="0"/>
          <w:highlight w:val="none"/>
          <w:lang w:val="en-US" w:eastAsia="zh-CN"/>
        </w:rPr>
        <w:t>3.2.1</w:t>
      </w:r>
      <w:r>
        <w:rPr>
          <w:rFonts w:hint="default"/>
          <w:color w:val="auto"/>
          <w:spacing w:val="0"/>
          <w:w w:val="100"/>
          <w:position w:val="0"/>
          <w:highlight w:val="none"/>
          <w:lang w:val="en-US" w:eastAsia="zh-CN"/>
        </w:rPr>
        <w:t>施工期生产工艺流程及产排污环节</w:t>
      </w:r>
      <w:bookmarkEnd w:id="212"/>
    </w:p>
    <w:p w14:paraId="486BA08F">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rPr>
        <w:t>施工期产生的污染物主要有废气、废水、噪声及固废等。施工期工艺流程及</w:t>
      </w:r>
      <w:r>
        <w:rPr>
          <w:rFonts w:hint="default"/>
          <w:color w:val="auto"/>
          <w:spacing w:val="0"/>
          <w:w w:val="100"/>
          <w:position w:val="0"/>
          <w:highlight w:val="none"/>
          <w:lang w:val="en-US" w:eastAsia="zh-CN"/>
        </w:rPr>
        <w:t>产</w:t>
      </w:r>
      <w:r>
        <w:rPr>
          <w:rFonts w:hint="default"/>
          <w:color w:val="auto"/>
          <w:spacing w:val="0"/>
          <w:w w:val="100"/>
          <w:position w:val="0"/>
          <w:highlight w:val="none"/>
        </w:rPr>
        <w:t>排污节点图见图</w:t>
      </w:r>
      <w:r>
        <w:rPr>
          <w:rFonts w:hint="default"/>
          <w:color w:val="auto"/>
          <w:spacing w:val="0"/>
          <w:w w:val="100"/>
          <w:position w:val="0"/>
          <w:highlight w:val="none"/>
          <w:lang w:val="en-US" w:eastAsia="zh-CN"/>
        </w:rPr>
        <w:t>3.</w:t>
      </w:r>
      <w:r>
        <w:rPr>
          <w:rFonts w:hint="eastAsia"/>
          <w:color w:val="auto"/>
          <w:spacing w:val="0"/>
          <w:w w:val="100"/>
          <w:position w:val="0"/>
          <w:highlight w:val="none"/>
          <w:lang w:val="en-US" w:eastAsia="zh-CN"/>
        </w:rPr>
        <w:t>2</w:t>
      </w:r>
      <w:r>
        <w:rPr>
          <w:rFonts w:hint="default"/>
          <w:color w:val="auto"/>
          <w:spacing w:val="0"/>
          <w:w w:val="100"/>
          <w:position w:val="0"/>
          <w:highlight w:val="none"/>
          <w:lang w:val="en-US" w:eastAsia="zh-CN"/>
        </w:rPr>
        <w:t>-1</w:t>
      </w:r>
      <w:r>
        <w:rPr>
          <w:rFonts w:hint="default"/>
          <w:color w:val="auto"/>
          <w:spacing w:val="0"/>
          <w:w w:val="100"/>
          <w:position w:val="0"/>
          <w:highlight w:val="none"/>
        </w:rPr>
        <w:t>。</w:t>
      </w:r>
    </w:p>
    <w:p w14:paraId="016D9F37">
      <w:pPr>
        <w:keepNext w:val="0"/>
        <w:keepLines w:val="0"/>
        <w:pageBreakBefore w:val="0"/>
        <w:widowControl w:val="0"/>
        <w:kinsoku/>
        <w:wordWrap/>
        <w:overflowPunct/>
        <w:topLinePunct w:val="0"/>
        <w:autoSpaceDE/>
        <w:autoSpaceDN/>
        <w:bidi w:val="0"/>
        <w:adjustRightInd/>
        <w:snapToGrid/>
        <w:spacing w:before="169" w:beforeLines="50" w:after="169" w:afterLines="50" w:line="360" w:lineRule="auto"/>
        <w:jc w:val="center"/>
        <w:textAlignment w:val="auto"/>
        <w:rPr>
          <w:rFonts w:hint="default" w:ascii="Times New Roman" w:hAnsi="Times New Roman" w:eastAsia="宋体" w:cs="Times New Roman"/>
          <w:b/>
          <w:color w:val="auto"/>
          <w:spacing w:val="0"/>
          <w:w w:val="100"/>
          <w:kern w:val="0"/>
          <w:position w:val="0"/>
          <w:sz w:val="21"/>
          <w:szCs w:val="20"/>
          <w:highlight w:val="none"/>
        </w:rPr>
      </w:pPr>
      <w:r>
        <w:rPr>
          <w:rFonts w:hint="default" w:ascii="Times New Roman" w:hAnsi="Times New Roman" w:eastAsia="宋体" w:cs="Times New Roman"/>
          <w:b/>
          <w:color w:val="auto"/>
          <w:spacing w:val="0"/>
          <w:w w:val="100"/>
          <w:kern w:val="0"/>
          <w:position w:val="0"/>
          <w:sz w:val="21"/>
          <w:szCs w:val="20"/>
          <w:highlight w:val="none"/>
        </w:rPr>
        <w:object>
          <v:shape id="_x0000_i1026" o:spt="75" type="#_x0000_t75" style="height:89.25pt;width:275.25pt;" o:ole="t" filled="f" o:preferrelative="t" stroked="f" coordsize="21600,21600">
            <v:path/>
            <v:fill on="f" focussize="0,0"/>
            <v:stroke on="f"/>
            <v:imagedata r:id="rId20" o:title=""/>
            <o:lock v:ext="edit" aspectratio="f"/>
            <w10:wrap type="none"/>
            <w10:anchorlock/>
          </v:shape>
          <o:OLEObject Type="Embed" ProgID="Visio.Drawing.15" ShapeID="_x0000_i1026" DrawAspect="Content" ObjectID="_1468075726" r:id="rId19">
            <o:LockedField>false</o:LockedField>
          </o:OLEObject>
        </w:object>
      </w:r>
    </w:p>
    <w:p w14:paraId="72C67F0B">
      <w:pPr>
        <w:keepNext w:val="0"/>
        <w:keepLines w:val="0"/>
        <w:pageBreakBefore w:val="0"/>
        <w:widowControl w:val="0"/>
        <w:kinsoku/>
        <w:wordWrap/>
        <w:overflowPunct/>
        <w:topLinePunct w:val="0"/>
        <w:autoSpaceDE/>
        <w:autoSpaceDN/>
        <w:bidi w:val="0"/>
        <w:adjustRightInd/>
        <w:snapToGrid/>
        <w:spacing w:before="169" w:beforeLines="50" w:after="169" w:afterLines="50" w:line="360" w:lineRule="auto"/>
        <w:jc w:val="center"/>
        <w:textAlignment w:val="auto"/>
        <w:rPr>
          <w:rFonts w:hint="default" w:ascii="Times New Roman" w:hAnsi="Times New Roman" w:eastAsia="宋体" w:cs="Times New Roman"/>
          <w:b/>
          <w:color w:val="auto"/>
          <w:spacing w:val="0"/>
          <w:w w:val="100"/>
          <w:kern w:val="0"/>
          <w:position w:val="0"/>
          <w:sz w:val="21"/>
          <w:szCs w:val="20"/>
          <w:highlight w:val="none"/>
        </w:rPr>
      </w:pPr>
      <w:r>
        <w:rPr>
          <w:rFonts w:hint="default" w:ascii="Times New Roman" w:hAnsi="Times New Roman" w:eastAsia="宋体" w:cs="Times New Roman"/>
          <w:b/>
          <w:color w:val="auto"/>
          <w:spacing w:val="0"/>
          <w:w w:val="100"/>
          <w:kern w:val="0"/>
          <w:position w:val="0"/>
          <w:sz w:val="21"/>
          <w:szCs w:val="20"/>
          <w:highlight w:val="none"/>
        </w:rPr>
        <w:t>图</w:t>
      </w:r>
      <w:r>
        <w:rPr>
          <w:rFonts w:hint="default" w:ascii="Times New Roman" w:hAnsi="Times New Roman" w:eastAsia="宋体" w:cs="Times New Roman"/>
          <w:b/>
          <w:color w:val="auto"/>
          <w:spacing w:val="0"/>
          <w:w w:val="100"/>
          <w:kern w:val="0"/>
          <w:position w:val="0"/>
          <w:sz w:val="21"/>
          <w:szCs w:val="20"/>
          <w:highlight w:val="none"/>
          <w:lang w:val="en-US" w:eastAsia="zh-CN"/>
        </w:rPr>
        <w:t>3.</w:t>
      </w:r>
      <w:r>
        <w:rPr>
          <w:rFonts w:hint="eastAsia" w:ascii="Times New Roman" w:hAnsi="Times New Roman" w:eastAsia="宋体" w:cs="Times New Roman"/>
          <w:b/>
          <w:color w:val="auto"/>
          <w:spacing w:val="0"/>
          <w:w w:val="100"/>
          <w:kern w:val="0"/>
          <w:position w:val="0"/>
          <w:sz w:val="21"/>
          <w:szCs w:val="20"/>
          <w:highlight w:val="none"/>
          <w:lang w:val="en-US" w:eastAsia="zh-CN"/>
        </w:rPr>
        <w:t>2.1</w:t>
      </w:r>
      <w:r>
        <w:rPr>
          <w:rFonts w:hint="default" w:ascii="Times New Roman" w:hAnsi="Times New Roman" w:eastAsia="宋体" w:cs="Times New Roman"/>
          <w:b/>
          <w:color w:val="auto"/>
          <w:spacing w:val="0"/>
          <w:w w:val="100"/>
          <w:kern w:val="0"/>
          <w:position w:val="0"/>
          <w:sz w:val="21"/>
          <w:szCs w:val="20"/>
          <w:highlight w:val="none"/>
          <w:lang w:val="en-US" w:eastAsia="zh-CN"/>
        </w:rPr>
        <w:t>-1</w:t>
      </w:r>
      <w:r>
        <w:rPr>
          <w:rFonts w:hint="default" w:ascii="Times New Roman" w:hAnsi="Times New Roman" w:eastAsia="宋体" w:cs="Times New Roman"/>
          <w:b/>
          <w:color w:val="auto"/>
          <w:spacing w:val="0"/>
          <w:w w:val="100"/>
          <w:kern w:val="0"/>
          <w:position w:val="0"/>
          <w:sz w:val="21"/>
          <w:szCs w:val="20"/>
          <w:highlight w:val="none"/>
        </w:rPr>
        <w:t xml:space="preserve">  施工期工艺流程及产排污节点图</w:t>
      </w:r>
    </w:p>
    <w:p w14:paraId="11ACFD87">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213" w:name="_Toc1478"/>
      <w:bookmarkStart w:id="214" w:name="_Toc30392"/>
      <w:bookmarkStart w:id="215" w:name="_Toc821"/>
      <w:bookmarkStart w:id="216" w:name="_Toc25906"/>
      <w:bookmarkStart w:id="217" w:name="_Toc8722"/>
      <w:bookmarkStart w:id="218" w:name="_Toc31683"/>
      <w:bookmarkStart w:id="219" w:name="_Toc17368"/>
      <w:r>
        <w:rPr>
          <w:rFonts w:hint="default"/>
          <w:color w:val="auto"/>
          <w:spacing w:val="0"/>
          <w:w w:val="100"/>
          <w:position w:val="0"/>
          <w:highlight w:val="none"/>
          <w:lang w:val="en-US" w:eastAsia="zh-CN"/>
        </w:rPr>
        <w:t>3.</w:t>
      </w:r>
      <w:r>
        <w:rPr>
          <w:rFonts w:hint="eastAsia"/>
          <w:color w:val="auto"/>
          <w:spacing w:val="0"/>
          <w:w w:val="100"/>
          <w:position w:val="0"/>
          <w:highlight w:val="none"/>
          <w:lang w:val="en-US" w:eastAsia="zh-CN"/>
        </w:rPr>
        <w:t>2</w:t>
      </w:r>
      <w:r>
        <w:rPr>
          <w:rFonts w:hint="default"/>
          <w:color w:val="auto"/>
          <w:spacing w:val="0"/>
          <w:w w:val="100"/>
          <w:position w:val="0"/>
          <w:highlight w:val="none"/>
          <w:lang w:val="en-US" w:eastAsia="zh-CN"/>
        </w:rPr>
        <w:t>.2运营期生产工艺流程及产排污环节</w:t>
      </w:r>
      <w:bookmarkEnd w:id="213"/>
      <w:bookmarkEnd w:id="214"/>
      <w:bookmarkEnd w:id="215"/>
      <w:bookmarkEnd w:id="216"/>
      <w:bookmarkEnd w:id="217"/>
      <w:bookmarkEnd w:id="218"/>
      <w:bookmarkEnd w:id="219"/>
    </w:p>
    <w:p w14:paraId="7100BF84">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eastAsia="zh-CN"/>
        </w:rPr>
        <w:t>本项目</w:t>
      </w:r>
      <w:r>
        <w:rPr>
          <w:rFonts w:hint="eastAsia"/>
          <w:color w:val="auto"/>
          <w:spacing w:val="0"/>
          <w:w w:val="100"/>
          <w:position w:val="0"/>
          <w:highlight w:val="none"/>
          <w:lang w:val="en-US" w:eastAsia="zh-CN"/>
        </w:rPr>
        <w:t>铝塑复合板生产线</w:t>
      </w:r>
      <w:r>
        <w:rPr>
          <w:rFonts w:hint="default"/>
          <w:color w:val="auto"/>
          <w:spacing w:val="0"/>
          <w:w w:val="100"/>
          <w:position w:val="0"/>
          <w:highlight w:val="none"/>
        </w:rPr>
        <w:t>工艺流程及产排污节点图见图</w:t>
      </w:r>
      <w:r>
        <w:rPr>
          <w:rFonts w:hint="default"/>
          <w:color w:val="auto"/>
          <w:spacing w:val="0"/>
          <w:w w:val="100"/>
          <w:position w:val="0"/>
          <w:highlight w:val="none"/>
          <w:lang w:val="en-US" w:eastAsia="zh-CN"/>
        </w:rPr>
        <w:t>3.</w:t>
      </w:r>
      <w:r>
        <w:rPr>
          <w:rFonts w:hint="eastAsia"/>
          <w:color w:val="auto"/>
          <w:spacing w:val="0"/>
          <w:w w:val="100"/>
          <w:position w:val="0"/>
          <w:highlight w:val="none"/>
          <w:lang w:val="en-US" w:eastAsia="zh-CN"/>
        </w:rPr>
        <w:t>2.2-1。</w:t>
      </w:r>
    </w:p>
    <w:p w14:paraId="1EE1D9F0">
      <w:pPr>
        <w:pStyle w:val="3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eastAsia="宋体"/>
          <w:color w:val="auto"/>
          <w:spacing w:val="0"/>
          <w:w w:val="100"/>
          <w:position w:val="0"/>
          <w:highlight w:val="none"/>
          <w:lang w:eastAsia="zh-CN"/>
        </w:rPr>
      </w:pPr>
      <w:r>
        <w:rPr>
          <w:rFonts w:hint="eastAsia" w:eastAsia="宋体"/>
          <w:color w:val="auto"/>
          <w:spacing w:val="0"/>
          <w:w w:val="100"/>
          <w:position w:val="0"/>
          <w:highlight w:val="none"/>
          <w:lang w:eastAsia="zh-CN"/>
        </w:rPr>
        <w:object>
          <v:shape id="_x0000_i1027" o:spt="75" type="#_x0000_t75" style="height:425.2pt;width:307.5pt;" o:ole="t" filled="f" o:preferrelative="t" stroked="f" coordsize="21600,21600">
            <v:path/>
            <v:fill on="f" focussize="0,0"/>
            <v:stroke on="f"/>
            <v:imagedata r:id="rId22" o:title=""/>
            <o:lock v:ext="edit" aspectratio="f"/>
            <w10:wrap type="none"/>
            <w10:anchorlock/>
          </v:shape>
          <o:OLEObject Type="Embed" ProgID="Visio.Drawing.15" ShapeID="_x0000_i1027" DrawAspect="Content" ObjectID="_1468075727" r:id="rId21">
            <o:LockedField>false</o:LockedField>
          </o:OLEObject>
        </w:object>
      </w:r>
    </w:p>
    <w:p w14:paraId="72AE87C8">
      <w:pPr>
        <w:pStyle w:val="33"/>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color w:val="auto"/>
          <w:spacing w:val="0"/>
          <w:w w:val="100"/>
          <w:position w:val="0"/>
          <w:highlight w:val="none"/>
          <w:lang w:val="en-US" w:eastAsia="zh-CN"/>
        </w:rPr>
      </w:pPr>
      <w:r>
        <w:rPr>
          <w:rFonts w:hint="default"/>
          <w:color w:val="auto"/>
          <w:spacing w:val="0"/>
          <w:w w:val="100"/>
          <w:position w:val="0"/>
          <w:highlight w:val="none"/>
        </w:rPr>
        <w:t>图</w:t>
      </w:r>
      <w:r>
        <w:rPr>
          <w:rFonts w:hint="default"/>
          <w:color w:val="auto"/>
          <w:spacing w:val="0"/>
          <w:w w:val="100"/>
          <w:position w:val="0"/>
          <w:highlight w:val="none"/>
          <w:lang w:val="en-US" w:eastAsia="zh-CN"/>
        </w:rPr>
        <w:t>3.</w:t>
      </w:r>
      <w:r>
        <w:rPr>
          <w:rFonts w:hint="eastAsia"/>
          <w:color w:val="auto"/>
          <w:spacing w:val="0"/>
          <w:w w:val="100"/>
          <w:position w:val="0"/>
          <w:highlight w:val="none"/>
          <w:lang w:val="en-US" w:eastAsia="zh-CN"/>
        </w:rPr>
        <w:t>2.2-1</w:t>
      </w:r>
      <w:r>
        <w:rPr>
          <w:rFonts w:hint="default"/>
          <w:color w:val="auto"/>
          <w:spacing w:val="0"/>
          <w:w w:val="100"/>
          <w:position w:val="0"/>
          <w:highlight w:val="none"/>
        </w:rPr>
        <w:t xml:space="preserve">  </w:t>
      </w:r>
      <w:r>
        <w:rPr>
          <w:rFonts w:hint="eastAsia"/>
          <w:color w:val="auto"/>
          <w:spacing w:val="0"/>
          <w:w w:val="100"/>
          <w:position w:val="0"/>
          <w:highlight w:val="none"/>
          <w:lang w:val="en-US" w:eastAsia="zh-CN"/>
        </w:rPr>
        <w:t>运营</w:t>
      </w:r>
      <w:r>
        <w:rPr>
          <w:rFonts w:hint="default"/>
          <w:color w:val="auto"/>
          <w:spacing w:val="0"/>
          <w:w w:val="100"/>
          <w:position w:val="0"/>
          <w:highlight w:val="none"/>
        </w:rPr>
        <w:t>期</w:t>
      </w:r>
      <w:r>
        <w:rPr>
          <w:rFonts w:hint="eastAsia"/>
          <w:color w:val="auto"/>
          <w:spacing w:val="0"/>
          <w:w w:val="100"/>
          <w:position w:val="0"/>
          <w:highlight w:val="none"/>
          <w:lang w:val="en-US" w:eastAsia="zh-CN"/>
        </w:rPr>
        <w:t>铝塑复合板生产线</w:t>
      </w:r>
      <w:r>
        <w:rPr>
          <w:rFonts w:hint="default"/>
          <w:color w:val="auto"/>
          <w:spacing w:val="0"/>
          <w:w w:val="100"/>
          <w:position w:val="0"/>
          <w:highlight w:val="none"/>
        </w:rPr>
        <w:t>工艺流程及产排污节点图</w:t>
      </w:r>
    </w:p>
    <w:p w14:paraId="14DF1DC0">
      <w:pPr>
        <w:pStyle w:val="3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工艺流程简述：</w:t>
      </w:r>
    </w:p>
    <w:p w14:paraId="13F74251">
      <w:pPr>
        <w:pStyle w:val="3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本项目铝塑复合板生产工艺方案主要包括混料搅拌、PE板挤出成型、热压复合、修边保温、热压工段、整平贴膜、修边剪切、检验包装等工段。</w:t>
      </w:r>
    </w:p>
    <w:p w14:paraId="4BC5EEA6">
      <w:pPr>
        <w:pStyle w:val="3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（1）混料搅拌</w:t>
      </w:r>
    </w:p>
    <w:p w14:paraId="57407D00">
      <w:pPr>
        <w:pStyle w:val="3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项目原料为袋装的再生PE粒料、PE粉料及钙粉，将PE粒料、PE粉料及钙粉按比例人工倒入混料机料斗，然后由提升装置将进料斗提升到混料机的加料口，混料搅拌在全密闭搅拌机内搅拌，充分混合后的物料待进入下一工序。</w:t>
      </w:r>
    </w:p>
    <w:p w14:paraId="19DD4062">
      <w:pPr>
        <w:pStyle w:val="3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产污环节：投料出料产生的粉尘（G1）、废包装袋（S1）及搅拌机的噪声。</w:t>
      </w:r>
    </w:p>
    <w:p w14:paraId="32CF97A2">
      <w:pPr>
        <w:pStyle w:val="3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（2）PE板挤出成型工段</w:t>
      </w:r>
    </w:p>
    <w:p w14:paraId="3B444566">
      <w:pPr>
        <w:pStyle w:val="3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车间上料采用密闭拌料与生产线挤出机进料口直接相连，传输过程采取密闭操作，不产生粉尘。项目采用单螺杆挤出机，挤出机采用电加热，挤出速度控制在1.3~1.7m/min左右。挤出机有三个区段：加料段（送料段）、熔化段（压缩段）、计量段（均化段）。此三段所起的作用不同。加料段（控温在150°C左右）是把料斗来的固体塑料升温到它的软化点，并将它送到熔化段，只是一个升温和输送过程，塑料仍是固体状态。熔化段（控温在200°C左右）一般在螺杆中部，塑料在这段中除受热和前移外，司时粒状固体逐渐压实和熔化为连续状的熔体，还将包在料内的空气向送料段排出，塑料在这段是由固态逐渐转化为熔融状态。计量段（控温在200°C左右）是螺杆的最后一段，熔体在这段中进一步均匀塑化，并使料流定量、定压由机头流道均匀挤出，所以又称均化段。</w:t>
      </w:r>
    </w:p>
    <w:p w14:paraId="57F74623">
      <w:pPr>
        <w:pStyle w:val="3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挤出机的末端设置过滤器，将PE物料中的杂质过滤除去，产生废过滤渣和废过滤网等。其中废过滤渣定期排放，每条生产线每天排放3次左右；废过滤网定期更换，每条生产线每年更换2次。</w:t>
      </w:r>
    </w:p>
    <w:p w14:paraId="25137F7C">
      <w:pPr>
        <w:pStyle w:val="3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过滤后的物料通过模头挤出后进入五辊压光，调整好五辊间隙，通过五辊压光即可得到厚度均匀、光泽度良好的PE芯板。五辊挤压过程中，在辊压机内部通循环冷却水对PE芯板进行冷却，冷却后的PE芯板的温度在60-70°C。挤出后产品通过五辊压光机碾压成型，并能控制一定的厚度。</w:t>
      </w:r>
    </w:p>
    <w:p w14:paraId="1989DB08">
      <w:pPr>
        <w:pStyle w:val="3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产污环节：挤出成型过程产生的有机废气（G2）、废过滤渣和废过滤网（S2）、冷却水（W1）、挤出成型工序运转产生的噪声。</w:t>
      </w:r>
    </w:p>
    <w:p w14:paraId="7804D480">
      <w:pPr>
        <w:pStyle w:val="3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（3）热压复合工段</w:t>
      </w:r>
    </w:p>
    <w:p w14:paraId="3721564A">
      <w:pPr>
        <w:pStyle w:val="32"/>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预热的PE板与高分子胶膜、铝卷一起进入热压辊，热压辊（电加热）的温度保持在200-210°C，铝卷在经过热压轮时要和热压辊保持一定包角，铝卷在包角上和热压辊接触时间保持20s左右，由于金属导热快，铝卷很快得到预热，在热压时，控制适当的压力，完成热压复合。该过程设备加热使用电加热。</w:t>
      </w:r>
    </w:p>
    <w:p w14:paraId="5497BDF9">
      <w:pPr>
        <w:pStyle w:val="3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产污环节：项目热压工序会产生废气（G3）、设备噪声。</w:t>
      </w:r>
    </w:p>
    <w:p w14:paraId="419F55E2">
      <w:pPr>
        <w:pStyle w:val="3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（4）修边保温工段</w:t>
      </w:r>
    </w:p>
    <w:p w14:paraId="53C5FDBD">
      <w:pPr>
        <w:pStyle w:val="3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经过热压复合后铝塑复合板产生较大变形，宽度超出了铝卷的边部，必须进行修边，将宽出部分修成与铝卷齐平。这样，塑料板边缘就不会粘在后续工序的辊子上面而影响板材向前正常移动。热压复合出来的铝塑复合板，经修边后，进入保温箱，以减小板材的内应力，保温箱的温度为180-190°C，保温时间为4min左右。</w:t>
      </w:r>
    </w:p>
    <w:p w14:paraId="2557A157">
      <w:pPr>
        <w:pStyle w:val="3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产污环节：项目修边保温工序会产生有机废气（G4）和修边粉尘（G5）、切边下脚料（S3）和设备噪声。</w:t>
      </w:r>
    </w:p>
    <w:p w14:paraId="2F926863">
      <w:pPr>
        <w:pStyle w:val="3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（5）整平贴膜</w:t>
      </w:r>
    </w:p>
    <w:p w14:paraId="13288B3B">
      <w:pPr>
        <w:pStyle w:val="3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冷却后的铝塑复合板需要在铝面卷表面覆1层保护膜，以保护铝塑板的装饰表面免受外界损伤。利用保护膜自带的粘性，通过1组胶辊挤压进行覆膜，覆保护膜时要检查保护膜的平整度、有无打折及粘度是否良好。换卷时产生废保护膜。</w:t>
      </w:r>
    </w:p>
    <w:p w14:paraId="4854F8F4">
      <w:pPr>
        <w:pStyle w:val="3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产污环节：项目贴膜工序会产生少量有机废气（G6）和噪声。</w:t>
      </w:r>
    </w:p>
    <w:p w14:paraId="5F7F5D28">
      <w:pPr>
        <w:pStyle w:val="3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（6）剪切及包装工段</w:t>
      </w:r>
    </w:p>
    <w:p w14:paraId="746A6D4C">
      <w:pPr>
        <w:pStyle w:val="3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采用修边机自带的电锯对裁切后的铝塑板进行修边处理，修边机每次可以处理10张铝塑板。修边后得到标准尺寸的铝塑板（1220mmx2440mimx4mm），每张板裁切掉的面积约为0.074m</w:t>
      </w:r>
      <w:r>
        <w:rPr>
          <w:rFonts w:hint="eastAsia"/>
          <w:color w:val="auto"/>
          <w:spacing w:val="0"/>
          <w:w w:val="100"/>
          <w:position w:val="0"/>
          <w:highlight w:val="none"/>
          <w:vertAlign w:val="superscript"/>
          <w:lang w:val="en-US" w:eastAsia="zh-CN"/>
        </w:rPr>
        <w:t>2</w:t>
      </w:r>
      <w:r>
        <w:rPr>
          <w:rFonts w:hint="eastAsia"/>
          <w:color w:val="auto"/>
          <w:spacing w:val="0"/>
          <w:w w:val="100"/>
          <w:position w:val="0"/>
          <w:highlight w:val="none"/>
          <w:lang w:val="en-US" w:eastAsia="zh-CN"/>
        </w:rPr>
        <w:t>。修边过程产生的粉尘颗粒较大，质量较重，颗粒物散落范围很小，企业定期打扫收集。</w:t>
      </w:r>
    </w:p>
    <w:p w14:paraId="3B831C64">
      <w:pPr>
        <w:pStyle w:val="3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产污环节：项目修边剪切、检验和包装工序会产生少量颗粒物（G7）和边角料（S4）、废包装袋（S5）和设备噪声。</w:t>
      </w:r>
    </w:p>
    <w:p w14:paraId="2E127661">
      <w:pPr>
        <w:pStyle w:val="3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本项目生产过程加热均使用电加热。</w:t>
      </w:r>
    </w:p>
    <w:p w14:paraId="59F78739">
      <w:pPr>
        <w:pStyle w:val="3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表</w:t>
      </w:r>
      <w:r>
        <w:rPr>
          <w:rFonts w:hint="eastAsia"/>
          <w:color w:val="auto"/>
          <w:spacing w:val="0"/>
          <w:w w:val="100"/>
          <w:position w:val="0"/>
          <w:highlight w:val="none"/>
          <w:lang w:val="en-US" w:eastAsia="zh-CN"/>
        </w:rPr>
        <w:t>3.2.2-1  运营期</w:t>
      </w:r>
      <w:r>
        <w:rPr>
          <w:rFonts w:hint="default"/>
          <w:color w:val="auto"/>
          <w:spacing w:val="0"/>
          <w:w w:val="100"/>
          <w:position w:val="0"/>
          <w:highlight w:val="none"/>
          <w:lang w:val="en-US" w:eastAsia="zh-CN"/>
        </w:rPr>
        <w:t>产污环节一览表</w:t>
      </w:r>
    </w:p>
    <w:tbl>
      <w:tblPr>
        <w:tblStyle w:val="25"/>
        <w:tblW w:w="0" w:type="auto"/>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57" w:type="dxa"/>
          <w:left w:w="57" w:type="dxa"/>
          <w:bottom w:w="57" w:type="dxa"/>
          <w:right w:w="57" w:type="dxa"/>
        </w:tblCellMar>
      </w:tblPr>
      <w:tblGrid>
        <w:gridCol w:w="542"/>
        <w:gridCol w:w="638"/>
        <w:gridCol w:w="1691"/>
        <w:gridCol w:w="1958"/>
        <w:gridCol w:w="3591"/>
      </w:tblGrid>
      <w:tr w14:paraId="013BF14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542" w:type="dxa"/>
            <w:tcBorders>
              <w:tl2br w:val="nil"/>
              <w:tr2bl w:val="nil"/>
            </w:tcBorders>
            <w:vAlign w:val="center"/>
          </w:tcPr>
          <w:p w14:paraId="7EA69A1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eastAsia"/>
                <w:b/>
                <w:bCs/>
                <w:color w:val="auto"/>
                <w:spacing w:val="0"/>
                <w:w w:val="100"/>
                <w:position w:val="0"/>
                <w:highlight w:val="none"/>
                <w:lang w:val="en-US" w:eastAsia="zh-CN"/>
              </w:rPr>
            </w:pPr>
            <w:r>
              <w:rPr>
                <w:rFonts w:hint="eastAsia"/>
                <w:b/>
                <w:bCs/>
                <w:color w:val="auto"/>
                <w:spacing w:val="0"/>
                <w:w w:val="100"/>
                <w:position w:val="0"/>
                <w:highlight w:val="none"/>
                <w:lang w:val="en-US" w:eastAsia="zh-CN"/>
              </w:rPr>
              <w:t>项目</w:t>
            </w:r>
          </w:p>
        </w:tc>
        <w:tc>
          <w:tcPr>
            <w:tcW w:w="638" w:type="dxa"/>
            <w:tcBorders>
              <w:tl2br w:val="nil"/>
              <w:tr2bl w:val="nil"/>
            </w:tcBorders>
            <w:vAlign w:val="center"/>
          </w:tcPr>
          <w:p w14:paraId="7A75533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lang w:val="en-US" w:eastAsia="zh-CN"/>
              </w:rPr>
            </w:pPr>
            <w:r>
              <w:rPr>
                <w:rFonts w:hint="eastAsia"/>
                <w:b/>
                <w:bCs/>
                <w:color w:val="auto"/>
                <w:spacing w:val="0"/>
                <w:w w:val="100"/>
                <w:position w:val="0"/>
                <w:highlight w:val="none"/>
                <w:lang w:val="en-US" w:eastAsia="zh-CN"/>
              </w:rPr>
              <w:t>序号</w:t>
            </w:r>
          </w:p>
        </w:tc>
        <w:tc>
          <w:tcPr>
            <w:tcW w:w="1691" w:type="dxa"/>
            <w:tcBorders>
              <w:tl2br w:val="nil"/>
              <w:tr2bl w:val="nil"/>
            </w:tcBorders>
            <w:vAlign w:val="center"/>
          </w:tcPr>
          <w:p w14:paraId="146A46E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eastAsia"/>
                <w:b/>
                <w:bCs/>
                <w:color w:val="auto"/>
                <w:spacing w:val="0"/>
                <w:w w:val="100"/>
                <w:position w:val="0"/>
                <w:highlight w:val="none"/>
                <w:lang w:val="en-US" w:eastAsia="zh-CN"/>
              </w:rPr>
            </w:pPr>
            <w:r>
              <w:rPr>
                <w:rFonts w:hint="eastAsia"/>
                <w:b/>
                <w:bCs/>
                <w:color w:val="auto"/>
                <w:spacing w:val="0"/>
                <w:w w:val="100"/>
                <w:position w:val="0"/>
                <w:highlight w:val="none"/>
                <w:lang w:val="en-US" w:eastAsia="zh-CN"/>
              </w:rPr>
              <w:t>产污环节</w:t>
            </w:r>
          </w:p>
        </w:tc>
        <w:tc>
          <w:tcPr>
            <w:tcW w:w="1958" w:type="dxa"/>
            <w:tcBorders>
              <w:tl2br w:val="nil"/>
              <w:tr2bl w:val="nil"/>
            </w:tcBorders>
            <w:vAlign w:val="center"/>
          </w:tcPr>
          <w:p w14:paraId="794E0B0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lang w:val="en-US" w:eastAsia="zh-CN"/>
              </w:rPr>
            </w:pPr>
            <w:r>
              <w:rPr>
                <w:rFonts w:hint="eastAsia"/>
                <w:b/>
                <w:bCs/>
                <w:color w:val="auto"/>
                <w:spacing w:val="0"/>
                <w:w w:val="100"/>
                <w:position w:val="0"/>
                <w:highlight w:val="none"/>
                <w:lang w:val="en-US" w:eastAsia="zh-CN"/>
              </w:rPr>
              <w:t>污染物种类</w:t>
            </w:r>
          </w:p>
        </w:tc>
        <w:tc>
          <w:tcPr>
            <w:tcW w:w="3591" w:type="dxa"/>
            <w:tcBorders>
              <w:tl2br w:val="nil"/>
              <w:tr2bl w:val="nil"/>
            </w:tcBorders>
            <w:vAlign w:val="center"/>
          </w:tcPr>
          <w:p w14:paraId="0507A74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lang w:val="en-US" w:eastAsia="zh-CN"/>
              </w:rPr>
            </w:pPr>
            <w:r>
              <w:rPr>
                <w:rFonts w:hint="eastAsia"/>
                <w:b/>
                <w:bCs/>
                <w:color w:val="auto"/>
                <w:spacing w:val="0"/>
                <w:w w:val="100"/>
                <w:position w:val="0"/>
                <w:highlight w:val="none"/>
                <w:lang w:val="en-US" w:eastAsia="zh-CN"/>
              </w:rPr>
              <w:t>处理措施</w:t>
            </w:r>
          </w:p>
        </w:tc>
      </w:tr>
      <w:tr w14:paraId="0C91186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542" w:type="dxa"/>
            <w:vMerge w:val="restart"/>
            <w:tcBorders>
              <w:tl2br w:val="nil"/>
              <w:tr2bl w:val="nil"/>
            </w:tcBorders>
            <w:vAlign w:val="center"/>
          </w:tcPr>
          <w:p w14:paraId="7A2DD27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废气</w:t>
            </w:r>
          </w:p>
        </w:tc>
        <w:tc>
          <w:tcPr>
            <w:tcW w:w="638" w:type="dxa"/>
            <w:tcBorders>
              <w:tl2br w:val="nil"/>
              <w:tr2bl w:val="nil"/>
            </w:tcBorders>
            <w:vAlign w:val="center"/>
          </w:tcPr>
          <w:p w14:paraId="71F9C0F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ascii="Times New Roman" w:hAnsi="Times New Roman"/>
                <w:color w:val="auto"/>
                <w:spacing w:val="0"/>
                <w:w w:val="100"/>
                <w:position w:val="0"/>
                <w:highlight w:val="none"/>
                <w:lang w:val="en-US" w:eastAsia="zh-CN"/>
              </w:rPr>
            </w:pPr>
            <w:r>
              <w:rPr>
                <w:rFonts w:hint="eastAsia" w:ascii="Times New Roman" w:hAnsi="Times New Roman"/>
                <w:color w:val="auto"/>
                <w:spacing w:val="0"/>
                <w:w w:val="100"/>
                <w:position w:val="0"/>
                <w:highlight w:val="none"/>
                <w:lang w:val="en-US" w:eastAsia="zh-CN"/>
              </w:rPr>
              <w:t>G1</w:t>
            </w:r>
          </w:p>
        </w:tc>
        <w:tc>
          <w:tcPr>
            <w:tcW w:w="1691" w:type="dxa"/>
            <w:tcBorders>
              <w:tl2br w:val="nil"/>
              <w:tr2bl w:val="nil"/>
            </w:tcBorders>
            <w:vAlign w:val="center"/>
          </w:tcPr>
          <w:p w14:paraId="4D46E6B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ascii="Times New Roman" w:hAnsi="Times New Roman"/>
                <w:color w:val="auto"/>
                <w:spacing w:val="0"/>
                <w:w w:val="100"/>
                <w:position w:val="0"/>
                <w:highlight w:val="none"/>
                <w:lang w:val="en-US" w:eastAsia="zh-CN"/>
              </w:rPr>
            </w:pPr>
            <w:r>
              <w:rPr>
                <w:rFonts w:hint="eastAsia" w:ascii="Times New Roman" w:hAnsi="Times New Roman"/>
                <w:color w:val="auto"/>
                <w:spacing w:val="0"/>
                <w:w w:val="100"/>
                <w:position w:val="0"/>
                <w:highlight w:val="none"/>
                <w:lang w:val="en-US" w:eastAsia="zh-CN"/>
              </w:rPr>
              <w:t>混料搅拌</w:t>
            </w:r>
          </w:p>
        </w:tc>
        <w:tc>
          <w:tcPr>
            <w:tcW w:w="1958" w:type="dxa"/>
            <w:tcBorders>
              <w:tl2br w:val="nil"/>
              <w:tr2bl w:val="nil"/>
            </w:tcBorders>
            <w:vAlign w:val="center"/>
          </w:tcPr>
          <w:p w14:paraId="41296F6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eastAsia="宋体"/>
                <w:color w:val="auto"/>
                <w:spacing w:val="0"/>
                <w:w w:val="100"/>
                <w:position w:val="0"/>
                <w:highlight w:val="none"/>
                <w:lang w:val="en-US" w:eastAsia="zh-CN"/>
              </w:rPr>
            </w:pPr>
            <w:r>
              <w:rPr>
                <w:rFonts w:hint="eastAsia"/>
                <w:color w:val="auto"/>
                <w:spacing w:val="0"/>
                <w:w w:val="100"/>
                <w:position w:val="0"/>
                <w:highlight w:val="none"/>
                <w:lang w:val="en-US" w:eastAsia="zh-CN"/>
              </w:rPr>
              <w:t>颗粒物</w:t>
            </w:r>
          </w:p>
        </w:tc>
        <w:tc>
          <w:tcPr>
            <w:tcW w:w="3591" w:type="dxa"/>
            <w:tcBorders>
              <w:tl2br w:val="nil"/>
              <w:tr2bl w:val="nil"/>
            </w:tcBorders>
            <w:vAlign w:val="center"/>
          </w:tcPr>
          <w:p w14:paraId="29B3F17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eastAsia="宋体"/>
                <w:color w:val="auto"/>
                <w:spacing w:val="0"/>
                <w:w w:val="100"/>
                <w:position w:val="0"/>
                <w:highlight w:val="none"/>
                <w:lang w:val="en-US" w:eastAsia="zh-CN"/>
              </w:rPr>
            </w:pPr>
            <w:r>
              <w:rPr>
                <w:rFonts w:hint="eastAsia"/>
                <w:color w:val="auto"/>
                <w:spacing w:val="0"/>
                <w:w w:val="100"/>
                <w:position w:val="0"/>
                <w:highlight w:val="none"/>
                <w:lang w:val="en-US" w:eastAsia="zh-CN"/>
              </w:rPr>
              <w:t>密闭管道+布袋除尘器+15m排气筒（DA001）排放</w:t>
            </w:r>
          </w:p>
        </w:tc>
      </w:tr>
      <w:tr w14:paraId="1DD2414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542" w:type="dxa"/>
            <w:vMerge w:val="continue"/>
            <w:tcBorders>
              <w:tl2br w:val="nil"/>
              <w:tr2bl w:val="nil"/>
            </w:tcBorders>
            <w:vAlign w:val="center"/>
          </w:tcPr>
          <w:p w14:paraId="1F578E3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eastAsia"/>
                <w:color w:val="auto"/>
                <w:spacing w:val="0"/>
                <w:w w:val="100"/>
                <w:position w:val="0"/>
                <w:highlight w:val="none"/>
                <w:lang w:val="en-US" w:eastAsia="zh-CN"/>
              </w:rPr>
            </w:pPr>
          </w:p>
        </w:tc>
        <w:tc>
          <w:tcPr>
            <w:tcW w:w="638" w:type="dxa"/>
            <w:tcBorders>
              <w:tl2br w:val="nil"/>
              <w:tr2bl w:val="nil"/>
            </w:tcBorders>
            <w:vAlign w:val="center"/>
          </w:tcPr>
          <w:p w14:paraId="499C70A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ascii="Times New Roman" w:hAnsi="Times New Roman"/>
                <w:color w:val="auto"/>
                <w:spacing w:val="0"/>
                <w:w w:val="100"/>
                <w:position w:val="0"/>
                <w:highlight w:val="none"/>
                <w:lang w:val="en-US" w:eastAsia="zh-CN"/>
              </w:rPr>
            </w:pPr>
            <w:r>
              <w:rPr>
                <w:rFonts w:hint="eastAsia" w:ascii="Times New Roman" w:hAnsi="Times New Roman"/>
                <w:color w:val="auto"/>
                <w:spacing w:val="0"/>
                <w:w w:val="100"/>
                <w:position w:val="0"/>
                <w:highlight w:val="none"/>
                <w:lang w:val="en-US" w:eastAsia="zh-CN"/>
              </w:rPr>
              <w:t>G2</w:t>
            </w:r>
          </w:p>
        </w:tc>
        <w:tc>
          <w:tcPr>
            <w:tcW w:w="1691" w:type="dxa"/>
            <w:tcBorders>
              <w:tl2br w:val="nil"/>
              <w:tr2bl w:val="nil"/>
            </w:tcBorders>
            <w:vAlign w:val="center"/>
          </w:tcPr>
          <w:p w14:paraId="34ADA7A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ascii="Times New Roman" w:hAnsi="Times New Roman"/>
                <w:color w:val="auto"/>
                <w:spacing w:val="0"/>
                <w:w w:val="100"/>
                <w:position w:val="0"/>
                <w:highlight w:val="none"/>
                <w:lang w:val="en-US" w:eastAsia="zh-CN"/>
              </w:rPr>
            </w:pPr>
            <w:r>
              <w:rPr>
                <w:rFonts w:hint="eastAsia" w:ascii="Times New Roman" w:hAnsi="Times New Roman"/>
                <w:color w:val="auto"/>
                <w:spacing w:val="0"/>
                <w:w w:val="100"/>
                <w:position w:val="0"/>
                <w:highlight w:val="none"/>
                <w:lang w:val="en-US" w:eastAsia="zh-CN"/>
              </w:rPr>
              <w:t>挤出成型</w:t>
            </w:r>
          </w:p>
        </w:tc>
        <w:tc>
          <w:tcPr>
            <w:tcW w:w="1958" w:type="dxa"/>
            <w:tcBorders>
              <w:tl2br w:val="nil"/>
              <w:tr2bl w:val="nil"/>
            </w:tcBorders>
            <w:vAlign w:val="center"/>
          </w:tcPr>
          <w:p w14:paraId="01016C5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有机废气</w:t>
            </w:r>
          </w:p>
        </w:tc>
        <w:tc>
          <w:tcPr>
            <w:tcW w:w="3591" w:type="dxa"/>
            <w:vMerge w:val="restart"/>
            <w:tcBorders>
              <w:tl2br w:val="nil"/>
              <w:tr2bl w:val="nil"/>
            </w:tcBorders>
            <w:vAlign w:val="center"/>
          </w:tcPr>
          <w:p w14:paraId="111FE77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集气罩+“活性炭吸附脱附+催化燃烧装置”+15m排气筒（DA002）排放</w:t>
            </w:r>
          </w:p>
        </w:tc>
      </w:tr>
      <w:tr w14:paraId="15477BE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542" w:type="dxa"/>
            <w:vMerge w:val="continue"/>
            <w:tcBorders>
              <w:tl2br w:val="nil"/>
              <w:tr2bl w:val="nil"/>
            </w:tcBorders>
            <w:vAlign w:val="center"/>
          </w:tcPr>
          <w:p w14:paraId="1CEE9D0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eastAsia"/>
                <w:color w:val="auto"/>
                <w:spacing w:val="0"/>
                <w:w w:val="100"/>
                <w:position w:val="0"/>
                <w:highlight w:val="none"/>
                <w:lang w:val="en-US" w:eastAsia="zh-CN"/>
              </w:rPr>
            </w:pPr>
          </w:p>
        </w:tc>
        <w:tc>
          <w:tcPr>
            <w:tcW w:w="638" w:type="dxa"/>
            <w:tcBorders>
              <w:tl2br w:val="nil"/>
              <w:tr2bl w:val="nil"/>
            </w:tcBorders>
            <w:shd w:val="clear" w:color="auto" w:fill="auto"/>
            <w:vAlign w:val="center"/>
          </w:tcPr>
          <w:p w14:paraId="5AA879E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default" w:ascii="Times New Roman" w:hAnsi="Times New Roman" w:eastAsia="宋体" w:cstheme="minorBidi"/>
                <w:color w:val="auto"/>
                <w:spacing w:val="0"/>
                <w:w w:val="100"/>
                <w:kern w:val="0"/>
                <w:position w:val="0"/>
                <w:sz w:val="21"/>
                <w:szCs w:val="21"/>
                <w:highlight w:val="none"/>
                <w:lang w:val="en-US" w:eastAsia="zh-CN" w:bidi="ar-SA"/>
              </w:rPr>
            </w:pPr>
            <w:r>
              <w:rPr>
                <w:rFonts w:hint="eastAsia" w:ascii="Times New Roman" w:hAnsi="Times New Roman"/>
                <w:color w:val="auto"/>
                <w:spacing w:val="0"/>
                <w:w w:val="100"/>
                <w:position w:val="0"/>
                <w:highlight w:val="none"/>
                <w:lang w:val="en-US" w:eastAsia="zh-CN"/>
              </w:rPr>
              <w:t>G3</w:t>
            </w:r>
          </w:p>
        </w:tc>
        <w:tc>
          <w:tcPr>
            <w:tcW w:w="1691" w:type="dxa"/>
            <w:tcBorders>
              <w:tl2br w:val="nil"/>
              <w:tr2bl w:val="nil"/>
            </w:tcBorders>
            <w:vAlign w:val="center"/>
          </w:tcPr>
          <w:p w14:paraId="462E5EA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ascii="Times New Roman" w:hAnsi="Times New Roman"/>
                <w:color w:val="auto"/>
                <w:spacing w:val="0"/>
                <w:w w:val="100"/>
                <w:position w:val="0"/>
                <w:highlight w:val="none"/>
                <w:lang w:val="en-US" w:eastAsia="zh-CN"/>
              </w:rPr>
            </w:pPr>
            <w:r>
              <w:rPr>
                <w:rFonts w:hint="eastAsia" w:ascii="Times New Roman" w:hAnsi="Times New Roman"/>
                <w:color w:val="auto"/>
                <w:spacing w:val="0"/>
                <w:w w:val="100"/>
                <w:position w:val="0"/>
                <w:highlight w:val="none"/>
                <w:lang w:val="en-US" w:eastAsia="zh-CN"/>
              </w:rPr>
              <w:t>热压复合</w:t>
            </w:r>
          </w:p>
        </w:tc>
        <w:tc>
          <w:tcPr>
            <w:tcW w:w="1958" w:type="dxa"/>
            <w:tcBorders>
              <w:tl2br w:val="nil"/>
              <w:tr2bl w:val="nil"/>
            </w:tcBorders>
            <w:vAlign w:val="center"/>
          </w:tcPr>
          <w:p w14:paraId="4007440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有机废气</w:t>
            </w:r>
          </w:p>
        </w:tc>
        <w:tc>
          <w:tcPr>
            <w:tcW w:w="3591" w:type="dxa"/>
            <w:vMerge w:val="continue"/>
            <w:tcBorders>
              <w:tl2br w:val="nil"/>
              <w:tr2bl w:val="nil"/>
            </w:tcBorders>
            <w:vAlign w:val="center"/>
          </w:tcPr>
          <w:p w14:paraId="43AFCCA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eastAsia"/>
                <w:color w:val="auto"/>
                <w:spacing w:val="0"/>
                <w:w w:val="100"/>
                <w:position w:val="0"/>
                <w:highlight w:val="none"/>
                <w:lang w:val="en-US" w:eastAsia="zh-CN"/>
              </w:rPr>
            </w:pPr>
          </w:p>
        </w:tc>
      </w:tr>
      <w:tr w14:paraId="457E85E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542" w:type="dxa"/>
            <w:vMerge w:val="continue"/>
            <w:tcBorders>
              <w:tl2br w:val="nil"/>
              <w:tr2bl w:val="nil"/>
            </w:tcBorders>
            <w:vAlign w:val="center"/>
          </w:tcPr>
          <w:p w14:paraId="1B0D358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eastAsia"/>
                <w:color w:val="auto"/>
                <w:spacing w:val="0"/>
                <w:w w:val="100"/>
                <w:position w:val="0"/>
                <w:highlight w:val="none"/>
                <w:lang w:val="en-US" w:eastAsia="zh-CN"/>
              </w:rPr>
            </w:pPr>
          </w:p>
        </w:tc>
        <w:tc>
          <w:tcPr>
            <w:tcW w:w="638" w:type="dxa"/>
            <w:tcBorders>
              <w:tl2br w:val="nil"/>
              <w:tr2bl w:val="nil"/>
            </w:tcBorders>
            <w:shd w:val="clear" w:color="auto" w:fill="auto"/>
            <w:vAlign w:val="center"/>
          </w:tcPr>
          <w:p w14:paraId="07A8A63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default" w:ascii="Times New Roman" w:hAnsi="Times New Roman" w:eastAsia="宋体" w:cstheme="minorBidi"/>
                <w:color w:val="auto"/>
                <w:spacing w:val="0"/>
                <w:w w:val="100"/>
                <w:kern w:val="0"/>
                <w:position w:val="0"/>
                <w:sz w:val="21"/>
                <w:szCs w:val="21"/>
                <w:highlight w:val="none"/>
                <w:lang w:val="en-US" w:eastAsia="zh-CN" w:bidi="ar-SA"/>
              </w:rPr>
            </w:pPr>
            <w:r>
              <w:rPr>
                <w:rFonts w:hint="eastAsia" w:ascii="Times New Roman" w:hAnsi="Times New Roman"/>
                <w:color w:val="auto"/>
                <w:spacing w:val="0"/>
                <w:w w:val="100"/>
                <w:position w:val="0"/>
                <w:highlight w:val="none"/>
                <w:lang w:val="en-US" w:eastAsia="zh-CN"/>
              </w:rPr>
              <w:t>G4</w:t>
            </w:r>
          </w:p>
        </w:tc>
        <w:tc>
          <w:tcPr>
            <w:tcW w:w="1691" w:type="dxa"/>
            <w:vMerge w:val="restart"/>
            <w:tcBorders>
              <w:tl2br w:val="nil"/>
              <w:tr2bl w:val="nil"/>
            </w:tcBorders>
            <w:vAlign w:val="center"/>
          </w:tcPr>
          <w:p w14:paraId="6722AC8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ascii="Times New Roman" w:hAnsi="Times New Roman"/>
                <w:color w:val="auto"/>
                <w:spacing w:val="0"/>
                <w:w w:val="100"/>
                <w:position w:val="0"/>
                <w:highlight w:val="none"/>
                <w:lang w:val="en-US" w:eastAsia="zh-CN"/>
              </w:rPr>
            </w:pPr>
            <w:r>
              <w:rPr>
                <w:rFonts w:hint="eastAsia" w:ascii="Times New Roman" w:hAnsi="Times New Roman"/>
                <w:color w:val="auto"/>
                <w:spacing w:val="0"/>
                <w:w w:val="100"/>
                <w:position w:val="0"/>
                <w:highlight w:val="none"/>
                <w:lang w:val="en-US" w:eastAsia="zh-CN"/>
              </w:rPr>
              <w:t>修边保温</w:t>
            </w:r>
          </w:p>
        </w:tc>
        <w:tc>
          <w:tcPr>
            <w:tcW w:w="1958" w:type="dxa"/>
            <w:tcBorders>
              <w:tl2br w:val="nil"/>
              <w:tr2bl w:val="nil"/>
            </w:tcBorders>
            <w:vAlign w:val="center"/>
          </w:tcPr>
          <w:p w14:paraId="50DBD00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有机废气</w:t>
            </w:r>
          </w:p>
        </w:tc>
        <w:tc>
          <w:tcPr>
            <w:tcW w:w="3591" w:type="dxa"/>
            <w:vMerge w:val="continue"/>
            <w:tcBorders>
              <w:tl2br w:val="nil"/>
              <w:tr2bl w:val="nil"/>
            </w:tcBorders>
            <w:vAlign w:val="center"/>
          </w:tcPr>
          <w:p w14:paraId="3D3FFC7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eastAsia"/>
                <w:color w:val="auto"/>
                <w:spacing w:val="0"/>
                <w:w w:val="100"/>
                <w:position w:val="0"/>
                <w:highlight w:val="none"/>
                <w:lang w:val="en-US" w:eastAsia="zh-CN"/>
              </w:rPr>
            </w:pPr>
          </w:p>
        </w:tc>
      </w:tr>
      <w:tr w14:paraId="00025A8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542" w:type="dxa"/>
            <w:vMerge w:val="continue"/>
            <w:tcBorders>
              <w:tl2br w:val="nil"/>
              <w:tr2bl w:val="nil"/>
            </w:tcBorders>
            <w:vAlign w:val="center"/>
          </w:tcPr>
          <w:p w14:paraId="696B59F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eastAsia"/>
                <w:color w:val="auto"/>
                <w:spacing w:val="0"/>
                <w:w w:val="100"/>
                <w:position w:val="0"/>
                <w:highlight w:val="none"/>
                <w:lang w:val="en-US" w:eastAsia="zh-CN"/>
              </w:rPr>
            </w:pPr>
          </w:p>
        </w:tc>
        <w:tc>
          <w:tcPr>
            <w:tcW w:w="638" w:type="dxa"/>
            <w:tcBorders>
              <w:tl2br w:val="nil"/>
              <w:tr2bl w:val="nil"/>
            </w:tcBorders>
            <w:shd w:val="clear" w:color="auto" w:fill="auto"/>
            <w:vAlign w:val="center"/>
          </w:tcPr>
          <w:p w14:paraId="049F365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eastAsia" w:ascii="Times New Roman" w:hAnsi="Times New Roman" w:eastAsia="宋体" w:cstheme="minorBidi"/>
                <w:color w:val="auto"/>
                <w:spacing w:val="0"/>
                <w:w w:val="100"/>
                <w:kern w:val="0"/>
                <w:position w:val="0"/>
                <w:sz w:val="21"/>
                <w:szCs w:val="21"/>
                <w:highlight w:val="none"/>
                <w:lang w:val="en-US" w:eastAsia="zh-CN" w:bidi="ar-SA"/>
              </w:rPr>
            </w:pPr>
            <w:r>
              <w:rPr>
                <w:rFonts w:hint="eastAsia"/>
                <w:color w:val="auto"/>
                <w:spacing w:val="0"/>
                <w:w w:val="100"/>
                <w:position w:val="0"/>
                <w:highlight w:val="none"/>
                <w:lang w:val="en-US" w:eastAsia="zh-CN"/>
              </w:rPr>
              <w:t>G5</w:t>
            </w:r>
          </w:p>
        </w:tc>
        <w:tc>
          <w:tcPr>
            <w:tcW w:w="1691" w:type="dxa"/>
            <w:vMerge w:val="continue"/>
            <w:tcBorders>
              <w:tl2br w:val="nil"/>
              <w:tr2bl w:val="nil"/>
            </w:tcBorders>
            <w:vAlign w:val="center"/>
          </w:tcPr>
          <w:p w14:paraId="342DF41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eastAsia" w:ascii="Times New Roman" w:hAnsi="Times New Roman"/>
                <w:color w:val="auto"/>
                <w:spacing w:val="0"/>
                <w:w w:val="100"/>
                <w:position w:val="0"/>
                <w:highlight w:val="none"/>
                <w:lang w:val="en-US" w:eastAsia="zh-CN"/>
              </w:rPr>
            </w:pPr>
          </w:p>
        </w:tc>
        <w:tc>
          <w:tcPr>
            <w:tcW w:w="1958" w:type="dxa"/>
            <w:tcBorders>
              <w:tl2br w:val="nil"/>
              <w:tr2bl w:val="nil"/>
            </w:tcBorders>
            <w:vAlign w:val="center"/>
          </w:tcPr>
          <w:p w14:paraId="446FC41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颗粒物</w:t>
            </w:r>
          </w:p>
        </w:tc>
        <w:tc>
          <w:tcPr>
            <w:tcW w:w="3591" w:type="dxa"/>
            <w:tcBorders>
              <w:tl2br w:val="nil"/>
              <w:tr2bl w:val="nil"/>
            </w:tcBorders>
            <w:vAlign w:val="center"/>
          </w:tcPr>
          <w:p w14:paraId="1FB0C6B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重力沉降，无组织排放</w:t>
            </w:r>
          </w:p>
        </w:tc>
      </w:tr>
      <w:tr w14:paraId="245A787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542" w:type="dxa"/>
            <w:vMerge w:val="continue"/>
            <w:tcBorders>
              <w:tl2br w:val="nil"/>
              <w:tr2bl w:val="nil"/>
            </w:tcBorders>
            <w:vAlign w:val="center"/>
          </w:tcPr>
          <w:p w14:paraId="26A447B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eastAsia"/>
                <w:color w:val="auto"/>
                <w:spacing w:val="0"/>
                <w:w w:val="100"/>
                <w:position w:val="0"/>
                <w:highlight w:val="none"/>
                <w:lang w:val="en-US" w:eastAsia="zh-CN"/>
              </w:rPr>
            </w:pPr>
          </w:p>
        </w:tc>
        <w:tc>
          <w:tcPr>
            <w:tcW w:w="638" w:type="dxa"/>
            <w:tcBorders>
              <w:tl2br w:val="nil"/>
              <w:tr2bl w:val="nil"/>
            </w:tcBorders>
            <w:shd w:val="clear" w:color="auto" w:fill="auto"/>
            <w:vAlign w:val="center"/>
          </w:tcPr>
          <w:p w14:paraId="2E81D55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default" w:ascii="Times New Roman" w:hAnsi="Times New Roman" w:eastAsia="宋体" w:cstheme="minorBidi"/>
                <w:color w:val="auto"/>
                <w:spacing w:val="0"/>
                <w:w w:val="100"/>
                <w:kern w:val="0"/>
                <w:position w:val="0"/>
                <w:sz w:val="21"/>
                <w:szCs w:val="21"/>
                <w:highlight w:val="none"/>
                <w:lang w:val="en-US" w:eastAsia="zh-CN" w:bidi="ar-SA"/>
              </w:rPr>
            </w:pPr>
            <w:r>
              <w:rPr>
                <w:rFonts w:hint="eastAsia"/>
                <w:color w:val="auto"/>
                <w:spacing w:val="0"/>
                <w:w w:val="100"/>
                <w:position w:val="0"/>
                <w:highlight w:val="none"/>
                <w:lang w:val="en-US" w:eastAsia="zh-CN"/>
              </w:rPr>
              <w:t>G6</w:t>
            </w:r>
          </w:p>
        </w:tc>
        <w:tc>
          <w:tcPr>
            <w:tcW w:w="1691" w:type="dxa"/>
            <w:tcBorders>
              <w:tl2br w:val="nil"/>
              <w:tr2bl w:val="nil"/>
            </w:tcBorders>
            <w:vAlign w:val="center"/>
          </w:tcPr>
          <w:p w14:paraId="219B7B1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ascii="Times New Roman" w:hAnsi="Times New Roman"/>
                <w:color w:val="auto"/>
                <w:spacing w:val="0"/>
                <w:w w:val="100"/>
                <w:position w:val="0"/>
                <w:highlight w:val="none"/>
                <w:lang w:val="en-US" w:eastAsia="zh-CN"/>
              </w:rPr>
            </w:pPr>
            <w:r>
              <w:rPr>
                <w:rFonts w:hint="eastAsia"/>
                <w:color w:val="auto"/>
                <w:spacing w:val="0"/>
                <w:w w:val="100"/>
                <w:position w:val="0"/>
                <w:highlight w:val="none"/>
                <w:lang w:val="en-US" w:eastAsia="zh-CN"/>
              </w:rPr>
              <w:t>整平贴膜</w:t>
            </w:r>
          </w:p>
        </w:tc>
        <w:tc>
          <w:tcPr>
            <w:tcW w:w="1958" w:type="dxa"/>
            <w:tcBorders>
              <w:tl2br w:val="nil"/>
              <w:tr2bl w:val="nil"/>
            </w:tcBorders>
            <w:vAlign w:val="center"/>
          </w:tcPr>
          <w:p w14:paraId="479DEB6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有机废气</w:t>
            </w:r>
          </w:p>
        </w:tc>
        <w:tc>
          <w:tcPr>
            <w:tcW w:w="3591" w:type="dxa"/>
            <w:tcBorders>
              <w:tl2br w:val="nil"/>
              <w:tr2bl w:val="nil"/>
            </w:tcBorders>
            <w:vAlign w:val="center"/>
          </w:tcPr>
          <w:p w14:paraId="516C8D4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w:t>
            </w:r>
          </w:p>
        </w:tc>
      </w:tr>
      <w:tr w14:paraId="648B84B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90" w:hRule="atLeast"/>
          <w:jc w:val="center"/>
        </w:trPr>
        <w:tc>
          <w:tcPr>
            <w:tcW w:w="542" w:type="dxa"/>
            <w:vMerge w:val="continue"/>
            <w:tcBorders>
              <w:tl2br w:val="nil"/>
              <w:tr2bl w:val="nil"/>
            </w:tcBorders>
            <w:vAlign w:val="center"/>
          </w:tcPr>
          <w:p w14:paraId="22886CC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eastAsia"/>
                <w:color w:val="auto"/>
                <w:spacing w:val="0"/>
                <w:w w:val="100"/>
                <w:position w:val="0"/>
                <w:highlight w:val="none"/>
                <w:lang w:val="en-US" w:eastAsia="zh-CN"/>
              </w:rPr>
            </w:pPr>
          </w:p>
        </w:tc>
        <w:tc>
          <w:tcPr>
            <w:tcW w:w="638" w:type="dxa"/>
            <w:tcBorders>
              <w:tl2br w:val="nil"/>
              <w:tr2bl w:val="nil"/>
            </w:tcBorders>
            <w:shd w:val="clear" w:color="auto" w:fill="auto"/>
            <w:vAlign w:val="center"/>
          </w:tcPr>
          <w:p w14:paraId="2A28CD4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default" w:ascii="Times New Roman" w:hAnsi="Times New Roman"/>
                <w:color w:val="auto"/>
                <w:spacing w:val="0"/>
                <w:w w:val="100"/>
                <w:position w:val="0"/>
                <w:highlight w:val="none"/>
                <w:lang w:val="en-US" w:eastAsia="zh-CN"/>
              </w:rPr>
            </w:pPr>
            <w:r>
              <w:rPr>
                <w:rFonts w:hint="eastAsia"/>
                <w:color w:val="auto"/>
                <w:spacing w:val="0"/>
                <w:w w:val="100"/>
                <w:position w:val="0"/>
                <w:highlight w:val="none"/>
                <w:lang w:val="en-US" w:eastAsia="zh-CN"/>
              </w:rPr>
              <w:t>G7</w:t>
            </w:r>
          </w:p>
        </w:tc>
        <w:tc>
          <w:tcPr>
            <w:tcW w:w="1691" w:type="dxa"/>
            <w:tcBorders>
              <w:tl2br w:val="nil"/>
              <w:tr2bl w:val="nil"/>
            </w:tcBorders>
            <w:vAlign w:val="center"/>
          </w:tcPr>
          <w:p w14:paraId="22EE6E9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ascii="Times New Roman" w:hAnsi="Times New Roman"/>
                <w:color w:val="auto"/>
                <w:spacing w:val="0"/>
                <w:w w:val="100"/>
                <w:position w:val="0"/>
                <w:highlight w:val="none"/>
                <w:lang w:val="en-US" w:eastAsia="zh-CN"/>
              </w:rPr>
            </w:pPr>
            <w:r>
              <w:rPr>
                <w:rFonts w:hint="eastAsia"/>
                <w:color w:val="auto"/>
                <w:spacing w:val="0"/>
                <w:w w:val="100"/>
                <w:position w:val="0"/>
                <w:highlight w:val="none"/>
                <w:lang w:val="en-US" w:eastAsia="zh-CN"/>
              </w:rPr>
              <w:t>修边剪切</w:t>
            </w:r>
          </w:p>
        </w:tc>
        <w:tc>
          <w:tcPr>
            <w:tcW w:w="1958" w:type="dxa"/>
            <w:tcBorders>
              <w:tl2br w:val="nil"/>
              <w:tr2bl w:val="nil"/>
            </w:tcBorders>
            <w:vAlign w:val="center"/>
          </w:tcPr>
          <w:p w14:paraId="197DF50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颗粒物</w:t>
            </w:r>
          </w:p>
        </w:tc>
        <w:tc>
          <w:tcPr>
            <w:tcW w:w="3591" w:type="dxa"/>
            <w:tcBorders>
              <w:tl2br w:val="nil"/>
              <w:tr2bl w:val="nil"/>
            </w:tcBorders>
            <w:vAlign w:val="center"/>
          </w:tcPr>
          <w:p w14:paraId="46E31C5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重力沉降，无组织排放</w:t>
            </w:r>
          </w:p>
        </w:tc>
      </w:tr>
      <w:tr w14:paraId="18CF7C5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1180" w:type="dxa"/>
            <w:gridSpan w:val="2"/>
            <w:tcBorders>
              <w:tl2br w:val="nil"/>
              <w:tr2bl w:val="nil"/>
            </w:tcBorders>
            <w:shd w:val="clear" w:color="auto" w:fill="auto"/>
            <w:vAlign w:val="center"/>
          </w:tcPr>
          <w:p w14:paraId="2419504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噪声</w:t>
            </w:r>
          </w:p>
        </w:tc>
        <w:tc>
          <w:tcPr>
            <w:tcW w:w="1691" w:type="dxa"/>
            <w:tcBorders>
              <w:tl2br w:val="nil"/>
              <w:tr2bl w:val="nil"/>
            </w:tcBorders>
            <w:shd w:val="clear" w:color="auto" w:fill="auto"/>
            <w:vAlign w:val="center"/>
          </w:tcPr>
          <w:p w14:paraId="2F6955D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eastAsia"/>
                <w:color w:val="auto"/>
                <w:spacing w:val="0"/>
                <w:w w:val="100"/>
                <w:position w:val="0"/>
                <w:highlight w:val="none"/>
                <w:lang w:val="en-US" w:eastAsia="zh-CN"/>
              </w:rPr>
            </w:pPr>
            <w:r>
              <w:rPr>
                <w:rFonts w:hint="default"/>
                <w:color w:val="auto"/>
                <w:spacing w:val="0"/>
                <w:w w:val="100"/>
                <w:kern w:val="21"/>
                <w:position w:val="0"/>
                <w:sz w:val="21"/>
              </w:rPr>
              <w:t>各类机械设备</w:t>
            </w:r>
          </w:p>
        </w:tc>
        <w:tc>
          <w:tcPr>
            <w:tcW w:w="1958" w:type="dxa"/>
            <w:tcBorders>
              <w:tl2br w:val="nil"/>
              <w:tr2bl w:val="nil"/>
            </w:tcBorders>
            <w:shd w:val="clear" w:color="auto" w:fill="auto"/>
            <w:vAlign w:val="center"/>
          </w:tcPr>
          <w:p w14:paraId="420F5D2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eastAsia"/>
                <w:color w:val="auto"/>
                <w:spacing w:val="0"/>
                <w:w w:val="100"/>
                <w:position w:val="0"/>
                <w:highlight w:val="none"/>
                <w:lang w:val="en-US" w:eastAsia="zh-CN"/>
              </w:rPr>
            </w:pPr>
            <w:r>
              <w:rPr>
                <w:rFonts w:hint="default"/>
                <w:color w:val="auto"/>
                <w:spacing w:val="0"/>
                <w:w w:val="100"/>
                <w:kern w:val="21"/>
                <w:position w:val="0"/>
                <w:sz w:val="21"/>
              </w:rPr>
              <w:t>L</w:t>
            </w:r>
            <w:r>
              <w:rPr>
                <w:rFonts w:hint="default"/>
                <w:color w:val="auto"/>
                <w:spacing w:val="0"/>
                <w:w w:val="100"/>
                <w:kern w:val="21"/>
                <w:position w:val="0"/>
                <w:sz w:val="21"/>
                <w:vertAlign w:val="subscript"/>
              </w:rPr>
              <w:t>Aeq</w:t>
            </w:r>
          </w:p>
        </w:tc>
        <w:tc>
          <w:tcPr>
            <w:tcW w:w="3591" w:type="dxa"/>
            <w:tcBorders>
              <w:tl2br w:val="nil"/>
              <w:tr2bl w:val="nil"/>
            </w:tcBorders>
            <w:shd w:val="clear" w:color="auto" w:fill="auto"/>
            <w:vAlign w:val="center"/>
          </w:tcPr>
          <w:p w14:paraId="76DD66F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eastAsia"/>
                <w:color w:val="auto"/>
                <w:spacing w:val="0"/>
                <w:w w:val="100"/>
                <w:position w:val="0"/>
                <w:highlight w:val="none"/>
                <w:lang w:val="en-US" w:eastAsia="zh-CN"/>
              </w:rPr>
            </w:pPr>
            <w:r>
              <w:rPr>
                <w:rFonts w:hint="default"/>
                <w:color w:val="auto"/>
                <w:spacing w:val="0"/>
                <w:w w:val="100"/>
                <w:kern w:val="21"/>
                <w:position w:val="0"/>
                <w:sz w:val="21"/>
              </w:rPr>
              <w:t>消声、减振等降噪措施</w:t>
            </w:r>
          </w:p>
        </w:tc>
      </w:tr>
      <w:tr w14:paraId="229E9DC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542" w:type="dxa"/>
            <w:tcBorders>
              <w:tl2br w:val="nil"/>
              <w:tr2bl w:val="nil"/>
            </w:tcBorders>
            <w:shd w:val="clear" w:color="auto" w:fill="auto"/>
            <w:vAlign w:val="center"/>
          </w:tcPr>
          <w:p w14:paraId="408AA10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废水</w:t>
            </w:r>
          </w:p>
        </w:tc>
        <w:tc>
          <w:tcPr>
            <w:tcW w:w="638" w:type="dxa"/>
            <w:tcBorders>
              <w:tl2br w:val="nil"/>
              <w:tr2bl w:val="nil"/>
            </w:tcBorders>
            <w:shd w:val="clear" w:color="auto" w:fill="auto"/>
            <w:vAlign w:val="center"/>
          </w:tcPr>
          <w:p w14:paraId="5AA1094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W1</w:t>
            </w:r>
          </w:p>
        </w:tc>
        <w:tc>
          <w:tcPr>
            <w:tcW w:w="1691" w:type="dxa"/>
            <w:tcBorders>
              <w:tl2br w:val="nil"/>
              <w:tr2bl w:val="nil"/>
            </w:tcBorders>
            <w:shd w:val="clear" w:color="auto" w:fill="auto"/>
            <w:vAlign w:val="center"/>
          </w:tcPr>
          <w:p w14:paraId="4577FE6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挤出成型</w:t>
            </w:r>
          </w:p>
        </w:tc>
        <w:tc>
          <w:tcPr>
            <w:tcW w:w="1958" w:type="dxa"/>
            <w:tcBorders>
              <w:tl2br w:val="nil"/>
              <w:tr2bl w:val="nil"/>
            </w:tcBorders>
            <w:shd w:val="clear" w:color="auto" w:fill="auto"/>
            <w:vAlign w:val="center"/>
          </w:tcPr>
          <w:p w14:paraId="57C4478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冷却废水</w:t>
            </w:r>
          </w:p>
        </w:tc>
        <w:tc>
          <w:tcPr>
            <w:tcW w:w="3591" w:type="dxa"/>
            <w:tcBorders>
              <w:tl2br w:val="nil"/>
              <w:tr2bl w:val="nil"/>
            </w:tcBorders>
            <w:shd w:val="clear" w:color="auto" w:fill="auto"/>
            <w:vAlign w:val="center"/>
          </w:tcPr>
          <w:p w14:paraId="23CF123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循环使用不外排</w:t>
            </w:r>
          </w:p>
        </w:tc>
      </w:tr>
      <w:tr w14:paraId="3A22D5B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542" w:type="dxa"/>
            <w:vMerge w:val="restart"/>
            <w:tcBorders>
              <w:tl2br w:val="nil"/>
              <w:tr2bl w:val="nil"/>
            </w:tcBorders>
            <w:shd w:val="clear" w:color="auto" w:fill="auto"/>
            <w:vAlign w:val="center"/>
          </w:tcPr>
          <w:p w14:paraId="038C8A7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固废</w:t>
            </w:r>
          </w:p>
        </w:tc>
        <w:tc>
          <w:tcPr>
            <w:tcW w:w="638" w:type="dxa"/>
            <w:tcBorders>
              <w:tl2br w:val="nil"/>
              <w:tr2bl w:val="nil"/>
            </w:tcBorders>
            <w:shd w:val="clear" w:color="auto" w:fill="auto"/>
            <w:vAlign w:val="center"/>
          </w:tcPr>
          <w:p w14:paraId="5ABC2BA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S1</w:t>
            </w:r>
          </w:p>
        </w:tc>
        <w:tc>
          <w:tcPr>
            <w:tcW w:w="1691" w:type="dxa"/>
            <w:tcBorders>
              <w:tl2br w:val="nil"/>
              <w:tr2bl w:val="nil"/>
            </w:tcBorders>
            <w:shd w:val="clear" w:color="auto" w:fill="auto"/>
            <w:vAlign w:val="center"/>
          </w:tcPr>
          <w:p w14:paraId="5975143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混料搅拌</w:t>
            </w:r>
          </w:p>
        </w:tc>
        <w:tc>
          <w:tcPr>
            <w:tcW w:w="1958" w:type="dxa"/>
            <w:tcBorders>
              <w:tl2br w:val="nil"/>
              <w:tr2bl w:val="nil"/>
            </w:tcBorders>
            <w:shd w:val="clear" w:color="auto" w:fill="auto"/>
            <w:vAlign w:val="center"/>
          </w:tcPr>
          <w:p w14:paraId="2625854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废包装材料</w:t>
            </w:r>
          </w:p>
        </w:tc>
        <w:tc>
          <w:tcPr>
            <w:tcW w:w="3591" w:type="dxa"/>
            <w:vMerge w:val="restart"/>
            <w:tcBorders>
              <w:tl2br w:val="nil"/>
              <w:tr2bl w:val="nil"/>
            </w:tcBorders>
            <w:shd w:val="clear" w:color="auto" w:fill="auto"/>
            <w:vAlign w:val="center"/>
          </w:tcPr>
          <w:p w14:paraId="4FBF787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定期外售于物资回收单位处理</w:t>
            </w:r>
          </w:p>
        </w:tc>
      </w:tr>
      <w:tr w14:paraId="62DD0C4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542" w:type="dxa"/>
            <w:vMerge w:val="continue"/>
            <w:tcBorders>
              <w:tl2br w:val="nil"/>
              <w:tr2bl w:val="nil"/>
            </w:tcBorders>
            <w:shd w:val="clear" w:color="auto" w:fill="auto"/>
            <w:vAlign w:val="center"/>
          </w:tcPr>
          <w:p w14:paraId="24950C7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eastAsia"/>
                <w:color w:val="auto"/>
                <w:spacing w:val="0"/>
                <w:w w:val="100"/>
                <w:position w:val="0"/>
                <w:highlight w:val="none"/>
                <w:lang w:val="en-US" w:eastAsia="zh-CN"/>
              </w:rPr>
            </w:pPr>
          </w:p>
        </w:tc>
        <w:tc>
          <w:tcPr>
            <w:tcW w:w="638" w:type="dxa"/>
            <w:tcBorders>
              <w:tl2br w:val="nil"/>
              <w:tr2bl w:val="nil"/>
            </w:tcBorders>
            <w:shd w:val="clear" w:color="auto" w:fill="auto"/>
            <w:vAlign w:val="center"/>
          </w:tcPr>
          <w:p w14:paraId="42B7DF7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S2</w:t>
            </w:r>
          </w:p>
        </w:tc>
        <w:tc>
          <w:tcPr>
            <w:tcW w:w="1691" w:type="dxa"/>
            <w:tcBorders>
              <w:tl2br w:val="nil"/>
              <w:tr2bl w:val="nil"/>
            </w:tcBorders>
            <w:shd w:val="clear" w:color="auto" w:fill="auto"/>
            <w:vAlign w:val="center"/>
          </w:tcPr>
          <w:p w14:paraId="424048D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挤出成型</w:t>
            </w:r>
          </w:p>
        </w:tc>
        <w:tc>
          <w:tcPr>
            <w:tcW w:w="1958" w:type="dxa"/>
            <w:tcBorders>
              <w:tl2br w:val="nil"/>
              <w:tr2bl w:val="nil"/>
            </w:tcBorders>
            <w:shd w:val="clear" w:color="auto" w:fill="auto"/>
            <w:vAlign w:val="center"/>
          </w:tcPr>
          <w:p w14:paraId="406B78A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废过滤渣和废过滤网</w:t>
            </w:r>
          </w:p>
        </w:tc>
        <w:tc>
          <w:tcPr>
            <w:tcW w:w="3591" w:type="dxa"/>
            <w:vMerge w:val="continue"/>
            <w:tcBorders>
              <w:tl2br w:val="nil"/>
              <w:tr2bl w:val="nil"/>
            </w:tcBorders>
            <w:shd w:val="clear" w:color="auto" w:fill="auto"/>
            <w:vAlign w:val="center"/>
          </w:tcPr>
          <w:p w14:paraId="185740F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eastAsia"/>
                <w:color w:val="auto"/>
                <w:spacing w:val="0"/>
                <w:w w:val="100"/>
                <w:position w:val="0"/>
                <w:highlight w:val="none"/>
                <w:lang w:val="en-US" w:eastAsia="zh-CN"/>
              </w:rPr>
            </w:pPr>
          </w:p>
        </w:tc>
      </w:tr>
      <w:tr w14:paraId="5C3033C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542" w:type="dxa"/>
            <w:vMerge w:val="continue"/>
            <w:tcBorders>
              <w:tl2br w:val="nil"/>
              <w:tr2bl w:val="nil"/>
            </w:tcBorders>
            <w:shd w:val="clear" w:color="auto" w:fill="auto"/>
            <w:vAlign w:val="center"/>
          </w:tcPr>
          <w:p w14:paraId="6EF6789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eastAsia"/>
                <w:color w:val="auto"/>
                <w:spacing w:val="0"/>
                <w:w w:val="100"/>
                <w:position w:val="0"/>
                <w:highlight w:val="none"/>
                <w:lang w:val="en-US" w:eastAsia="zh-CN"/>
              </w:rPr>
            </w:pPr>
          </w:p>
        </w:tc>
        <w:tc>
          <w:tcPr>
            <w:tcW w:w="638" w:type="dxa"/>
            <w:tcBorders>
              <w:tl2br w:val="nil"/>
              <w:tr2bl w:val="nil"/>
            </w:tcBorders>
            <w:shd w:val="clear" w:color="auto" w:fill="auto"/>
            <w:vAlign w:val="center"/>
          </w:tcPr>
          <w:p w14:paraId="5047FF4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S3</w:t>
            </w:r>
          </w:p>
        </w:tc>
        <w:tc>
          <w:tcPr>
            <w:tcW w:w="1691" w:type="dxa"/>
            <w:tcBorders>
              <w:tl2br w:val="nil"/>
              <w:tr2bl w:val="nil"/>
            </w:tcBorders>
            <w:shd w:val="clear" w:color="auto" w:fill="auto"/>
            <w:vAlign w:val="center"/>
          </w:tcPr>
          <w:p w14:paraId="16C9977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修边保温</w:t>
            </w:r>
          </w:p>
        </w:tc>
        <w:tc>
          <w:tcPr>
            <w:tcW w:w="1958" w:type="dxa"/>
            <w:tcBorders>
              <w:tl2br w:val="nil"/>
              <w:tr2bl w:val="nil"/>
            </w:tcBorders>
            <w:shd w:val="clear" w:color="auto" w:fill="auto"/>
            <w:vAlign w:val="center"/>
          </w:tcPr>
          <w:p w14:paraId="616CD0F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切边下脚料</w:t>
            </w:r>
          </w:p>
        </w:tc>
        <w:tc>
          <w:tcPr>
            <w:tcW w:w="3591" w:type="dxa"/>
            <w:vMerge w:val="continue"/>
            <w:tcBorders>
              <w:tl2br w:val="nil"/>
              <w:tr2bl w:val="nil"/>
            </w:tcBorders>
            <w:shd w:val="clear" w:color="auto" w:fill="auto"/>
            <w:vAlign w:val="center"/>
          </w:tcPr>
          <w:p w14:paraId="287BB42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eastAsia"/>
                <w:color w:val="auto"/>
                <w:spacing w:val="0"/>
                <w:w w:val="100"/>
                <w:position w:val="0"/>
                <w:highlight w:val="none"/>
                <w:lang w:val="en-US" w:eastAsia="zh-CN"/>
              </w:rPr>
            </w:pPr>
          </w:p>
        </w:tc>
      </w:tr>
      <w:tr w14:paraId="64D240E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542" w:type="dxa"/>
            <w:vMerge w:val="continue"/>
            <w:tcBorders>
              <w:tl2br w:val="nil"/>
              <w:tr2bl w:val="nil"/>
            </w:tcBorders>
            <w:shd w:val="clear" w:color="auto" w:fill="auto"/>
            <w:vAlign w:val="center"/>
          </w:tcPr>
          <w:p w14:paraId="22E2310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eastAsia"/>
                <w:color w:val="auto"/>
                <w:spacing w:val="0"/>
                <w:w w:val="100"/>
                <w:position w:val="0"/>
                <w:highlight w:val="none"/>
                <w:lang w:val="en-US" w:eastAsia="zh-CN"/>
              </w:rPr>
            </w:pPr>
          </w:p>
        </w:tc>
        <w:tc>
          <w:tcPr>
            <w:tcW w:w="638" w:type="dxa"/>
            <w:tcBorders>
              <w:tl2br w:val="nil"/>
              <w:tr2bl w:val="nil"/>
            </w:tcBorders>
            <w:shd w:val="clear" w:color="auto" w:fill="auto"/>
            <w:vAlign w:val="center"/>
          </w:tcPr>
          <w:p w14:paraId="0CD8B7F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S4</w:t>
            </w:r>
          </w:p>
        </w:tc>
        <w:tc>
          <w:tcPr>
            <w:tcW w:w="1691" w:type="dxa"/>
            <w:vMerge w:val="restart"/>
            <w:tcBorders>
              <w:tl2br w:val="nil"/>
              <w:tr2bl w:val="nil"/>
            </w:tcBorders>
            <w:shd w:val="clear" w:color="auto" w:fill="auto"/>
            <w:vAlign w:val="center"/>
          </w:tcPr>
          <w:p w14:paraId="1A89D41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剪切及包装工段</w:t>
            </w:r>
          </w:p>
        </w:tc>
        <w:tc>
          <w:tcPr>
            <w:tcW w:w="1958" w:type="dxa"/>
            <w:tcBorders>
              <w:tl2br w:val="nil"/>
              <w:tr2bl w:val="nil"/>
            </w:tcBorders>
            <w:shd w:val="clear" w:color="auto" w:fill="auto"/>
            <w:vAlign w:val="center"/>
          </w:tcPr>
          <w:p w14:paraId="2F4FB30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边角料</w:t>
            </w:r>
          </w:p>
        </w:tc>
        <w:tc>
          <w:tcPr>
            <w:tcW w:w="3591" w:type="dxa"/>
            <w:vMerge w:val="continue"/>
            <w:tcBorders>
              <w:tl2br w:val="nil"/>
              <w:tr2bl w:val="nil"/>
            </w:tcBorders>
            <w:shd w:val="clear" w:color="auto" w:fill="auto"/>
            <w:vAlign w:val="center"/>
          </w:tcPr>
          <w:p w14:paraId="1CF0F4B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eastAsia"/>
                <w:color w:val="auto"/>
                <w:spacing w:val="0"/>
                <w:w w:val="100"/>
                <w:position w:val="0"/>
                <w:highlight w:val="none"/>
                <w:lang w:val="en-US" w:eastAsia="zh-CN"/>
              </w:rPr>
            </w:pPr>
          </w:p>
        </w:tc>
      </w:tr>
      <w:tr w14:paraId="5F23B87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542" w:type="dxa"/>
            <w:vMerge w:val="continue"/>
            <w:tcBorders>
              <w:tl2br w:val="nil"/>
              <w:tr2bl w:val="nil"/>
            </w:tcBorders>
            <w:shd w:val="clear" w:color="auto" w:fill="auto"/>
            <w:vAlign w:val="center"/>
          </w:tcPr>
          <w:p w14:paraId="6BDDA18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eastAsia"/>
                <w:color w:val="auto"/>
                <w:spacing w:val="0"/>
                <w:w w:val="100"/>
                <w:position w:val="0"/>
                <w:highlight w:val="none"/>
                <w:lang w:val="en-US" w:eastAsia="zh-CN"/>
              </w:rPr>
            </w:pPr>
          </w:p>
        </w:tc>
        <w:tc>
          <w:tcPr>
            <w:tcW w:w="638" w:type="dxa"/>
            <w:tcBorders>
              <w:tl2br w:val="nil"/>
              <w:tr2bl w:val="nil"/>
            </w:tcBorders>
            <w:shd w:val="clear" w:color="auto" w:fill="auto"/>
            <w:vAlign w:val="center"/>
          </w:tcPr>
          <w:p w14:paraId="79FA250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S5</w:t>
            </w:r>
          </w:p>
        </w:tc>
        <w:tc>
          <w:tcPr>
            <w:tcW w:w="1691" w:type="dxa"/>
            <w:vMerge w:val="continue"/>
            <w:tcBorders>
              <w:tl2br w:val="nil"/>
              <w:tr2bl w:val="nil"/>
            </w:tcBorders>
            <w:shd w:val="clear" w:color="auto" w:fill="auto"/>
            <w:vAlign w:val="center"/>
          </w:tcPr>
          <w:p w14:paraId="572E753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eastAsia"/>
                <w:color w:val="auto"/>
                <w:spacing w:val="0"/>
                <w:w w:val="100"/>
                <w:position w:val="0"/>
                <w:highlight w:val="none"/>
                <w:lang w:val="en-US" w:eastAsia="zh-CN"/>
              </w:rPr>
            </w:pPr>
          </w:p>
        </w:tc>
        <w:tc>
          <w:tcPr>
            <w:tcW w:w="1958" w:type="dxa"/>
            <w:tcBorders>
              <w:tl2br w:val="nil"/>
              <w:tr2bl w:val="nil"/>
            </w:tcBorders>
            <w:shd w:val="clear" w:color="auto" w:fill="auto"/>
            <w:vAlign w:val="center"/>
          </w:tcPr>
          <w:p w14:paraId="5950C14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废包装材料</w:t>
            </w:r>
          </w:p>
        </w:tc>
        <w:tc>
          <w:tcPr>
            <w:tcW w:w="3591" w:type="dxa"/>
            <w:vMerge w:val="continue"/>
            <w:tcBorders>
              <w:tl2br w:val="nil"/>
              <w:tr2bl w:val="nil"/>
            </w:tcBorders>
            <w:shd w:val="clear" w:color="auto" w:fill="auto"/>
            <w:vAlign w:val="center"/>
          </w:tcPr>
          <w:p w14:paraId="202DA2D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eastAsia"/>
                <w:color w:val="auto"/>
                <w:spacing w:val="0"/>
                <w:w w:val="100"/>
                <w:position w:val="0"/>
                <w:highlight w:val="none"/>
                <w:lang w:val="en-US" w:eastAsia="zh-CN"/>
              </w:rPr>
            </w:pPr>
          </w:p>
        </w:tc>
      </w:tr>
      <w:tr w14:paraId="742CCB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542" w:type="dxa"/>
            <w:vMerge w:val="continue"/>
            <w:tcBorders>
              <w:tl2br w:val="nil"/>
              <w:tr2bl w:val="nil"/>
            </w:tcBorders>
            <w:shd w:val="clear" w:color="auto" w:fill="auto"/>
            <w:vAlign w:val="center"/>
          </w:tcPr>
          <w:p w14:paraId="4E8E428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eastAsia"/>
                <w:color w:val="auto"/>
                <w:spacing w:val="0"/>
                <w:w w:val="100"/>
                <w:position w:val="0"/>
                <w:highlight w:val="none"/>
                <w:lang w:val="en-US" w:eastAsia="zh-CN"/>
              </w:rPr>
            </w:pPr>
          </w:p>
        </w:tc>
        <w:tc>
          <w:tcPr>
            <w:tcW w:w="638" w:type="dxa"/>
            <w:tcBorders>
              <w:tl2br w:val="nil"/>
              <w:tr2bl w:val="nil"/>
            </w:tcBorders>
            <w:shd w:val="clear" w:color="auto" w:fill="auto"/>
            <w:vAlign w:val="center"/>
          </w:tcPr>
          <w:p w14:paraId="6BA2EB3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S6</w:t>
            </w:r>
          </w:p>
        </w:tc>
        <w:tc>
          <w:tcPr>
            <w:tcW w:w="1691" w:type="dxa"/>
            <w:vMerge w:val="restart"/>
            <w:tcBorders>
              <w:tl2br w:val="nil"/>
              <w:tr2bl w:val="nil"/>
            </w:tcBorders>
            <w:shd w:val="clear" w:color="auto" w:fill="auto"/>
            <w:vAlign w:val="center"/>
          </w:tcPr>
          <w:p w14:paraId="489C3B6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废气治理</w:t>
            </w:r>
          </w:p>
        </w:tc>
        <w:tc>
          <w:tcPr>
            <w:tcW w:w="1958" w:type="dxa"/>
            <w:tcBorders>
              <w:tl2br w:val="nil"/>
              <w:tr2bl w:val="nil"/>
            </w:tcBorders>
            <w:shd w:val="clear" w:color="auto" w:fill="auto"/>
            <w:vAlign w:val="center"/>
          </w:tcPr>
          <w:p w14:paraId="0197DA2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除尘器收集粉尘</w:t>
            </w:r>
          </w:p>
        </w:tc>
        <w:tc>
          <w:tcPr>
            <w:tcW w:w="3591" w:type="dxa"/>
            <w:vMerge w:val="continue"/>
            <w:tcBorders>
              <w:tl2br w:val="nil"/>
              <w:tr2bl w:val="nil"/>
            </w:tcBorders>
            <w:shd w:val="clear" w:color="auto" w:fill="auto"/>
            <w:vAlign w:val="center"/>
          </w:tcPr>
          <w:p w14:paraId="472A493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eastAsia"/>
                <w:color w:val="auto"/>
                <w:spacing w:val="0"/>
                <w:w w:val="100"/>
                <w:position w:val="0"/>
                <w:highlight w:val="none"/>
                <w:lang w:val="en-US" w:eastAsia="zh-CN"/>
              </w:rPr>
            </w:pPr>
          </w:p>
        </w:tc>
      </w:tr>
      <w:tr w14:paraId="69CA9B4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542" w:type="dxa"/>
            <w:vMerge w:val="continue"/>
            <w:tcBorders>
              <w:tl2br w:val="nil"/>
              <w:tr2bl w:val="nil"/>
            </w:tcBorders>
            <w:shd w:val="clear" w:color="auto" w:fill="auto"/>
            <w:vAlign w:val="center"/>
          </w:tcPr>
          <w:p w14:paraId="6D59A94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eastAsia"/>
                <w:color w:val="auto"/>
                <w:spacing w:val="0"/>
                <w:w w:val="100"/>
                <w:position w:val="0"/>
                <w:highlight w:val="none"/>
                <w:lang w:val="en-US" w:eastAsia="zh-CN"/>
              </w:rPr>
            </w:pPr>
          </w:p>
        </w:tc>
        <w:tc>
          <w:tcPr>
            <w:tcW w:w="638" w:type="dxa"/>
            <w:tcBorders>
              <w:tl2br w:val="nil"/>
              <w:tr2bl w:val="nil"/>
            </w:tcBorders>
            <w:shd w:val="clear" w:color="auto" w:fill="auto"/>
            <w:vAlign w:val="center"/>
          </w:tcPr>
          <w:p w14:paraId="05E4F7B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S7</w:t>
            </w:r>
          </w:p>
        </w:tc>
        <w:tc>
          <w:tcPr>
            <w:tcW w:w="1691" w:type="dxa"/>
            <w:vMerge w:val="continue"/>
            <w:tcBorders>
              <w:tl2br w:val="nil"/>
              <w:tr2bl w:val="nil"/>
            </w:tcBorders>
            <w:shd w:val="clear" w:color="auto" w:fill="auto"/>
            <w:vAlign w:val="center"/>
          </w:tcPr>
          <w:p w14:paraId="45F0C47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default"/>
                <w:color w:val="auto"/>
                <w:spacing w:val="0"/>
                <w:w w:val="100"/>
                <w:position w:val="0"/>
                <w:highlight w:val="none"/>
                <w:lang w:val="en-US" w:eastAsia="zh-CN"/>
              </w:rPr>
            </w:pPr>
          </w:p>
        </w:tc>
        <w:tc>
          <w:tcPr>
            <w:tcW w:w="1958" w:type="dxa"/>
            <w:tcBorders>
              <w:tl2br w:val="nil"/>
              <w:tr2bl w:val="nil"/>
            </w:tcBorders>
            <w:shd w:val="clear" w:color="auto" w:fill="auto"/>
            <w:vAlign w:val="center"/>
          </w:tcPr>
          <w:p w14:paraId="46865A3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废布袋</w:t>
            </w:r>
          </w:p>
        </w:tc>
        <w:tc>
          <w:tcPr>
            <w:tcW w:w="3591" w:type="dxa"/>
            <w:tcBorders>
              <w:tl2br w:val="nil"/>
              <w:tr2bl w:val="nil"/>
            </w:tcBorders>
            <w:shd w:val="clear" w:color="auto" w:fill="auto"/>
            <w:vAlign w:val="center"/>
          </w:tcPr>
          <w:p w14:paraId="030B2B2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厂家定期更换后带走，不储存</w:t>
            </w:r>
          </w:p>
        </w:tc>
      </w:tr>
      <w:tr w14:paraId="2C188DF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542" w:type="dxa"/>
            <w:vMerge w:val="continue"/>
            <w:tcBorders>
              <w:tl2br w:val="nil"/>
              <w:tr2bl w:val="nil"/>
            </w:tcBorders>
            <w:shd w:val="clear" w:color="auto" w:fill="auto"/>
            <w:vAlign w:val="center"/>
          </w:tcPr>
          <w:p w14:paraId="5E1A6B2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eastAsia"/>
                <w:color w:val="auto"/>
                <w:spacing w:val="0"/>
                <w:w w:val="100"/>
                <w:position w:val="0"/>
                <w:highlight w:val="none"/>
                <w:lang w:val="en-US" w:eastAsia="zh-CN"/>
              </w:rPr>
            </w:pPr>
          </w:p>
        </w:tc>
        <w:tc>
          <w:tcPr>
            <w:tcW w:w="638" w:type="dxa"/>
            <w:tcBorders>
              <w:tl2br w:val="nil"/>
              <w:tr2bl w:val="nil"/>
            </w:tcBorders>
            <w:shd w:val="clear" w:color="auto" w:fill="auto"/>
            <w:vAlign w:val="center"/>
          </w:tcPr>
          <w:p w14:paraId="757C763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S8</w:t>
            </w:r>
          </w:p>
        </w:tc>
        <w:tc>
          <w:tcPr>
            <w:tcW w:w="1691" w:type="dxa"/>
            <w:tcBorders>
              <w:tl2br w:val="nil"/>
              <w:tr2bl w:val="nil"/>
            </w:tcBorders>
            <w:shd w:val="clear" w:color="auto" w:fill="auto"/>
            <w:vAlign w:val="center"/>
          </w:tcPr>
          <w:p w14:paraId="7C09C45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设备维修</w:t>
            </w:r>
          </w:p>
        </w:tc>
        <w:tc>
          <w:tcPr>
            <w:tcW w:w="1958" w:type="dxa"/>
            <w:tcBorders>
              <w:tl2br w:val="nil"/>
              <w:tr2bl w:val="nil"/>
            </w:tcBorders>
            <w:shd w:val="clear" w:color="auto" w:fill="auto"/>
            <w:vAlign w:val="center"/>
          </w:tcPr>
          <w:p w14:paraId="4950697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沾油废手套、抹布、废机油与废机油桶</w:t>
            </w:r>
          </w:p>
        </w:tc>
        <w:tc>
          <w:tcPr>
            <w:tcW w:w="3591" w:type="dxa"/>
            <w:vMerge w:val="restart"/>
            <w:tcBorders>
              <w:tl2br w:val="nil"/>
              <w:tr2bl w:val="nil"/>
            </w:tcBorders>
            <w:shd w:val="clear" w:color="auto" w:fill="auto"/>
            <w:vAlign w:val="center"/>
          </w:tcPr>
          <w:p w14:paraId="5674F01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统一收集至危险废物贮存库暂存定期委托有资质的单位进行处理</w:t>
            </w:r>
          </w:p>
        </w:tc>
      </w:tr>
      <w:tr w14:paraId="642E32D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542" w:type="dxa"/>
            <w:vMerge w:val="continue"/>
            <w:tcBorders>
              <w:tl2br w:val="nil"/>
              <w:tr2bl w:val="nil"/>
            </w:tcBorders>
            <w:shd w:val="clear" w:color="auto" w:fill="auto"/>
            <w:vAlign w:val="center"/>
          </w:tcPr>
          <w:p w14:paraId="2246BFA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default"/>
                <w:color w:val="auto"/>
                <w:spacing w:val="0"/>
                <w:w w:val="100"/>
                <w:position w:val="0"/>
                <w:highlight w:val="none"/>
                <w:lang w:val="en-US" w:eastAsia="zh-CN"/>
              </w:rPr>
            </w:pPr>
          </w:p>
        </w:tc>
        <w:tc>
          <w:tcPr>
            <w:tcW w:w="638" w:type="dxa"/>
            <w:tcBorders>
              <w:tl2br w:val="nil"/>
              <w:tr2bl w:val="nil"/>
            </w:tcBorders>
            <w:shd w:val="clear" w:color="auto" w:fill="auto"/>
            <w:vAlign w:val="center"/>
          </w:tcPr>
          <w:p w14:paraId="4944A0A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S9</w:t>
            </w:r>
          </w:p>
        </w:tc>
        <w:tc>
          <w:tcPr>
            <w:tcW w:w="1691" w:type="dxa"/>
            <w:tcBorders>
              <w:tl2br w:val="nil"/>
              <w:tr2bl w:val="nil"/>
            </w:tcBorders>
            <w:shd w:val="clear" w:color="auto" w:fill="auto"/>
            <w:vAlign w:val="center"/>
          </w:tcPr>
          <w:p w14:paraId="7B6DCD1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废气治理</w:t>
            </w:r>
          </w:p>
        </w:tc>
        <w:tc>
          <w:tcPr>
            <w:tcW w:w="1958" w:type="dxa"/>
            <w:tcBorders>
              <w:tl2br w:val="nil"/>
              <w:tr2bl w:val="nil"/>
            </w:tcBorders>
            <w:shd w:val="clear" w:color="auto" w:fill="auto"/>
            <w:vAlign w:val="center"/>
          </w:tcPr>
          <w:p w14:paraId="1973B8E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废活性炭、废催化剂、废过滤棉</w:t>
            </w:r>
          </w:p>
        </w:tc>
        <w:tc>
          <w:tcPr>
            <w:tcW w:w="3591" w:type="dxa"/>
            <w:vMerge w:val="continue"/>
            <w:tcBorders>
              <w:tl2br w:val="nil"/>
              <w:tr2bl w:val="nil"/>
            </w:tcBorders>
            <w:shd w:val="clear" w:color="auto" w:fill="auto"/>
            <w:vAlign w:val="center"/>
          </w:tcPr>
          <w:p w14:paraId="0F3C6A6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eastAsia"/>
                <w:color w:val="auto"/>
                <w:spacing w:val="0"/>
                <w:w w:val="100"/>
                <w:position w:val="0"/>
                <w:highlight w:val="none"/>
                <w:lang w:val="en-US" w:eastAsia="zh-CN"/>
              </w:rPr>
            </w:pPr>
          </w:p>
        </w:tc>
      </w:tr>
    </w:tbl>
    <w:p w14:paraId="43D1D746">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220" w:name="_Toc23097"/>
      <w:bookmarkStart w:id="221" w:name="_Toc5392"/>
      <w:r>
        <w:rPr>
          <w:rFonts w:hint="default"/>
          <w:color w:val="auto"/>
          <w:spacing w:val="0"/>
          <w:w w:val="100"/>
          <w:position w:val="0"/>
          <w:highlight w:val="none"/>
          <w:lang w:val="en-US" w:eastAsia="zh-CN"/>
        </w:rPr>
        <w:t>3.</w:t>
      </w:r>
      <w:r>
        <w:rPr>
          <w:rFonts w:hint="eastAsia"/>
          <w:color w:val="auto"/>
          <w:spacing w:val="0"/>
          <w:w w:val="100"/>
          <w:position w:val="0"/>
          <w:highlight w:val="none"/>
          <w:lang w:val="en-US" w:eastAsia="zh-CN"/>
        </w:rPr>
        <w:t>3施工期污染源分析</w:t>
      </w:r>
      <w:bookmarkEnd w:id="220"/>
      <w:bookmarkEnd w:id="221"/>
    </w:p>
    <w:p w14:paraId="79C189A5">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r>
        <w:rPr>
          <w:rFonts w:hint="default"/>
          <w:color w:val="auto"/>
          <w:spacing w:val="0"/>
          <w:w w:val="100"/>
          <w:position w:val="0"/>
          <w:highlight w:val="none"/>
        </w:rPr>
        <w:t>本项目建设期</w:t>
      </w:r>
      <w:r>
        <w:rPr>
          <w:rFonts w:hint="eastAsia"/>
          <w:color w:val="auto"/>
          <w:spacing w:val="0"/>
          <w:w w:val="100"/>
          <w:position w:val="0"/>
          <w:highlight w:val="none"/>
          <w:lang w:val="en-US" w:eastAsia="zh-CN"/>
        </w:rPr>
        <w:t>主要为</w:t>
      </w:r>
      <w:r>
        <w:rPr>
          <w:rFonts w:hint="default"/>
          <w:color w:val="auto"/>
          <w:spacing w:val="0"/>
          <w:w w:val="100"/>
          <w:position w:val="0"/>
          <w:highlight w:val="none"/>
        </w:rPr>
        <w:t>设备的安装调试、工程验收等建设工序将产生噪声、扬尘、固体废弃物、少量污水和废气等污染</w:t>
      </w:r>
      <w:r>
        <w:rPr>
          <w:rFonts w:hint="default"/>
          <w:color w:val="auto"/>
          <w:spacing w:val="0"/>
          <w:w w:val="100"/>
          <w:position w:val="0"/>
          <w:highlight w:val="none"/>
          <w:lang w:eastAsia="zh-CN"/>
        </w:rPr>
        <w:t>物</w:t>
      </w:r>
      <w:r>
        <w:rPr>
          <w:rFonts w:hint="default"/>
          <w:color w:val="auto"/>
          <w:spacing w:val="0"/>
          <w:w w:val="100"/>
          <w:position w:val="0"/>
          <w:highlight w:val="none"/>
        </w:rPr>
        <w:t>。</w:t>
      </w:r>
    </w:p>
    <w:p w14:paraId="5EA0287A">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222" w:name="_Toc12421"/>
      <w:bookmarkStart w:id="223" w:name="_Toc14952"/>
      <w:bookmarkStart w:id="224" w:name="_Toc12433"/>
      <w:r>
        <w:rPr>
          <w:rFonts w:hint="default"/>
          <w:color w:val="auto"/>
          <w:spacing w:val="0"/>
          <w:w w:val="100"/>
          <w:position w:val="0"/>
          <w:highlight w:val="none"/>
          <w:lang w:val="en-US" w:eastAsia="zh-CN"/>
        </w:rPr>
        <w:t>3.</w:t>
      </w:r>
      <w:r>
        <w:rPr>
          <w:rFonts w:hint="eastAsia"/>
          <w:color w:val="auto"/>
          <w:spacing w:val="0"/>
          <w:w w:val="100"/>
          <w:position w:val="0"/>
          <w:highlight w:val="none"/>
          <w:lang w:val="en-US" w:eastAsia="zh-CN"/>
        </w:rPr>
        <w:t>3</w:t>
      </w:r>
      <w:r>
        <w:rPr>
          <w:rFonts w:hint="default"/>
          <w:color w:val="auto"/>
          <w:spacing w:val="0"/>
          <w:w w:val="100"/>
          <w:position w:val="0"/>
          <w:highlight w:val="none"/>
          <w:lang w:val="en-US" w:eastAsia="zh-CN"/>
        </w:rPr>
        <w:t>.1废气污染源分析</w:t>
      </w:r>
      <w:bookmarkEnd w:id="222"/>
      <w:bookmarkEnd w:id="223"/>
      <w:bookmarkEnd w:id="224"/>
    </w:p>
    <w:p w14:paraId="45C6F42E">
      <w:pPr>
        <w:keepNext w:val="0"/>
        <w:keepLines w:val="0"/>
        <w:pageBreakBefore w:val="0"/>
        <w:widowControl w:val="0"/>
        <w:kinsoku/>
        <w:wordWrap/>
        <w:overflowPunct/>
        <w:topLinePunct w:val="0"/>
        <w:autoSpaceDE/>
        <w:autoSpaceDN/>
        <w:bidi w:val="0"/>
        <w:spacing w:line="480" w:lineRule="exact"/>
        <w:ind w:firstLine="480" w:firstLineChars="200"/>
        <w:jc w:val="left"/>
        <w:rPr>
          <w:rFonts w:hint="default" w:ascii="Times New Roman" w:hAnsi="Times New Roman" w:eastAsia="宋体" w:cs="Times New Roman"/>
          <w:caps w:val="0"/>
          <w:snapToGrid/>
          <w:color w:val="auto"/>
          <w:spacing w:val="0"/>
          <w:w w:val="100"/>
          <w:kern w:val="21"/>
          <w:position w:val="0"/>
          <w:szCs w:val="24"/>
          <w:highlight w:val="none"/>
        </w:rPr>
      </w:pPr>
      <w:r>
        <w:rPr>
          <w:rFonts w:hint="default" w:ascii="Times New Roman" w:hAnsi="Times New Roman" w:eastAsia="宋体" w:cs="Times New Roman"/>
          <w:color w:val="auto"/>
          <w:spacing w:val="0"/>
          <w:w w:val="100"/>
          <w:position w:val="0"/>
          <w:sz w:val="24"/>
          <w:highlight w:val="none"/>
          <w:lang w:val="en-US" w:eastAsia="zh-CN"/>
        </w:rPr>
        <w:t>本项目施工土建工程主要为</w:t>
      </w:r>
      <w:r>
        <w:rPr>
          <w:rFonts w:hint="eastAsia" w:ascii="Times New Roman" w:hAnsi="Times New Roman" w:eastAsia="宋体" w:cs="Times New Roman"/>
          <w:color w:val="auto"/>
          <w:spacing w:val="0"/>
          <w:w w:val="100"/>
          <w:position w:val="0"/>
          <w:sz w:val="24"/>
          <w:highlight w:val="none"/>
          <w:lang w:val="en-US" w:eastAsia="zh-CN"/>
        </w:rPr>
        <w:t>设备安装</w:t>
      </w:r>
      <w:r>
        <w:rPr>
          <w:rFonts w:hint="default" w:ascii="Times New Roman" w:hAnsi="Times New Roman" w:eastAsia="宋体" w:cs="Times New Roman"/>
          <w:color w:val="auto"/>
          <w:spacing w:val="0"/>
          <w:w w:val="100"/>
          <w:position w:val="0"/>
          <w:sz w:val="24"/>
          <w:highlight w:val="none"/>
          <w:lang w:val="en-US" w:eastAsia="zh-CN"/>
        </w:rPr>
        <w:t>，因此粉尘量产生极少，</w:t>
      </w:r>
      <w:r>
        <w:rPr>
          <w:rFonts w:hint="eastAsia" w:ascii="Times New Roman" w:hAnsi="Times New Roman" w:cs="Times New Roman"/>
          <w:color w:val="auto"/>
          <w:spacing w:val="0"/>
          <w:w w:val="100"/>
          <w:position w:val="0"/>
          <w:sz w:val="24"/>
          <w:highlight w:val="none"/>
          <w:lang w:val="en-US" w:eastAsia="zh-CN"/>
        </w:rPr>
        <w:t>均在现有厂区内实施，</w:t>
      </w:r>
      <w:r>
        <w:rPr>
          <w:rFonts w:hint="default" w:ascii="Times New Roman" w:hAnsi="Times New Roman" w:eastAsia="宋体" w:cs="Times New Roman"/>
          <w:color w:val="auto"/>
          <w:spacing w:val="0"/>
          <w:w w:val="100"/>
          <w:position w:val="0"/>
          <w:sz w:val="24"/>
          <w:highlight w:val="none"/>
          <w:lang w:val="en-US" w:eastAsia="zh-CN"/>
        </w:rPr>
        <w:t>采取洒水降尘、厂房遮挡措施后对周边环境影响甚微，本次环评不再量化分析。</w:t>
      </w:r>
    </w:p>
    <w:p w14:paraId="73124207">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225" w:name="_Toc10548"/>
      <w:bookmarkStart w:id="226" w:name="_Toc16053"/>
      <w:bookmarkStart w:id="227" w:name="_Toc14864"/>
      <w:r>
        <w:rPr>
          <w:rFonts w:hint="default"/>
          <w:color w:val="auto"/>
          <w:spacing w:val="0"/>
          <w:w w:val="100"/>
          <w:position w:val="0"/>
          <w:highlight w:val="none"/>
          <w:lang w:val="en-US" w:eastAsia="zh-CN"/>
        </w:rPr>
        <w:t>3.</w:t>
      </w:r>
      <w:r>
        <w:rPr>
          <w:rFonts w:hint="eastAsia"/>
          <w:color w:val="auto"/>
          <w:spacing w:val="0"/>
          <w:w w:val="100"/>
          <w:position w:val="0"/>
          <w:highlight w:val="none"/>
          <w:lang w:val="en-US" w:eastAsia="zh-CN"/>
        </w:rPr>
        <w:t>3</w:t>
      </w:r>
      <w:r>
        <w:rPr>
          <w:rFonts w:hint="default"/>
          <w:color w:val="auto"/>
          <w:spacing w:val="0"/>
          <w:w w:val="100"/>
          <w:position w:val="0"/>
          <w:highlight w:val="none"/>
          <w:lang w:val="en-US" w:eastAsia="zh-CN"/>
        </w:rPr>
        <w:t>.2废水污染源分析</w:t>
      </w:r>
      <w:bookmarkEnd w:id="225"/>
      <w:bookmarkEnd w:id="226"/>
      <w:bookmarkEnd w:id="227"/>
    </w:p>
    <w:p w14:paraId="3B8B871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contextualSpacing/>
        <w:outlineLvl w:val="9"/>
        <w:rPr>
          <w:rFonts w:hint="default" w:ascii="Times New Roman" w:hAnsi="Times New Roman" w:eastAsia="宋体" w:cs="Times New Roman"/>
          <w:caps w:val="0"/>
          <w:snapToGrid/>
          <w:color w:val="auto"/>
          <w:spacing w:val="0"/>
          <w:w w:val="100"/>
          <w:kern w:val="21"/>
          <w:position w:val="0"/>
          <w:sz w:val="24"/>
          <w:highlight w:val="none"/>
        </w:rPr>
      </w:pPr>
      <w:r>
        <w:rPr>
          <w:rFonts w:hint="default" w:ascii="Times New Roman" w:hAnsi="Times New Roman" w:eastAsia="宋体" w:cs="Times New Roman"/>
          <w:caps w:val="0"/>
          <w:snapToGrid/>
          <w:color w:val="auto"/>
          <w:spacing w:val="0"/>
          <w:w w:val="100"/>
          <w:kern w:val="21"/>
          <w:position w:val="0"/>
          <w:sz w:val="24"/>
          <w:highlight w:val="none"/>
          <w:lang w:val="en-US" w:eastAsia="zh-CN"/>
        </w:rPr>
        <w:t>施工期主要是生活</w:t>
      </w:r>
      <w:r>
        <w:rPr>
          <w:rFonts w:hint="default" w:ascii="Times New Roman" w:hAnsi="Times New Roman" w:eastAsia="宋体" w:cs="Times New Roman"/>
          <w:caps w:val="0"/>
          <w:snapToGrid/>
          <w:color w:val="auto"/>
          <w:spacing w:val="0"/>
          <w:w w:val="100"/>
          <w:kern w:val="21"/>
          <w:position w:val="0"/>
          <w:sz w:val="24"/>
          <w:highlight w:val="none"/>
        </w:rPr>
        <w:t>污水。</w:t>
      </w:r>
    </w:p>
    <w:p w14:paraId="1A1023A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baseline"/>
        <w:rPr>
          <w:rFonts w:hint="default" w:ascii="Times New Roman" w:hAnsi="Times New Roman" w:cs="Times New Roman"/>
          <w:color w:val="auto"/>
          <w:spacing w:val="0"/>
          <w:w w:val="100"/>
          <w:position w:val="0"/>
          <w:sz w:val="24"/>
          <w:szCs w:val="24"/>
          <w:highlight w:val="none"/>
        </w:rPr>
      </w:pPr>
      <w:r>
        <w:rPr>
          <w:rFonts w:hint="default" w:ascii="Times New Roman" w:hAnsi="Times New Roman" w:cs="Times New Roman"/>
          <w:color w:val="auto"/>
          <w:spacing w:val="0"/>
          <w:w w:val="100"/>
          <w:position w:val="0"/>
          <w:sz w:val="24"/>
          <w:szCs w:val="24"/>
          <w:highlight w:val="none"/>
        </w:rPr>
        <w:t>本项目施工人员约</w:t>
      </w:r>
      <w:r>
        <w:rPr>
          <w:rFonts w:hint="default" w:ascii="Times New Roman" w:hAnsi="Times New Roman" w:eastAsia="宋体" w:cs="Times New Roman"/>
          <w:color w:val="auto"/>
          <w:spacing w:val="0"/>
          <w:w w:val="100"/>
          <w:position w:val="0"/>
          <w:sz w:val="24"/>
          <w:szCs w:val="24"/>
          <w:highlight w:val="none"/>
          <w:lang w:val="en-US" w:eastAsia="zh-CN"/>
        </w:rPr>
        <w:t>1</w:t>
      </w:r>
      <w:r>
        <w:rPr>
          <w:rFonts w:hint="eastAsia" w:cs="Times New Roman"/>
          <w:color w:val="auto"/>
          <w:spacing w:val="0"/>
          <w:w w:val="100"/>
          <w:position w:val="0"/>
          <w:sz w:val="24"/>
          <w:szCs w:val="24"/>
          <w:highlight w:val="none"/>
          <w:lang w:val="en-US" w:eastAsia="zh-CN"/>
        </w:rPr>
        <w:t>0</w:t>
      </w:r>
      <w:r>
        <w:rPr>
          <w:rFonts w:hint="default" w:ascii="Times New Roman" w:hAnsi="Times New Roman" w:cs="Times New Roman"/>
          <w:color w:val="auto"/>
          <w:spacing w:val="0"/>
          <w:w w:val="100"/>
          <w:position w:val="0"/>
          <w:sz w:val="24"/>
          <w:szCs w:val="24"/>
          <w:highlight w:val="none"/>
        </w:rPr>
        <w:t>人，根据《新疆维吾尔自治区生活用水定额》，用水量</w:t>
      </w:r>
      <w:r>
        <w:rPr>
          <w:rFonts w:hint="default" w:ascii="Times New Roman" w:hAnsi="Times New Roman" w:eastAsia="宋体" w:cs="Times New Roman"/>
          <w:color w:val="auto"/>
          <w:spacing w:val="0"/>
          <w:w w:val="100"/>
          <w:position w:val="0"/>
          <w:sz w:val="24"/>
          <w:szCs w:val="24"/>
          <w:highlight w:val="none"/>
          <w:lang w:val="en-US" w:eastAsia="zh-CN"/>
        </w:rPr>
        <w:t>按50</w:t>
      </w:r>
      <w:r>
        <w:rPr>
          <w:rFonts w:hint="default" w:ascii="Times New Roman" w:hAnsi="Times New Roman" w:cs="Times New Roman"/>
          <w:color w:val="auto"/>
          <w:spacing w:val="0"/>
          <w:w w:val="100"/>
          <w:position w:val="0"/>
          <w:sz w:val="24"/>
          <w:szCs w:val="24"/>
          <w:highlight w:val="none"/>
        </w:rPr>
        <w:t>L/人·d，生活用水总量为</w:t>
      </w:r>
      <w:r>
        <w:rPr>
          <w:rFonts w:hint="default" w:ascii="Times New Roman" w:hAnsi="Times New Roman" w:eastAsia="宋体" w:cs="Times New Roman"/>
          <w:color w:val="auto"/>
          <w:spacing w:val="0"/>
          <w:w w:val="100"/>
          <w:position w:val="0"/>
          <w:sz w:val="24"/>
          <w:szCs w:val="24"/>
          <w:highlight w:val="none"/>
          <w:lang w:val="en-US" w:eastAsia="zh-CN"/>
        </w:rPr>
        <w:t>0.5</w:t>
      </w:r>
      <w:r>
        <w:rPr>
          <w:rFonts w:hint="default" w:ascii="Times New Roman" w:hAnsi="Times New Roman" w:cs="Times New Roman"/>
          <w:color w:val="auto"/>
          <w:spacing w:val="0"/>
          <w:w w:val="100"/>
          <w:position w:val="0"/>
          <w:sz w:val="24"/>
          <w:szCs w:val="24"/>
          <w:highlight w:val="none"/>
        </w:rPr>
        <w:t>m</w:t>
      </w:r>
      <w:r>
        <w:rPr>
          <w:rFonts w:hint="default" w:ascii="Times New Roman" w:hAnsi="Times New Roman" w:cs="Times New Roman"/>
          <w:color w:val="auto"/>
          <w:spacing w:val="0"/>
          <w:w w:val="100"/>
          <w:position w:val="0"/>
          <w:sz w:val="24"/>
          <w:szCs w:val="24"/>
          <w:highlight w:val="none"/>
          <w:vertAlign w:val="superscript"/>
        </w:rPr>
        <w:t>3</w:t>
      </w:r>
      <w:r>
        <w:rPr>
          <w:rFonts w:hint="default" w:ascii="Times New Roman" w:hAnsi="Times New Roman" w:cs="Times New Roman"/>
          <w:color w:val="auto"/>
          <w:spacing w:val="0"/>
          <w:w w:val="100"/>
          <w:position w:val="0"/>
          <w:sz w:val="24"/>
          <w:szCs w:val="24"/>
          <w:highlight w:val="none"/>
        </w:rPr>
        <w:t>/d，生活污水按用水量的80%计，则生活污水的排放量为</w:t>
      </w:r>
      <w:r>
        <w:rPr>
          <w:rFonts w:hint="default" w:ascii="Times New Roman" w:hAnsi="Times New Roman" w:eastAsia="宋体" w:cs="Times New Roman"/>
          <w:color w:val="auto"/>
          <w:spacing w:val="0"/>
          <w:w w:val="100"/>
          <w:position w:val="0"/>
          <w:sz w:val="24"/>
          <w:szCs w:val="24"/>
          <w:highlight w:val="none"/>
          <w:lang w:val="en-US" w:eastAsia="zh-CN"/>
        </w:rPr>
        <w:t>0.</w:t>
      </w:r>
      <w:r>
        <w:rPr>
          <w:rFonts w:hint="eastAsia" w:cs="Times New Roman"/>
          <w:color w:val="auto"/>
          <w:spacing w:val="0"/>
          <w:w w:val="100"/>
          <w:position w:val="0"/>
          <w:sz w:val="24"/>
          <w:szCs w:val="24"/>
          <w:highlight w:val="none"/>
          <w:lang w:val="en-US" w:eastAsia="zh-CN"/>
        </w:rPr>
        <w:t>4</w:t>
      </w:r>
      <w:r>
        <w:rPr>
          <w:rFonts w:hint="default" w:ascii="Times New Roman" w:hAnsi="Times New Roman" w:cs="Times New Roman"/>
          <w:color w:val="auto"/>
          <w:spacing w:val="0"/>
          <w:w w:val="100"/>
          <w:position w:val="0"/>
          <w:sz w:val="24"/>
          <w:szCs w:val="24"/>
          <w:highlight w:val="none"/>
        </w:rPr>
        <w:t>m</w:t>
      </w:r>
      <w:r>
        <w:rPr>
          <w:rFonts w:hint="default" w:ascii="Times New Roman" w:hAnsi="Times New Roman" w:cs="Times New Roman"/>
          <w:color w:val="auto"/>
          <w:spacing w:val="0"/>
          <w:w w:val="100"/>
          <w:position w:val="0"/>
          <w:sz w:val="24"/>
          <w:szCs w:val="24"/>
          <w:highlight w:val="none"/>
          <w:vertAlign w:val="superscript"/>
        </w:rPr>
        <w:t>3</w:t>
      </w:r>
      <w:r>
        <w:rPr>
          <w:rFonts w:hint="default" w:ascii="Times New Roman" w:hAnsi="Times New Roman" w:cs="Times New Roman"/>
          <w:color w:val="auto"/>
          <w:spacing w:val="0"/>
          <w:w w:val="100"/>
          <w:position w:val="0"/>
          <w:sz w:val="24"/>
          <w:szCs w:val="24"/>
          <w:highlight w:val="none"/>
        </w:rPr>
        <w:t>/d。</w:t>
      </w:r>
    </w:p>
    <w:p w14:paraId="0275575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baseline"/>
        <w:rPr>
          <w:rFonts w:hint="default" w:ascii="Times New Roman" w:hAnsi="Times New Roman" w:cs="Times New Roman"/>
          <w:color w:val="auto"/>
          <w:spacing w:val="0"/>
          <w:w w:val="100"/>
          <w:position w:val="0"/>
          <w:sz w:val="24"/>
          <w:szCs w:val="24"/>
          <w:highlight w:val="none"/>
        </w:rPr>
      </w:pPr>
      <w:r>
        <w:rPr>
          <w:rFonts w:hint="default" w:ascii="Times New Roman" w:hAnsi="Times New Roman" w:cs="Times New Roman"/>
          <w:color w:val="auto"/>
          <w:spacing w:val="0"/>
          <w:w w:val="100"/>
          <w:position w:val="0"/>
          <w:sz w:val="24"/>
          <w:szCs w:val="24"/>
          <w:highlight w:val="none"/>
        </w:rPr>
        <w:t>经类比分析，此类污水中</w:t>
      </w:r>
      <w:r>
        <w:rPr>
          <w:rFonts w:hint="eastAsia" w:cs="Times New Roman"/>
          <w:color w:val="auto"/>
          <w:spacing w:val="0"/>
          <w:w w:val="100"/>
          <w:position w:val="0"/>
          <w:sz w:val="24"/>
          <w:szCs w:val="24"/>
          <w:highlight w:val="none"/>
          <w:lang w:eastAsia="zh-CN"/>
        </w:rPr>
        <w:t>CODcr</w:t>
      </w:r>
      <w:r>
        <w:rPr>
          <w:rFonts w:hint="default" w:ascii="Times New Roman" w:hAnsi="Times New Roman" w:cs="Times New Roman"/>
          <w:color w:val="auto"/>
          <w:spacing w:val="0"/>
          <w:w w:val="100"/>
          <w:position w:val="0"/>
          <w:sz w:val="24"/>
          <w:szCs w:val="24"/>
          <w:highlight w:val="none"/>
        </w:rPr>
        <w:t>、BOD、NH</w:t>
      </w:r>
      <w:r>
        <w:rPr>
          <w:rFonts w:hint="default" w:ascii="Times New Roman" w:hAnsi="Times New Roman" w:cs="Times New Roman"/>
          <w:color w:val="auto"/>
          <w:spacing w:val="0"/>
          <w:w w:val="100"/>
          <w:position w:val="0"/>
          <w:sz w:val="24"/>
          <w:szCs w:val="24"/>
          <w:highlight w:val="none"/>
          <w:vertAlign w:val="subscript"/>
        </w:rPr>
        <w:t>3</w:t>
      </w:r>
      <w:r>
        <w:rPr>
          <w:rFonts w:hint="default" w:ascii="Times New Roman" w:hAnsi="Times New Roman" w:cs="Times New Roman"/>
          <w:color w:val="auto"/>
          <w:spacing w:val="0"/>
          <w:w w:val="100"/>
          <w:position w:val="0"/>
          <w:sz w:val="24"/>
          <w:szCs w:val="24"/>
          <w:highlight w:val="none"/>
        </w:rPr>
        <w:t>-N、SS的浓度一般为350mg/L、200mg/L、30mg/L、250mg/L，以此计算，</w:t>
      </w:r>
      <w:r>
        <w:rPr>
          <w:rFonts w:hint="default" w:ascii="Times New Roman" w:hAnsi="Times New Roman" w:eastAsia="宋体" w:cs="Times New Roman"/>
          <w:color w:val="auto"/>
          <w:spacing w:val="0"/>
          <w:w w:val="100"/>
          <w:position w:val="0"/>
          <w:sz w:val="24"/>
          <w:szCs w:val="24"/>
          <w:highlight w:val="none"/>
          <w:lang w:val="en-US" w:eastAsia="zh-CN"/>
        </w:rPr>
        <w:t>则</w:t>
      </w:r>
      <w:r>
        <w:rPr>
          <w:rFonts w:hint="default" w:ascii="Times New Roman" w:hAnsi="Times New Roman" w:cs="Times New Roman"/>
          <w:color w:val="auto"/>
          <w:spacing w:val="0"/>
          <w:w w:val="100"/>
          <w:position w:val="0"/>
          <w:sz w:val="24"/>
          <w:szCs w:val="24"/>
          <w:highlight w:val="none"/>
        </w:rPr>
        <w:t>施工期生活污水中</w:t>
      </w:r>
      <w:r>
        <w:rPr>
          <w:rFonts w:hint="eastAsia" w:cs="Times New Roman"/>
          <w:color w:val="auto"/>
          <w:spacing w:val="0"/>
          <w:w w:val="100"/>
          <w:position w:val="0"/>
          <w:sz w:val="24"/>
          <w:szCs w:val="24"/>
          <w:highlight w:val="none"/>
          <w:lang w:eastAsia="zh-CN"/>
        </w:rPr>
        <w:t>CODcr</w:t>
      </w:r>
      <w:r>
        <w:rPr>
          <w:rFonts w:hint="default" w:ascii="Times New Roman" w:hAnsi="Times New Roman" w:eastAsia="宋体" w:cs="Times New Roman"/>
          <w:color w:val="auto"/>
          <w:spacing w:val="0"/>
          <w:w w:val="100"/>
          <w:position w:val="0"/>
          <w:sz w:val="24"/>
          <w:szCs w:val="24"/>
          <w:highlight w:val="none"/>
          <w:lang w:eastAsia="zh-CN"/>
        </w:rPr>
        <w:t>、</w:t>
      </w:r>
      <w:r>
        <w:rPr>
          <w:rFonts w:hint="default" w:ascii="Times New Roman" w:hAnsi="Times New Roman" w:eastAsia="宋体" w:cs="Times New Roman"/>
          <w:color w:val="auto"/>
          <w:spacing w:val="0"/>
          <w:w w:val="100"/>
          <w:position w:val="0"/>
          <w:sz w:val="24"/>
          <w:szCs w:val="24"/>
          <w:highlight w:val="none"/>
          <w:lang w:val="en-US" w:eastAsia="zh-CN"/>
        </w:rPr>
        <w:t>BOD</w:t>
      </w:r>
      <w:r>
        <w:rPr>
          <w:rFonts w:hint="default" w:ascii="Times New Roman" w:hAnsi="Times New Roman" w:eastAsia="宋体" w:cs="Times New Roman"/>
          <w:color w:val="auto"/>
          <w:spacing w:val="0"/>
          <w:w w:val="100"/>
          <w:position w:val="0"/>
          <w:sz w:val="24"/>
          <w:szCs w:val="24"/>
          <w:highlight w:val="none"/>
          <w:vertAlign w:val="subscript"/>
          <w:lang w:val="en-US" w:eastAsia="zh-CN"/>
        </w:rPr>
        <w:t>5</w:t>
      </w:r>
      <w:r>
        <w:rPr>
          <w:rFonts w:hint="default" w:ascii="Times New Roman" w:hAnsi="Times New Roman" w:eastAsia="宋体" w:cs="Times New Roman"/>
          <w:color w:val="auto"/>
          <w:spacing w:val="0"/>
          <w:w w:val="100"/>
          <w:position w:val="0"/>
          <w:sz w:val="24"/>
          <w:szCs w:val="24"/>
          <w:highlight w:val="none"/>
          <w:lang w:val="en-US" w:eastAsia="zh-CN"/>
        </w:rPr>
        <w:t>、NH</w:t>
      </w:r>
      <w:r>
        <w:rPr>
          <w:rFonts w:hint="default" w:ascii="Times New Roman" w:hAnsi="Times New Roman" w:eastAsia="宋体" w:cs="Times New Roman"/>
          <w:color w:val="auto"/>
          <w:spacing w:val="0"/>
          <w:w w:val="100"/>
          <w:position w:val="0"/>
          <w:sz w:val="24"/>
          <w:szCs w:val="24"/>
          <w:highlight w:val="none"/>
          <w:vertAlign w:val="subscript"/>
          <w:lang w:val="en-US" w:eastAsia="zh-CN"/>
        </w:rPr>
        <w:t>3</w:t>
      </w:r>
      <w:r>
        <w:rPr>
          <w:rFonts w:hint="default" w:ascii="Times New Roman" w:hAnsi="Times New Roman" w:eastAsia="宋体" w:cs="Times New Roman"/>
          <w:color w:val="auto"/>
          <w:spacing w:val="0"/>
          <w:w w:val="100"/>
          <w:position w:val="0"/>
          <w:sz w:val="24"/>
          <w:szCs w:val="24"/>
          <w:highlight w:val="none"/>
          <w:lang w:val="en-US" w:eastAsia="zh-CN"/>
        </w:rPr>
        <w:t>-N、SS</w:t>
      </w:r>
      <w:r>
        <w:rPr>
          <w:rFonts w:hint="default" w:ascii="Times New Roman" w:hAnsi="Times New Roman" w:cs="Times New Roman"/>
          <w:color w:val="auto"/>
          <w:spacing w:val="0"/>
          <w:w w:val="100"/>
          <w:position w:val="0"/>
          <w:sz w:val="24"/>
          <w:szCs w:val="24"/>
          <w:highlight w:val="none"/>
        </w:rPr>
        <w:t>产生量</w:t>
      </w:r>
      <w:r>
        <w:rPr>
          <w:rFonts w:hint="default" w:ascii="Times New Roman" w:hAnsi="Times New Roman" w:eastAsia="宋体" w:cs="Times New Roman"/>
          <w:color w:val="auto"/>
          <w:spacing w:val="0"/>
          <w:w w:val="100"/>
          <w:position w:val="0"/>
          <w:sz w:val="24"/>
          <w:szCs w:val="24"/>
          <w:highlight w:val="none"/>
          <w:lang w:val="en-US" w:eastAsia="zh-CN"/>
        </w:rPr>
        <w:t>分别</w:t>
      </w:r>
      <w:r>
        <w:rPr>
          <w:rFonts w:hint="default" w:ascii="Times New Roman" w:hAnsi="Times New Roman" w:cs="Times New Roman"/>
          <w:color w:val="auto"/>
          <w:spacing w:val="0"/>
          <w:w w:val="100"/>
          <w:position w:val="0"/>
          <w:sz w:val="24"/>
          <w:szCs w:val="24"/>
          <w:highlight w:val="none"/>
        </w:rPr>
        <w:t>为0.</w:t>
      </w:r>
      <w:r>
        <w:rPr>
          <w:rFonts w:hint="default" w:ascii="Times New Roman" w:hAnsi="Times New Roman" w:eastAsia="宋体" w:cs="Times New Roman"/>
          <w:color w:val="auto"/>
          <w:spacing w:val="0"/>
          <w:w w:val="100"/>
          <w:position w:val="0"/>
          <w:sz w:val="24"/>
          <w:szCs w:val="24"/>
          <w:highlight w:val="none"/>
          <w:lang w:val="en-US" w:eastAsia="zh-CN"/>
        </w:rPr>
        <w:t>21</w:t>
      </w:r>
      <w:r>
        <w:rPr>
          <w:rFonts w:hint="default" w:ascii="Times New Roman" w:hAnsi="Times New Roman" w:cs="Times New Roman"/>
          <w:color w:val="auto"/>
          <w:spacing w:val="0"/>
          <w:w w:val="100"/>
          <w:position w:val="0"/>
          <w:sz w:val="24"/>
          <w:szCs w:val="24"/>
          <w:highlight w:val="none"/>
        </w:rPr>
        <w:t>kg/d</w:t>
      </w:r>
      <w:r>
        <w:rPr>
          <w:rFonts w:hint="default" w:ascii="Times New Roman" w:hAnsi="Times New Roman" w:eastAsia="宋体" w:cs="Times New Roman"/>
          <w:color w:val="auto"/>
          <w:spacing w:val="0"/>
          <w:w w:val="100"/>
          <w:position w:val="0"/>
          <w:sz w:val="24"/>
          <w:szCs w:val="24"/>
          <w:highlight w:val="none"/>
          <w:lang w:eastAsia="zh-CN"/>
        </w:rPr>
        <w:t>、</w:t>
      </w:r>
      <w:r>
        <w:rPr>
          <w:rFonts w:hint="default" w:ascii="Times New Roman" w:hAnsi="Times New Roman" w:cs="Times New Roman"/>
          <w:color w:val="auto"/>
          <w:spacing w:val="0"/>
          <w:w w:val="100"/>
          <w:position w:val="0"/>
          <w:sz w:val="24"/>
          <w:szCs w:val="24"/>
          <w:highlight w:val="none"/>
        </w:rPr>
        <w:t>0.</w:t>
      </w:r>
      <w:r>
        <w:rPr>
          <w:rFonts w:hint="default" w:ascii="Times New Roman" w:hAnsi="Times New Roman" w:eastAsia="宋体" w:cs="Times New Roman"/>
          <w:color w:val="auto"/>
          <w:spacing w:val="0"/>
          <w:w w:val="100"/>
          <w:position w:val="0"/>
          <w:sz w:val="24"/>
          <w:szCs w:val="24"/>
          <w:highlight w:val="none"/>
          <w:lang w:val="en-US" w:eastAsia="zh-CN"/>
        </w:rPr>
        <w:t>12</w:t>
      </w:r>
      <w:r>
        <w:rPr>
          <w:rFonts w:hint="default" w:ascii="Times New Roman" w:hAnsi="Times New Roman" w:cs="Times New Roman"/>
          <w:color w:val="auto"/>
          <w:spacing w:val="0"/>
          <w:w w:val="100"/>
          <w:position w:val="0"/>
          <w:sz w:val="24"/>
          <w:szCs w:val="24"/>
          <w:highlight w:val="none"/>
        </w:rPr>
        <w:t>kg/d</w:t>
      </w:r>
      <w:r>
        <w:rPr>
          <w:rFonts w:hint="default" w:ascii="Times New Roman" w:hAnsi="Times New Roman" w:eastAsia="宋体" w:cs="Times New Roman"/>
          <w:color w:val="auto"/>
          <w:spacing w:val="0"/>
          <w:w w:val="100"/>
          <w:position w:val="0"/>
          <w:sz w:val="24"/>
          <w:szCs w:val="24"/>
          <w:highlight w:val="none"/>
          <w:lang w:eastAsia="zh-CN"/>
        </w:rPr>
        <w:t>、</w:t>
      </w:r>
      <w:r>
        <w:rPr>
          <w:rFonts w:hint="default" w:ascii="Times New Roman" w:hAnsi="Times New Roman" w:cs="Times New Roman"/>
          <w:color w:val="auto"/>
          <w:spacing w:val="0"/>
          <w:w w:val="100"/>
          <w:position w:val="0"/>
          <w:sz w:val="24"/>
          <w:szCs w:val="24"/>
          <w:highlight w:val="none"/>
        </w:rPr>
        <w:t>0.0</w:t>
      </w:r>
      <w:r>
        <w:rPr>
          <w:rFonts w:hint="default" w:ascii="Times New Roman" w:hAnsi="Times New Roman" w:eastAsia="宋体" w:cs="Times New Roman"/>
          <w:color w:val="auto"/>
          <w:spacing w:val="0"/>
          <w:w w:val="100"/>
          <w:position w:val="0"/>
          <w:sz w:val="24"/>
          <w:szCs w:val="24"/>
          <w:highlight w:val="none"/>
          <w:lang w:val="en-US" w:eastAsia="zh-CN"/>
        </w:rPr>
        <w:t>18</w:t>
      </w:r>
      <w:r>
        <w:rPr>
          <w:rFonts w:hint="default" w:ascii="Times New Roman" w:hAnsi="Times New Roman" w:cs="Times New Roman"/>
          <w:color w:val="auto"/>
          <w:spacing w:val="0"/>
          <w:w w:val="100"/>
          <w:position w:val="0"/>
          <w:sz w:val="24"/>
          <w:szCs w:val="24"/>
          <w:highlight w:val="none"/>
        </w:rPr>
        <w:t>kg/d</w:t>
      </w:r>
      <w:r>
        <w:rPr>
          <w:rFonts w:hint="default" w:ascii="Times New Roman" w:hAnsi="Times New Roman" w:eastAsia="宋体" w:cs="Times New Roman"/>
          <w:color w:val="auto"/>
          <w:spacing w:val="0"/>
          <w:w w:val="100"/>
          <w:position w:val="0"/>
          <w:sz w:val="24"/>
          <w:szCs w:val="24"/>
          <w:highlight w:val="none"/>
          <w:lang w:eastAsia="zh-CN"/>
        </w:rPr>
        <w:t>、</w:t>
      </w:r>
      <w:r>
        <w:rPr>
          <w:rFonts w:hint="default" w:ascii="Times New Roman" w:hAnsi="Times New Roman" w:cs="Times New Roman"/>
          <w:color w:val="auto"/>
          <w:spacing w:val="0"/>
          <w:w w:val="100"/>
          <w:position w:val="0"/>
          <w:sz w:val="24"/>
          <w:szCs w:val="24"/>
          <w:highlight w:val="none"/>
        </w:rPr>
        <w:t>0</w:t>
      </w:r>
      <w:r>
        <w:rPr>
          <w:rFonts w:hint="default" w:ascii="Times New Roman" w:hAnsi="Times New Roman" w:eastAsia="宋体" w:cs="Times New Roman"/>
          <w:color w:val="auto"/>
          <w:spacing w:val="0"/>
          <w:w w:val="100"/>
          <w:position w:val="0"/>
          <w:sz w:val="24"/>
          <w:szCs w:val="24"/>
          <w:highlight w:val="none"/>
          <w:lang w:val="en-US" w:eastAsia="zh-CN"/>
        </w:rPr>
        <w:t>.1</w:t>
      </w:r>
      <w:r>
        <w:rPr>
          <w:rFonts w:hint="default" w:ascii="Times New Roman" w:hAnsi="Times New Roman" w:cs="Times New Roman"/>
          <w:color w:val="auto"/>
          <w:spacing w:val="0"/>
          <w:w w:val="100"/>
          <w:position w:val="0"/>
          <w:sz w:val="24"/>
          <w:szCs w:val="24"/>
          <w:highlight w:val="none"/>
        </w:rPr>
        <w:t>5kg/d。</w:t>
      </w:r>
    </w:p>
    <w:p w14:paraId="67E2AEC2">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施工期废水源强分析结果见表3.3</w:t>
      </w:r>
      <w:r>
        <w:rPr>
          <w:rFonts w:hint="eastAsia"/>
          <w:color w:val="auto"/>
          <w:spacing w:val="0"/>
          <w:w w:val="100"/>
          <w:position w:val="0"/>
          <w:highlight w:val="none"/>
          <w:lang w:val="en-US" w:eastAsia="zh-CN"/>
        </w:rPr>
        <w:t>.2-1</w:t>
      </w:r>
      <w:r>
        <w:rPr>
          <w:rFonts w:hint="default"/>
          <w:color w:val="auto"/>
          <w:spacing w:val="0"/>
          <w:w w:val="100"/>
          <w:position w:val="0"/>
          <w:highlight w:val="none"/>
          <w:lang w:val="en-US" w:eastAsia="zh-CN"/>
        </w:rPr>
        <w:t>。</w:t>
      </w:r>
    </w:p>
    <w:p w14:paraId="20AA5A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aseline"/>
        <w:rPr>
          <w:rFonts w:hint="default" w:ascii="Times New Roman" w:hAnsi="Times New Roman" w:cs="Times New Roman"/>
          <w:color w:val="auto"/>
          <w:spacing w:val="0"/>
          <w:w w:val="100"/>
          <w:position w:val="0"/>
          <w:sz w:val="21"/>
          <w:szCs w:val="21"/>
          <w:highlight w:val="none"/>
        </w:rPr>
      </w:pPr>
      <w:r>
        <w:rPr>
          <w:rFonts w:hint="default" w:ascii="Times New Roman" w:hAnsi="Times New Roman" w:cs="Times New Roman"/>
          <w:b/>
          <w:bCs/>
          <w:color w:val="auto"/>
          <w:spacing w:val="0"/>
          <w:w w:val="100"/>
          <w:position w:val="0"/>
          <w:sz w:val="21"/>
          <w:szCs w:val="21"/>
          <w:highlight w:val="none"/>
        </w:rPr>
        <w:t>表</w:t>
      </w:r>
      <w:r>
        <w:rPr>
          <w:rFonts w:hint="default" w:ascii="Times New Roman" w:hAnsi="Times New Roman" w:cs="Times New Roman"/>
          <w:b/>
          <w:bCs/>
          <w:color w:val="auto"/>
          <w:spacing w:val="0"/>
          <w:w w:val="100"/>
          <w:position w:val="0"/>
          <w:sz w:val="21"/>
          <w:szCs w:val="21"/>
          <w:highlight w:val="none"/>
          <w:lang w:val="en-US" w:eastAsia="zh-CN"/>
        </w:rPr>
        <w:t>3.3</w:t>
      </w:r>
      <w:r>
        <w:rPr>
          <w:rFonts w:hint="eastAsia" w:cs="Times New Roman"/>
          <w:b/>
          <w:bCs/>
          <w:color w:val="auto"/>
          <w:spacing w:val="0"/>
          <w:w w:val="100"/>
          <w:position w:val="0"/>
          <w:sz w:val="21"/>
          <w:szCs w:val="21"/>
          <w:highlight w:val="none"/>
          <w:lang w:val="en-US" w:eastAsia="zh-CN"/>
        </w:rPr>
        <w:t>.2-1</w:t>
      </w:r>
      <w:r>
        <w:rPr>
          <w:rFonts w:hint="default" w:ascii="Times New Roman" w:hAnsi="Times New Roman" w:cs="Times New Roman"/>
          <w:b/>
          <w:bCs/>
          <w:color w:val="auto"/>
          <w:spacing w:val="0"/>
          <w:w w:val="100"/>
          <w:position w:val="0"/>
          <w:sz w:val="21"/>
          <w:szCs w:val="21"/>
          <w:highlight w:val="none"/>
          <w:lang w:val="en-US" w:eastAsia="zh-CN"/>
        </w:rPr>
        <w:t xml:space="preserve">  </w:t>
      </w:r>
      <w:r>
        <w:rPr>
          <w:rFonts w:hint="default" w:ascii="Times New Roman" w:hAnsi="Times New Roman" w:cs="Times New Roman"/>
          <w:b/>
          <w:bCs/>
          <w:color w:val="auto"/>
          <w:spacing w:val="0"/>
          <w:w w:val="100"/>
          <w:position w:val="0"/>
          <w:sz w:val="21"/>
          <w:szCs w:val="21"/>
          <w:highlight w:val="none"/>
        </w:rPr>
        <w:t>施工期废水源强分析结果</w:t>
      </w:r>
    </w:p>
    <w:tbl>
      <w:tblPr>
        <w:tblStyle w:val="36"/>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57" w:type="dxa"/>
          <w:left w:w="57" w:type="dxa"/>
          <w:bottom w:w="57" w:type="dxa"/>
          <w:right w:w="57" w:type="dxa"/>
        </w:tblCellMar>
      </w:tblPr>
      <w:tblGrid>
        <w:gridCol w:w="1021"/>
        <w:gridCol w:w="1071"/>
        <w:gridCol w:w="1071"/>
        <w:gridCol w:w="820"/>
        <w:gridCol w:w="608"/>
        <w:gridCol w:w="768"/>
        <w:gridCol w:w="458"/>
        <w:gridCol w:w="818"/>
        <w:gridCol w:w="608"/>
        <w:gridCol w:w="766"/>
        <w:gridCol w:w="408"/>
      </w:tblGrid>
      <w:tr w14:paraId="541D390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606" w:type="pct"/>
            <w:vMerge w:val="restart"/>
            <w:tcBorders>
              <w:tl2br w:val="nil"/>
              <w:tr2bl w:val="nil"/>
            </w:tcBorders>
            <w:vAlign w:val="center"/>
          </w:tcPr>
          <w:p w14:paraId="3CE360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default" w:ascii="Times New Roman" w:hAnsi="Times New Roman" w:cs="Times New Roman" w:eastAsiaTheme="minorEastAsia"/>
                <w:b/>
                <w:bCs/>
                <w:color w:val="auto"/>
                <w:spacing w:val="0"/>
                <w:w w:val="100"/>
                <w:position w:val="0"/>
                <w:sz w:val="21"/>
                <w:szCs w:val="21"/>
                <w:highlight w:val="none"/>
              </w:rPr>
            </w:pPr>
            <w:r>
              <w:rPr>
                <w:rFonts w:hint="default" w:ascii="Times New Roman" w:hAnsi="Times New Roman" w:cs="Times New Roman" w:eastAsiaTheme="minorEastAsia"/>
                <w:b/>
                <w:bCs/>
                <w:color w:val="auto"/>
                <w:spacing w:val="0"/>
                <w:w w:val="100"/>
                <w:position w:val="0"/>
                <w:sz w:val="21"/>
                <w:szCs w:val="21"/>
                <w:highlight w:val="none"/>
              </w:rPr>
              <w:t>废水种类</w:t>
            </w:r>
          </w:p>
        </w:tc>
        <w:tc>
          <w:tcPr>
            <w:tcW w:w="1272" w:type="pct"/>
            <w:gridSpan w:val="2"/>
            <w:tcBorders>
              <w:tl2br w:val="nil"/>
              <w:tr2bl w:val="nil"/>
            </w:tcBorders>
            <w:vAlign w:val="center"/>
          </w:tcPr>
          <w:p w14:paraId="41BD3C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default" w:ascii="Times New Roman" w:hAnsi="Times New Roman" w:cs="Times New Roman" w:eastAsiaTheme="minorEastAsia"/>
                <w:b/>
                <w:bCs/>
                <w:color w:val="auto"/>
                <w:spacing w:val="0"/>
                <w:w w:val="100"/>
                <w:position w:val="0"/>
                <w:sz w:val="21"/>
                <w:szCs w:val="21"/>
                <w:highlight w:val="none"/>
              </w:rPr>
            </w:pPr>
            <w:r>
              <w:rPr>
                <w:rFonts w:hint="default" w:ascii="Times New Roman" w:hAnsi="Times New Roman" w:cs="Times New Roman" w:eastAsiaTheme="minorEastAsia"/>
                <w:b/>
                <w:bCs/>
                <w:color w:val="auto"/>
                <w:spacing w:val="0"/>
                <w:w w:val="100"/>
                <w:position w:val="0"/>
                <w:sz w:val="21"/>
                <w:szCs w:val="21"/>
                <w:highlight w:val="none"/>
              </w:rPr>
              <w:t>废水产生量（m</w:t>
            </w:r>
            <w:r>
              <w:rPr>
                <w:rFonts w:hint="default" w:ascii="Times New Roman" w:hAnsi="Times New Roman" w:cs="Times New Roman" w:eastAsiaTheme="minorEastAsia"/>
                <w:b/>
                <w:bCs/>
                <w:color w:val="auto"/>
                <w:spacing w:val="0"/>
                <w:w w:val="100"/>
                <w:position w:val="0"/>
                <w:sz w:val="21"/>
                <w:szCs w:val="21"/>
                <w:highlight w:val="none"/>
                <w:vertAlign w:val="superscript"/>
              </w:rPr>
              <w:t>3</w:t>
            </w:r>
            <w:r>
              <w:rPr>
                <w:rFonts w:hint="default" w:ascii="Times New Roman" w:hAnsi="Times New Roman" w:cs="Times New Roman" w:eastAsiaTheme="minorEastAsia"/>
                <w:b/>
                <w:bCs/>
                <w:color w:val="auto"/>
                <w:spacing w:val="0"/>
                <w:w w:val="100"/>
                <w:position w:val="0"/>
                <w:sz w:val="21"/>
                <w:szCs w:val="21"/>
                <w:highlight w:val="none"/>
              </w:rPr>
              <w:t>/d）</w:t>
            </w:r>
          </w:p>
        </w:tc>
        <w:tc>
          <w:tcPr>
            <w:tcW w:w="1576" w:type="pct"/>
            <w:gridSpan w:val="4"/>
            <w:tcBorders>
              <w:tl2br w:val="nil"/>
              <w:tr2bl w:val="nil"/>
            </w:tcBorders>
            <w:vAlign w:val="center"/>
          </w:tcPr>
          <w:p w14:paraId="76DC06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default" w:ascii="Times New Roman" w:hAnsi="Times New Roman" w:cs="Times New Roman" w:eastAsiaTheme="minorEastAsia"/>
                <w:b/>
                <w:bCs/>
                <w:color w:val="auto"/>
                <w:spacing w:val="0"/>
                <w:w w:val="100"/>
                <w:position w:val="0"/>
                <w:sz w:val="21"/>
                <w:szCs w:val="21"/>
                <w:highlight w:val="none"/>
              </w:rPr>
            </w:pPr>
            <w:r>
              <w:rPr>
                <w:rFonts w:hint="default" w:ascii="Times New Roman" w:hAnsi="Times New Roman" w:cs="Times New Roman" w:eastAsiaTheme="minorEastAsia"/>
                <w:b/>
                <w:bCs/>
                <w:color w:val="auto"/>
                <w:spacing w:val="0"/>
                <w:w w:val="100"/>
                <w:position w:val="0"/>
                <w:sz w:val="21"/>
                <w:szCs w:val="21"/>
                <w:highlight w:val="none"/>
              </w:rPr>
              <w:t>污染物排放浓度（mg/L）</w:t>
            </w:r>
          </w:p>
        </w:tc>
        <w:tc>
          <w:tcPr>
            <w:tcW w:w="1544" w:type="pct"/>
            <w:gridSpan w:val="4"/>
            <w:tcBorders>
              <w:tl2br w:val="nil"/>
              <w:tr2bl w:val="nil"/>
            </w:tcBorders>
            <w:vAlign w:val="center"/>
          </w:tcPr>
          <w:p w14:paraId="7C1FFF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default" w:ascii="Times New Roman" w:hAnsi="Times New Roman" w:cs="Times New Roman" w:eastAsiaTheme="minorEastAsia"/>
                <w:b/>
                <w:bCs/>
                <w:color w:val="auto"/>
                <w:spacing w:val="0"/>
                <w:w w:val="100"/>
                <w:position w:val="0"/>
                <w:sz w:val="21"/>
                <w:szCs w:val="21"/>
                <w:highlight w:val="none"/>
              </w:rPr>
            </w:pPr>
            <w:r>
              <w:rPr>
                <w:rFonts w:hint="default" w:ascii="Times New Roman" w:hAnsi="Times New Roman" w:cs="Times New Roman" w:eastAsiaTheme="minorEastAsia"/>
                <w:b/>
                <w:bCs/>
                <w:color w:val="auto"/>
                <w:spacing w:val="0"/>
                <w:w w:val="100"/>
                <w:position w:val="0"/>
                <w:sz w:val="21"/>
                <w:szCs w:val="21"/>
                <w:highlight w:val="none"/>
              </w:rPr>
              <w:t>排放量（kg/d）</w:t>
            </w:r>
          </w:p>
        </w:tc>
      </w:tr>
      <w:tr w14:paraId="1B8B969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606" w:type="pct"/>
            <w:vMerge w:val="continue"/>
            <w:tcBorders>
              <w:tl2br w:val="nil"/>
              <w:tr2bl w:val="nil"/>
            </w:tcBorders>
            <w:vAlign w:val="center"/>
          </w:tcPr>
          <w:p w14:paraId="42C4F1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default" w:ascii="Times New Roman" w:hAnsi="Times New Roman" w:cs="Times New Roman" w:eastAsiaTheme="minorEastAsia"/>
                <w:b/>
                <w:bCs/>
                <w:color w:val="auto"/>
                <w:spacing w:val="0"/>
                <w:w w:val="100"/>
                <w:position w:val="0"/>
                <w:sz w:val="21"/>
                <w:szCs w:val="21"/>
                <w:highlight w:val="none"/>
              </w:rPr>
            </w:pPr>
          </w:p>
        </w:tc>
        <w:tc>
          <w:tcPr>
            <w:tcW w:w="636" w:type="pct"/>
            <w:tcBorders>
              <w:tl2br w:val="nil"/>
              <w:tr2bl w:val="nil"/>
            </w:tcBorders>
            <w:vAlign w:val="center"/>
          </w:tcPr>
          <w:p w14:paraId="200C88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default" w:ascii="Times New Roman" w:hAnsi="Times New Roman" w:cs="Times New Roman" w:eastAsiaTheme="minorEastAsia"/>
                <w:b/>
                <w:bCs/>
                <w:color w:val="auto"/>
                <w:spacing w:val="0"/>
                <w:w w:val="100"/>
                <w:position w:val="0"/>
                <w:sz w:val="21"/>
                <w:szCs w:val="21"/>
                <w:highlight w:val="none"/>
              </w:rPr>
            </w:pPr>
            <w:r>
              <w:rPr>
                <w:rFonts w:hint="default" w:ascii="Times New Roman" w:hAnsi="Times New Roman" w:cs="Times New Roman" w:eastAsiaTheme="minorEastAsia"/>
                <w:b/>
                <w:bCs/>
                <w:color w:val="auto"/>
                <w:spacing w:val="0"/>
                <w:w w:val="100"/>
                <w:position w:val="0"/>
                <w:sz w:val="21"/>
                <w:szCs w:val="21"/>
                <w:highlight w:val="none"/>
              </w:rPr>
              <w:t>用水量</w:t>
            </w:r>
          </w:p>
        </w:tc>
        <w:tc>
          <w:tcPr>
            <w:tcW w:w="636" w:type="pct"/>
            <w:tcBorders>
              <w:tl2br w:val="nil"/>
              <w:tr2bl w:val="nil"/>
            </w:tcBorders>
            <w:vAlign w:val="center"/>
          </w:tcPr>
          <w:p w14:paraId="031731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default" w:ascii="Times New Roman" w:hAnsi="Times New Roman" w:cs="Times New Roman" w:eastAsiaTheme="minorEastAsia"/>
                <w:b/>
                <w:bCs/>
                <w:color w:val="auto"/>
                <w:spacing w:val="0"/>
                <w:w w:val="100"/>
                <w:position w:val="0"/>
                <w:sz w:val="21"/>
                <w:szCs w:val="21"/>
                <w:highlight w:val="none"/>
              </w:rPr>
            </w:pPr>
            <w:r>
              <w:rPr>
                <w:rFonts w:hint="default" w:ascii="Times New Roman" w:hAnsi="Times New Roman" w:cs="Times New Roman" w:eastAsiaTheme="minorEastAsia"/>
                <w:b/>
                <w:bCs/>
                <w:color w:val="auto"/>
                <w:spacing w:val="0"/>
                <w:w w:val="100"/>
                <w:position w:val="0"/>
                <w:sz w:val="21"/>
                <w:szCs w:val="21"/>
                <w:highlight w:val="none"/>
              </w:rPr>
              <w:t>废水量</w:t>
            </w:r>
          </w:p>
        </w:tc>
        <w:tc>
          <w:tcPr>
            <w:tcW w:w="487" w:type="pct"/>
            <w:tcBorders>
              <w:tl2br w:val="nil"/>
              <w:tr2bl w:val="nil"/>
            </w:tcBorders>
            <w:vAlign w:val="center"/>
          </w:tcPr>
          <w:p w14:paraId="58C585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eastAsia" w:ascii="Times New Roman" w:hAnsi="Times New Roman" w:cs="Times New Roman" w:eastAsiaTheme="minorEastAsia"/>
                <w:b/>
                <w:bCs/>
                <w:color w:val="auto"/>
                <w:spacing w:val="0"/>
                <w:w w:val="100"/>
                <w:position w:val="0"/>
                <w:sz w:val="21"/>
                <w:szCs w:val="21"/>
                <w:highlight w:val="none"/>
                <w:lang w:eastAsia="zh-CN"/>
              </w:rPr>
            </w:pPr>
            <w:r>
              <w:rPr>
                <w:rFonts w:hint="eastAsia" w:cs="Times New Roman" w:eastAsiaTheme="minorEastAsia"/>
                <w:b/>
                <w:bCs/>
                <w:color w:val="auto"/>
                <w:spacing w:val="0"/>
                <w:w w:val="100"/>
                <w:position w:val="0"/>
                <w:sz w:val="21"/>
                <w:szCs w:val="21"/>
                <w:highlight w:val="none"/>
                <w:lang w:eastAsia="zh-CN"/>
              </w:rPr>
              <w:t>CODcr</w:t>
            </w:r>
          </w:p>
        </w:tc>
        <w:tc>
          <w:tcPr>
            <w:tcW w:w="361" w:type="pct"/>
            <w:tcBorders>
              <w:tl2br w:val="nil"/>
              <w:tr2bl w:val="nil"/>
            </w:tcBorders>
            <w:vAlign w:val="center"/>
          </w:tcPr>
          <w:p w14:paraId="7BC729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default" w:ascii="Times New Roman" w:hAnsi="Times New Roman" w:cs="Times New Roman" w:eastAsiaTheme="minorEastAsia"/>
                <w:b/>
                <w:bCs/>
                <w:color w:val="auto"/>
                <w:spacing w:val="0"/>
                <w:w w:val="100"/>
                <w:position w:val="0"/>
                <w:sz w:val="21"/>
                <w:szCs w:val="21"/>
                <w:highlight w:val="none"/>
              </w:rPr>
            </w:pPr>
            <w:r>
              <w:rPr>
                <w:rFonts w:hint="default" w:ascii="Times New Roman" w:hAnsi="Times New Roman" w:cs="Times New Roman" w:eastAsiaTheme="minorEastAsia"/>
                <w:b/>
                <w:bCs/>
                <w:color w:val="auto"/>
                <w:spacing w:val="0"/>
                <w:w w:val="100"/>
                <w:position w:val="0"/>
                <w:sz w:val="21"/>
                <w:szCs w:val="21"/>
                <w:highlight w:val="none"/>
              </w:rPr>
              <w:t>BOD</w:t>
            </w:r>
          </w:p>
        </w:tc>
        <w:tc>
          <w:tcPr>
            <w:tcW w:w="456" w:type="pct"/>
            <w:tcBorders>
              <w:tl2br w:val="nil"/>
              <w:tr2bl w:val="nil"/>
            </w:tcBorders>
            <w:vAlign w:val="center"/>
          </w:tcPr>
          <w:p w14:paraId="0C657D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default" w:ascii="Times New Roman" w:hAnsi="Times New Roman" w:cs="Times New Roman" w:eastAsiaTheme="minorEastAsia"/>
                <w:b/>
                <w:bCs/>
                <w:color w:val="auto"/>
                <w:spacing w:val="0"/>
                <w:w w:val="100"/>
                <w:position w:val="0"/>
                <w:sz w:val="21"/>
                <w:szCs w:val="21"/>
                <w:highlight w:val="none"/>
              </w:rPr>
            </w:pPr>
            <w:r>
              <w:rPr>
                <w:rFonts w:hint="default" w:ascii="Times New Roman" w:hAnsi="Times New Roman" w:cs="Times New Roman" w:eastAsiaTheme="minorEastAsia"/>
                <w:b/>
                <w:bCs/>
                <w:color w:val="auto"/>
                <w:spacing w:val="0"/>
                <w:w w:val="100"/>
                <w:position w:val="0"/>
                <w:sz w:val="21"/>
                <w:szCs w:val="21"/>
                <w:highlight w:val="none"/>
              </w:rPr>
              <w:t>NH</w:t>
            </w:r>
            <w:r>
              <w:rPr>
                <w:rFonts w:hint="default" w:ascii="Times New Roman" w:hAnsi="Times New Roman" w:cs="Times New Roman" w:eastAsiaTheme="minorEastAsia"/>
                <w:b/>
                <w:bCs/>
                <w:color w:val="auto"/>
                <w:spacing w:val="0"/>
                <w:w w:val="100"/>
                <w:position w:val="0"/>
                <w:sz w:val="21"/>
                <w:szCs w:val="21"/>
                <w:highlight w:val="none"/>
                <w:vertAlign w:val="subscript"/>
              </w:rPr>
              <w:t>3</w:t>
            </w:r>
            <w:r>
              <w:rPr>
                <w:rFonts w:hint="default" w:ascii="Times New Roman" w:hAnsi="Times New Roman" w:cs="Times New Roman" w:eastAsiaTheme="minorEastAsia"/>
                <w:b/>
                <w:bCs/>
                <w:color w:val="auto"/>
                <w:spacing w:val="0"/>
                <w:w w:val="100"/>
                <w:position w:val="0"/>
                <w:sz w:val="21"/>
                <w:szCs w:val="21"/>
                <w:highlight w:val="none"/>
              </w:rPr>
              <w:t>-N</w:t>
            </w:r>
          </w:p>
        </w:tc>
        <w:tc>
          <w:tcPr>
            <w:tcW w:w="272" w:type="pct"/>
            <w:tcBorders>
              <w:tl2br w:val="nil"/>
              <w:tr2bl w:val="nil"/>
            </w:tcBorders>
            <w:vAlign w:val="center"/>
          </w:tcPr>
          <w:p w14:paraId="48C165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default" w:ascii="Times New Roman" w:hAnsi="Times New Roman" w:cs="Times New Roman" w:eastAsiaTheme="minorEastAsia"/>
                <w:b/>
                <w:bCs/>
                <w:color w:val="auto"/>
                <w:spacing w:val="0"/>
                <w:w w:val="100"/>
                <w:position w:val="0"/>
                <w:sz w:val="21"/>
                <w:szCs w:val="21"/>
                <w:highlight w:val="none"/>
              </w:rPr>
            </w:pPr>
            <w:r>
              <w:rPr>
                <w:rFonts w:hint="default" w:ascii="Times New Roman" w:hAnsi="Times New Roman" w:cs="Times New Roman" w:eastAsiaTheme="minorEastAsia"/>
                <w:b/>
                <w:bCs/>
                <w:color w:val="auto"/>
                <w:spacing w:val="0"/>
                <w:w w:val="100"/>
                <w:position w:val="0"/>
                <w:sz w:val="21"/>
                <w:szCs w:val="21"/>
                <w:highlight w:val="none"/>
              </w:rPr>
              <w:t>SS</w:t>
            </w:r>
          </w:p>
        </w:tc>
        <w:tc>
          <w:tcPr>
            <w:tcW w:w="486" w:type="pct"/>
            <w:tcBorders>
              <w:tl2br w:val="nil"/>
              <w:tr2bl w:val="nil"/>
            </w:tcBorders>
            <w:vAlign w:val="center"/>
          </w:tcPr>
          <w:p w14:paraId="4BE16D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eastAsia" w:ascii="Times New Roman" w:hAnsi="Times New Roman" w:cs="Times New Roman" w:eastAsiaTheme="minorEastAsia"/>
                <w:b/>
                <w:bCs/>
                <w:color w:val="auto"/>
                <w:spacing w:val="0"/>
                <w:w w:val="100"/>
                <w:position w:val="0"/>
                <w:sz w:val="21"/>
                <w:szCs w:val="21"/>
                <w:highlight w:val="none"/>
                <w:lang w:eastAsia="zh-CN"/>
              </w:rPr>
            </w:pPr>
            <w:r>
              <w:rPr>
                <w:rFonts w:hint="eastAsia" w:cs="Times New Roman" w:eastAsiaTheme="minorEastAsia"/>
                <w:b/>
                <w:bCs/>
                <w:color w:val="auto"/>
                <w:spacing w:val="0"/>
                <w:w w:val="100"/>
                <w:position w:val="0"/>
                <w:sz w:val="21"/>
                <w:szCs w:val="21"/>
                <w:highlight w:val="none"/>
                <w:lang w:eastAsia="zh-CN"/>
              </w:rPr>
              <w:t>CODcr</w:t>
            </w:r>
          </w:p>
        </w:tc>
        <w:tc>
          <w:tcPr>
            <w:tcW w:w="361" w:type="pct"/>
            <w:tcBorders>
              <w:tl2br w:val="nil"/>
              <w:tr2bl w:val="nil"/>
            </w:tcBorders>
            <w:vAlign w:val="center"/>
          </w:tcPr>
          <w:p w14:paraId="50C114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default" w:ascii="Times New Roman" w:hAnsi="Times New Roman" w:cs="Times New Roman" w:eastAsiaTheme="minorEastAsia"/>
                <w:b/>
                <w:bCs/>
                <w:color w:val="auto"/>
                <w:spacing w:val="0"/>
                <w:w w:val="100"/>
                <w:position w:val="0"/>
                <w:sz w:val="21"/>
                <w:szCs w:val="21"/>
                <w:highlight w:val="none"/>
              </w:rPr>
            </w:pPr>
            <w:r>
              <w:rPr>
                <w:rFonts w:hint="default" w:ascii="Times New Roman" w:hAnsi="Times New Roman" w:cs="Times New Roman" w:eastAsiaTheme="minorEastAsia"/>
                <w:b/>
                <w:bCs/>
                <w:color w:val="auto"/>
                <w:spacing w:val="0"/>
                <w:w w:val="100"/>
                <w:position w:val="0"/>
                <w:sz w:val="21"/>
                <w:szCs w:val="21"/>
                <w:highlight w:val="none"/>
              </w:rPr>
              <w:t>BOD</w:t>
            </w:r>
          </w:p>
        </w:tc>
        <w:tc>
          <w:tcPr>
            <w:tcW w:w="455" w:type="pct"/>
            <w:tcBorders>
              <w:tl2br w:val="nil"/>
              <w:tr2bl w:val="nil"/>
            </w:tcBorders>
            <w:vAlign w:val="center"/>
          </w:tcPr>
          <w:p w14:paraId="77775E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default" w:ascii="Times New Roman" w:hAnsi="Times New Roman" w:cs="Times New Roman" w:eastAsiaTheme="minorEastAsia"/>
                <w:b/>
                <w:bCs/>
                <w:color w:val="auto"/>
                <w:spacing w:val="0"/>
                <w:w w:val="100"/>
                <w:position w:val="0"/>
                <w:sz w:val="21"/>
                <w:szCs w:val="21"/>
                <w:highlight w:val="none"/>
              </w:rPr>
            </w:pPr>
            <w:r>
              <w:rPr>
                <w:rFonts w:hint="default" w:ascii="Times New Roman" w:hAnsi="Times New Roman" w:cs="Times New Roman" w:eastAsiaTheme="minorEastAsia"/>
                <w:b/>
                <w:bCs/>
                <w:color w:val="auto"/>
                <w:spacing w:val="0"/>
                <w:w w:val="100"/>
                <w:position w:val="0"/>
                <w:sz w:val="21"/>
                <w:szCs w:val="21"/>
                <w:highlight w:val="none"/>
              </w:rPr>
              <w:t>NH</w:t>
            </w:r>
            <w:r>
              <w:rPr>
                <w:rFonts w:hint="default" w:ascii="Times New Roman" w:hAnsi="Times New Roman" w:cs="Times New Roman" w:eastAsiaTheme="minorEastAsia"/>
                <w:b/>
                <w:bCs/>
                <w:color w:val="auto"/>
                <w:spacing w:val="0"/>
                <w:w w:val="100"/>
                <w:position w:val="0"/>
                <w:sz w:val="21"/>
                <w:szCs w:val="21"/>
                <w:highlight w:val="none"/>
                <w:vertAlign w:val="subscript"/>
              </w:rPr>
              <w:t>3</w:t>
            </w:r>
            <w:r>
              <w:rPr>
                <w:rFonts w:hint="default" w:ascii="Times New Roman" w:hAnsi="Times New Roman" w:cs="Times New Roman" w:eastAsiaTheme="minorEastAsia"/>
                <w:b/>
                <w:bCs/>
                <w:color w:val="auto"/>
                <w:spacing w:val="0"/>
                <w:w w:val="100"/>
                <w:position w:val="0"/>
                <w:sz w:val="21"/>
                <w:szCs w:val="21"/>
                <w:highlight w:val="none"/>
              </w:rPr>
              <w:t>-N</w:t>
            </w:r>
          </w:p>
        </w:tc>
        <w:tc>
          <w:tcPr>
            <w:tcW w:w="241" w:type="pct"/>
            <w:tcBorders>
              <w:tl2br w:val="nil"/>
              <w:tr2bl w:val="nil"/>
            </w:tcBorders>
            <w:vAlign w:val="center"/>
          </w:tcPr>
          <w:p w14:paraId="173730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default" w:ascii="Times New Roman" w:hAnsi="Times New Roman" w:cs="Times New Roman" w:eastAsiaTheme="minorEastAsia"/>
                <w:b/>
                <w:bCs/>
                <w:color w:val="auto"/>
                <w:spacing w:val="0"/>
                <w:w w:val="100"/>
                <w:position w:val="0"/>
                <w:sz w:val="21"/>
                <w:szCs w:val="21"/>
                <w:highlight w:val="none"/>
              </w:rPr>
            </w:pPr>
            <w:r>
              <w:rPr>
                <w:rFonts w:hint="default" w:ascii="Times New Roman" w:hAnsi="Times New Roman" w:cs="Times New Roman" w:eastAsiaTheme="minorEastAsia"/>
                <w:b/>
                <w:bCs/>
                <w:color w:val="auto"/>
                <w:spacing w:val="0"/>
                <w:w w:val="100"/>
                <w:position w:val="0"/>
                <w:sz w:val="21"/>
                <w:szCs w:val="21"/>
                <w:highlight w:val="none"/>
              </w:rPr>
              <w:t>SS</w:t>
            </w:r>
          </w:p>
        </w:tc>
      </w:tr>
      <w:tr w14:paraId="0F62184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606" w:type="pct"/>
            <w:tcBorders>
              <w:tl2br w:val="nil"/>
              <w:tr2bl w:val="nil"/>
            </w:tcBorders>
            <w:vAlign w:val="center"/>
          </w:tcPr>
          <w:p w14:paraId="4C26DF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default" w:ascii="Times New Roman" w:hAnsi="Times New Roman" w:cs="Times New Roman" w:eastAsiaTheme="minorEastAsia"/>
                <w:color w:val="auto"/>
                <w:spacing w:val="0"/>
                <w:w w:val="100"/>
                <w:position w:val="0"/>
                <w:sz w:val="21"/>
                <w:szCs w:val="21"/>
                <w:highlight w:val="none"/>
              </w:rPr>
            </w:pPr>
            <w:r>
              <w:rPr>
                <w:rFonts w:hint="default" w:ascii="Times New Roman" w:hAnsi="Times New Roman" w:cs="Times New Roman" w:eastAsiaTheme="minorEastAsia"/>
                <w:color w:val="auto"/>
                <w:spacing w:val="0"/>
                <w:w w:val="100"/>
                <w:position w:val="0"/>
                <w:sz w:val="21"/>
                <w:szCs w:val="21"/>
                <w:highlight w:val="none"/>
              </w:rPr>
              <w:t>生活污水</w:t>
            </w:r>
          </w:p>
        </w:tc>
        <w:tc>
          <w:tcPr>
            <w:tcW w:w="636" w:type="pct"/>
            <w:tcBorders>
              <w:tl2br w:val="nil"/>
              <w:tr2bl w:val="nil"/>
            </w:tcBorders>
            <w:vAlign w:val="center"/>
          </w:tcPr>
          <w:p w14:paraId="32EF07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default" w:ascii="Times New Roman" w:hAnsi="Times New Roman" w:cs="Times New Roman" w:eastAsiaTheme="minorEastAsia"/>
                <w:color w:val="auto"/>
                <w:spacing w:val="0"/>
                <w:w w:val="100"/>
                <w:position w:val="0"/>
                <w:sz w:val="21"/>
                <w:szCs w:val="21"/>
                <w:highlight w:val="none"/>
                <w:lang w:val="en-US" w:eastAsia="zh-CN"/>
              </w:rPr>
            </w:pPr>
            <w:r>
              <w:rPr>
                <w:rFonts w:hint="default" w:ascii="Times New Roman" w:hAnsi="Times New Roman" w:cs="Times New Roman" w:eastAsiaTheme="minorEastAsia"/>
                <w:color w:val="auto"/>
                <w:spacing w:val="0"/>
                <w:w w:val="100"/>
                <w:position w:val="0"/>
                <w:sz w:val="21"/>
                <w:szCs w:val="21"/>
                <w:highlight w:val="none"/>
                <w:lang w:val="en-US" w:eastAsia="zh-CN"/>
              </w:rPr>
              <w:t>0.5</w:t>
            </w:r>
          </w:p>
        </w:tc>
        <w:tc>
          <w:tcPr>
            <w:tcW w:w="636" w:type="pct"/>
            <w:tcBorders>
              <w:tl2br w:val="nil"/>
              <w:tr2bl w:val="nil"/>
            </w:tcBorders>
            <w:vAlign w:val="center"/>
          </w:tcPr>
          <w:p w14:paraId="4723E7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default" w:ascii="Times New Roman" w:hAnsi="Times New Roman" w:cs="Times New Roman" w:eastAsiaTheme="minorEastAsia"/>
                <w:color w:val="auto"/>
                <w:spacing w:val="0"/>
                <w:w w:val="100"/>
                <w:position w:val="0"/>
                <w:sz w:val="21"/>
                <w:szCs w:val="21"/>
                <w:highlight w:val="none"/>
                <w:lang w:val="en-US" w:eastAsia="zh-CN"/>
              </w:rPr>
            </w:pPr>
            <w:r>
              <w:rPr>
                <w:rFonts w:hint="default" w:ascii="Times New Roman" w:hAnsi="Times New Roman" w:cs="Times New Roman" w:eastAsiaTheme="minorEastAsia"/>
                <w:color w:val="auto"/>
                <w:spacing w:val="0"/>
                <w:w w:val="100"/>
                <w:position w:val="0"/>
                <w:sz w:val="21"/>
                <w:szCs w:val="21"/>
                <w:highlight w:val="none"/>
                <w:lang w:val="en-US" w:eastAsia="zh-CN"/>
              </w:rPr>
              <w:t>0.</w:t>
            </w:r>
            <w:r>
              <w:rPr>
                <w:rFonts w:hint="eastAsia" w:cs="Times New Roman" w:eastAsiaTheme="minorEastAsia"/>
                <w:color w:val="auto"/>
                <w:spacing w:val="0"/>
                <w:w w:val="100"/>
                <w:position w:val="0"/>
                <w:sz w:val="21"/>
                <w:szCs w:val="21"/>
                <w:highlight w:val="none"/>
                <w:lang w:val="en-US" w:eastAsia="zh-CN"/>
              </w:rPr>
              <w:t>4</w:t>
            </w:r>
          </w:p>
        </w:tc>
        <w:tc>
          <w:tcPr>
            <w:tcW w:w="487" w:type="pct"/>
            <w:tcBorders>
              <w:tl2br w:val="nil"/>
              <w:tr2bl w:val="nil"/>
            </w:tcBorders>
            <w:vAlign w:val="center"/>
          </w:tcPr>
          <w:p w14:paraId="0082FE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default" w:ascii="Times New Roman" w:hAnsi="Times New Roman" w:cs="Times New Roman" w:eastAsiaTheme="minorEastAsia"/>
                <w:color w:val="auto"/>
                <w:spacing w:val="0"/>
                <w:w w:val="100"/>
                <w:position w:val="0"/>
                <w:sz w:val="21"/>
                <w:szCs w:val="21"/>
                <w:highlight w:val="none"/>
              </w:rPr>
            </w:pPr>
            <w:r>
              <w:rPr>
                <w:rFonts w:hint="default" w:ascii="Times New Roman" w:hAnsi="Times New Roman" w:cs="Times New Roman" w:eastAsiaTheme="minorEastAsia"/>
                <w:color w:val="auto"/>
                <w:spacing w:val="0"/>
                <w:w w:val="100"/>
                <w:position w:val="0"/>
                <w:sz w:val="21"/>
                <w:szCs w:val="21"/>
                <w:highlight w:val="none"/>
              </w:rPr>
              <w:t>350</w:t>
            </w:r>
          </w:p>
        </w:tc>
        <w:tc>
          <w:tcPr>
            <w:tcW w:w="361" w:type="pct"/>
            <w:tcBorders>
              <w:tl2br w:val="nil"/>
              <w:tr2bl w:val="nil"/>
            </w:tcBorders>
            <w:vAlign w:val="center"/>
          </w:tcPr>
          <w:p w14:paraId="2F18CB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default" w:ascii="Times New Roman" w:hAnsi="Times New Roman" w:cs="Times New Roman" w:eastAsiaTheme="minorEastAsia"/>
                <w:color w:val="auto"/>
                <w:spacing w:val="0"/>
                <w:w w:val="100"/>
                <w:position w:val="0"/>
                <w:sz w:val="21"/>
                <w:szCs w:val="21"/>
                <w:highlight w:val="none"/>
              </w:rPr>
            </w:pPr>
            <w:r>
              <w:rPr>
                <w:rFonts w:hint="default" w:ascii="Times New Roman" w:hAnsi="Times New Roman" w:cs="Times New Roman" w:eastAsiaTheme="minorEastAsia"/>
                <w:color w:val="auto"/>
                <w:spacing w:val="0"/>
                <w:w w:val="100"/>
                <w:position w:val="0"/>
                <w:sz w:val="21"/>
                <w:szCs w:val="21"/>
                <w:highlight w:val="none"/>
              </w:rPr>
              <w:t>200</w:t>
            </w:r>
          </w:p>
        </w:tc>
        <w:tc>
          <w:tcPr>
            <w:tcW w:w="456" w:type="pct"/>
            <w:tcBorders>
              <w:tl2br w:val="nil"/>
              <w:tr2bl w:val="nil"/>
            </w:tcBorders>
            <w:vAlign w:val="center"/>
          </w:tcPr>
          <w:p w14:paraId="2ACFBE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default" w:ascii="Times New Roman" w:hAnsi="Times New Roman" w:cs="Times New Roman" w:eastAsiaTheme="minorEastAsia"/>
                <w:color w:val="auto"/>
                <w:spacing w:val="0"/>
                <w:w w:val="100"/>
                <w:position w:val="0"/>
                <w:sz w:val="21"/>
                <w:szCs w:val="21"/>
                <w:highlight w:val="none"/>
              </w:rPr>
            </w:pPr>
            <w:r>
              <w:rPr>
                <w:rFonts w:hint="default" w:ascii="Times New Roman" w:hAnsi="Times New Roman" w:cs="Times New Roman" w:eastAsiaTheme="minorEastAsia"/>
                <w:color w:val="auto"/>
                <w:spacing w:val="0"/>
                <w:w w:val="100"/>
                <w:position w:val="0"/>
                <w:sz w:val="21"/>
                <w:szCs w:val="21"/>
                <w:highlight w:val="none"/>
              </w:rPr>
              <w:t>30</w:t>
            </w:r>
          </w:p>
        </w:tc>
        <w:tc>
          <w:tcPr>
            <w:tcW w:w="272" w:type="pct"/>
            <w:tcBorders>
              <w:tl2br w:val="nil"/>
              <w:tr2bl w:val="nil"/>
            </w:tcBorders>
            <w:vAlign w:val="center"/>
          </w:tcPr>
          <w:p w14:paraId="16E966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default" w:ascii="Times New Roman" w:hAnsi="Times New Roman" w:cs="Times New Roman" w:eastAsiaTheme="minorEastAsia"/>
                <w:color w:val="auto"/>
                <w:spacing w:val="0"/>
                <w:w w:val="100"/>
                <w:position w:val="0"/>
                <w:sz w:val="21"/>
                <w:szCs w:val="21"/>
                <w:highlight w:val="none"/>
              </w:rPr>
            </w:pPr>
            <w:r>
              <w:rPr>
                <w:rFonts w:hint="default" w:ascii="Times New Roman" w:hAnsi="Times New Roman" w:cs="Times New Roman" w:eastAsiaTheme="minorEastAsia"/>
                <w:color w:val="auto"/>
                <w:spacing w:val="0"/>
                <w:w w:val="100"/>
                <w:position w:val="0"/>
                <w:sz w:val="21"/>
                <w:szCs w:val="21"/>
                <w:highlight w:val="none"/>
              </w:rPr>
              <w:t>250</w:t>
            </w:r>
          </w:p>
        </w:tc>
        <w:tc>
          <w:tcPr>
            <w:tcW w:w="486" w:type="pct"/>
            <w:tcBorders>
              <w:tl2br w:val="nil"/>
              <w:tr2bl w:val="nil"/>
            </w:tcBorders>
            <w:vAlign w:val="center"/>
          </w:tcPr>
          <w:p w14:paraId="172993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default" w:ascii="Times New Roman" w:hAnsi="Times New Roman" w:cs="Times New Roman" w:eastAsiaTheme="minorEastAsia"/>
                <w:color w:val="auto"/>
                <w:spacing w:val="0"/>
                <w:w w:val="100"/>
                <w:position w:val="0"/>
                <w:sz w:val="21"/>
                <w:szCs w:val="21"/>
                <w:highlight w:val="none"/>
                <w:lang w:val="en-US" w:eastAsia="zh-CN"/>
              </w:rPr>
            </w:pPr>
            <w:r>
              <w:rPr>
                <w:rFonts w:hint="default" w:ascii="Times New Roman" w:hAnsi="Times New Roman" w:cs="Times New Roman" w:eastAsiaTheme="minorEastAsia"/>
                <w:color w:val="auto"/>
                <w:spacing w:val="0"/>
                <w:w w:val="100"/>
                <w:position w:val="0"/>
                <w:sz w:val="21"/>
                <w:szCs w:val="21"/>
                <w:highlight w:val="none"/>
                <w:lang w:val="en-US" w:eastAsia="zh-CN"/>
              </w:rPr>
              <w:t>0.</w:t>
            </w:r>
            <w:r>
              <w:rPr>
                <w:rFonts w:hint="eastAsia" w:cs="Times New Roman" w:eastAsiaTheme="minorEastAsia"/>
                <w:color w:val="auto"/>
                <w:spacing w:val="0"/>
                <w:w w:val="100"/>
                <w:position w:val="0"/>
                <w:sz w:val="21"/>
                <w:szCs w:val="21"/>
                <w:highlight w:val="none"/>
                <w:lang w:val="en-US" w:eastAsia="zh-CN"/>
              </w:rPr>
              <w:t>14</w:t>
            </w:r>
          </w:p>
        </w:tc>
        <w:tc>
          <w:tcPr>
            <w:tcW w:w="361" w:type="pct"/>
            <w:tcBorders>
              <w:tl2br w:val="nil"/>
              <w:tr2bl w:val="nil"/>
            </w:tcBorders>
            <w:vAlign w:val="center"/>
          </w:tcPr>
          <w:p w14:paraId="41259F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default" w:ascii="Times New Roman" w:hAnsi="Times New Roman" w:cs="Times New Roman" w:eastAsiaTheme="minorEastAsia"/>
                <w:color w:val="auto"/>
                <w:spacing w:val="0"/>
                <w:w w:val="100"/>
                <w:position w:val="0"/>
                <w:sz w:val="21"/>
                <w:szCs w:val="21"/>
                <w:highlight w:val="none"/>
                <w:lang w:val="en-US" w:eastAsia="zh-CN"/>
              </w:rPr>
            </w:pPr>
            <w:r>
              <w:rPr>
                <w:rFonts w:hint="default" w:ascii="Times New Roman" w:hAnsi="Times New Roman" w:cs="Times New Roman" w:eastAsiaTheme="minorEastAsia"/>
                <w:color w:val="auto"/>
                <w:spacing w:val="0"/>
                <w:w w:val="100"/>
                <w:position w:val="0"/>
                <w:sz w:val="21"/>
                <w:szCs w:val="21"/>
                <w:highlight w:val="none"/>
                <w:lang w:val="en-US" w:eastAsia="zh-CN"/>
              </w:rPr>
              <w:t>0.</w:t>
            </w:r>
            <w:r>
              <w:rPr>
                <w:rFonts w:hint="eastAsia" w:cs="Times New Roman" w:eastAsiaTheme="minorEastAsia"/>
                <w:color w:val="auto"/>
                <w:spacing w:val="0"/>
                <w:w w:val="100"/>
                <w:position w:val="0"/>
                <w:sz w:val="21"/>
                <w:szCs w:val="21"/>
                <w:highlight w:val="none"/>
                <w:lang w:val="en-US" w:eastAsia="zh-CN"/>
              </w:rPr>
              <w:t>08</w:t>
            </w:r>
          </w:p>
        </w:tc>
        <w:tc>
          <w:tcPr>
            <w:tcW w:w="455" w:type="pct"/>
            <w:tcBorders>
              <w:tl2br w:val="nil"/>
              <w:tr2bl w:val="nil"/>
            </w:tcBorders>
            <w:vAlign w:val="center"/>
          </w:tcPr>
          <w:p w14:paraId="147224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default" w:ascii="Times New Roman" w:hAnsi="Times New Roman" w:cs="Times New Roman" w:eastAsiaTheme="minorEastAsia"/>
                <w:color w:val="auto"/>
                <w:spacing w:val="0"/>
                <w:w w:val="100"/>
                <w:position w:val="0"/>
                <w:sz w:val="21"/>
                <w:szCs w:val="21"/>
                <w:highlight w:val="none"/>
                <w:lang w:val="en-US" w:eastAsia="zh-CN"/>
              </w:rPr>
            </w:pPr>
            <w:r>
              <w:rPr>
                <w:rFonts w:hint="default" w:ascii="Times New Roman" w:hAnsi="Times New Roman" w:cs="Times New Roman" w:eastAsiaTheme="minorEastAsia"/>
                <w:color w:val="auto"/>
                <w:spacing w:val="0"/>
                <w:w w:val="100"/>
                <w:position w:val="0"/>
                <w:sz w:val="21"/>
                <w:szCs w:val="21"/>
                <w:highlight w:val="none"/>
                <w:lang w:val="en-US" w:eastAsia="zh-CN"/>
              </w:rPr>
              <w:t>0.01</w:t>
            </w:r>
            <w:r>
              <w:rPr>
                <w:rFonts w:hint="eastAsia" w:cs="Times New Roman" w:eastAsiaTheme="minorEastAsia"/>
                <w:color w:val="auto"/>
                <w:spacing w:val="0"/>
                <w:w w:val="100"/>
                <w:position w:val="0"/>
                <w:sz w:val="21"/>
                <w:szCs w:val="21"/>
                <w:highlight w:val="none"/>
                <w:lang w:val="en-US" w:eastAsia="zh-CN"/>
              </w:rPr>
              <w:t>2</w:t>
            </w:r>
          </w:p>
        </w:tc>
        <w:tc>
          <w:tcPr>
            <w:tcW w:w="241" w:type="pct"/>
            <w:tcBorders>
              <w:tl2br w:val="nil"/>
              <w:tr2bl w:val="nil"/>
            </w:tcBorders>
            <w:vAlign w:val="center"/>
          </w:tcPr>
          <w:p w14:paraId="632B81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default" w:ascii="Times New Roman" w:hAnsi="Times New Roman" w:cs="Times New Roman" w:eastAsiaTheme="minorEastAsia"/>
                <w:color w:val="auto"/>
                <w:spacing w:val="0"/>
                <w:w w:val="100"/>
                <w:position w:val="0"/>
                <w:sz w:val="21"/>
                <w:szCs w:val="21"/>
                <w:highlight w:val="none"/>
                <w:lang w:val="en-US" w:eastAsia="zh-CN"/>
              </w:rPr>
            </w:pPr>
            <w:r>
              <w:rPr>
                <w:rFonts w:hint="default" w:ascii="Times New Roman" w:hAnsi="Times New Roman" w:cs="Times New Roman" w:eastAsiaTheme="minorEastAsia"/>
                <w:color w:val="auto"/>
                <w:spacing w:val="0"/>
                <w:w w:val="100"/>
                <w:position w:val="0"/>
                <w:sz w:val="21"/>
                <w:szCs w:val="21"/>
                <w:highlight w:val="none"/>
                <w:lang w:val="en-US" w:eastAsia="zh-CN"/>
              </w:rPr>
              <w:t>0.1</w:t>
            </w:r>
          </w:p>
        </w:tc>
      </w:tr>
    </w:tbl>
    <w:p w14:paraId="0D69D296">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lang w:eastAsia="zh-CN"/>
        </w:rPr>
      </w:pPr>
      <w:r>
        <w:rPr>
          <w:rFonts w:hint="eastAsia" w:cs="Times New Roman"/>
          <w:caps w:val="0"/>
          <w:snapToGrid/>
          <w:color w:val="auto"/>
          <w:spacing w:val="0"/>
          <w:w w:val="100"/>
          <w:kern w:val="21"/>
          <w:position w:val="0"/>
          <w:highlight w:val="none"/>
          <w:lang w:val="en-US" w:eastAsia="zh-CN"/>
        </w:rPr>
        <w:t>施工期生活污水依托租赁厂区排水系统，</w:t>
      </w:r>
      <w:r>
        <w:rPr>
          <w:rFonts w:hint="eastAsia"/>
          <w:color w:val="auto"/>
          <w:spacing w:val="0"/>
          <w:w w:val="100"/>
          <w:position w:val="0"/>
          <w:highlight w:val="none"/>
          <w:lang w:val="en-US" w:eastAsia="zh-CN"/>
        </w:rPr>
        <w:t>排入园区污水管网，最终排入阜西区污水处理厂</w:t>
      </w:r>
      <w:r>
        <w:rPr>
          <w:rFonts w:hint="eastAsia" w:eastAsia="宋体"/>
          <w:color w:val="auto"/>
          <w:spacing w:val="0"/>
          <w:w w:val="100"/>
          <w:position w:val="0"/>
          <w:highlight w:val="none"/>
          <w:lang w:val="en-US" w:eastAsia="zh-CN"/>
        </w:rPr>
        <w:t>处理</w:t>
      </w:r>
      <w:r>
        <w:rPr>
          <w:rFonts w:hint="default" w:ascii="Times New Roman" w:hAnsi="Times New Roman" w:eastAsia="宋体" w:cs="Times New Roman"/>
          <w:caps w:val="0"/>
          <w:snapToGrid/>
          <w:color w:val="auto"/>
          <w:spacing w:val="0"/>
          <w:w w:val="100"/>
          <w:kern w:val="21"/>
          <w:position w:val="0"/>
          <w:highlight w:val="none"/>
        </w:rPr>
        <w:t>，施工期废水排放不会对周围环境影响造成影响</w:t>
      </w:r>
      <w:r>
        <w:rPr>
          <w:rFonts w:hint="default" w:ascii="Times New Roman" w:hAnsi="Times New Roman" w:eastAsia="宋体" w:cs="Times New Roman"/>
          <w:caps w:val="0"/>
          <w:snapToGrid/>
          <w:color w:val="auto"/>
          <w:spacing w:val="0"/>
          <w:w w:val="100"/>
          <w:kern w:val="21"/>
          <w:position w:val="0"/>
          <w:highlight w:val="none"/>
          <w:lang w:eastAsia="zh-CN"/>
        </w:rPr>
        <w:t>。</w:t>
      </w:r>
    </w:p>
    <w:p w14:paraId="27E46009">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228" w:name="_Toc9790"/>
      <w:bookmarkStart w:id="229" w:name="_Toc30834"/>
      <w:bookmarkStart w:id="230" w:name="_Toc19571"/>
      <w:r>
        <w:rPr>
          <w:rFonts w:hint="default"/>
          <w:color w:val="auto"/>
          <w:spacing w:val="0"/>
          <w:w w:val="100"/>
          <w:position w:val="0"/>
          <w:highlight w:val="none"/>
          <w:lang w:val="en-US" w:eastAsia="zh-CN"/>
        </w:rPr>
        <w:t>3.</w:t>
      </w:r>
      <w:r>
        <w:rPr>
          <w:rFonts w:hint="eastAsia"/>
          <w:color w:val="auto"/>
          <w:spacing w:val="0"/>
          <w:w w:val="100"/>
          <w:position w:val="0"/>
          <w:highlight w:val="none"/>
          <w:lang w:val="en-US" w:eastAsia="zh-CN"/>
        </w:rPr>
        <w:t>3</w:t>
      </w:r>
      <w:r>
        <w:rPr>
          <w:rFonts w:hint="default"/>
          <w:color w:val="auto"/>
          <w:spacing w:val="0"/>
          <w:w w:val="100"/>
          <w:position w:val="0"/>
          <w:highlight w:val="none"/>
          <w:lang w:val="en-US" w:eastAsia="zh-CN"/>
        </w:rPr>
        <w:t>.3施工机械噪声</w:t>
      </w:r>
      <w:bookmarkEnd w:id="228"/>
      <w:bookmarkEnd w:id="229"/>
      <w:bookmarkEnd w:id="230"/>
    </w:p>
    <w:p w14:paraId="32CE0D2F">
      <w:pPr>
        <w:pStyle w:val="24"/>
        <w:keepNext w:val="0"/>
        <w:keepLines w:val="0"/>
        <w:pageBreakBefore w:val="0"/>
        <w:widowControl w:val="0"/>
        <w:kinsoku/>
        <w:wordWrap/>
        <w:overflowPunct/>
        <w:topLinePunct w:val="0"/>
        <w:autoSpaceDE/>
        <w:autoSpaceDN/>
        <w:bidi w:val="0"/>
        <w:spacing w:after="0" w:line="480" w:lineRule="exact"/>
        <w:ind w:left="0" w:leftChars="0" w:firstLine="480"/>
        <w:jc w:val="left"/>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施工期噪声主要来自运输车辆噪声</w:t>
      </w:r>
      <w:r>
        <w:rPr>
          <w:rFonts w:hint="default" w:ascii="Times New Roman" w:hAnsi="Times New Roman" w:eastAsia="宋体" w:cs="Times New Roman"/>
          <w:color w:val="auto"/>
          <w:spacing w:val="0"/>
          <w:w w:val="100"/>
          <w:position w:val="0"/>
          <w:sz w:val="24"/>
          <w:highlight w:val="none"/>
          <w:lang w:val="en-US" w:eastAsia="zh-CN"/>
        </w:rPr>
        <w:t>和设备噪声</w:t>
      </w:r>
      <w:r>
        <w:rPr>
          <w:rFonts w:hint="default" w:ascii="Times New Roman" w:hAnsi="Times New Roman" w:eastAsia="宋体" w:cs="Times New Roman"/>
          <w:color w:val="auto"/>
          <w:spacing w:val="0"/>
          <w:w w:val="100"/>
          <w:position w:val="0"/>
          <w:sz w:val="24"/>
          <w:highlight w:val="none"/>
        </w:rPr>
        <w:t>。施工机械噪声</w:t>
      </w:r>
      <w:r>
        <w:rPr>
          <w:rFonts w:hint="default" w:ascii="Times New Roman" w:hAnsi="Times New Roman" w:eastAsia="宋体" w:cs="Times New Roman"/>
          <w:color w:val="auto"/>
          <w:spacing w:val="0"/>
          <w:w w:val="100"/>
          <w:position w:val="0"/>
          <w:sz w:val="24"/>
          <w:highlight w:val="none"/>
          <w:lang w:val="en-US" w:eastAsia="zh-CN"/>
        </w:rPr>
        <w:t>主要为起重机、吊车等，</w:t>
      </w:r>
      <w:r>
        <w:rPr>
          <w:rFonts w:hint="default" w:ascii="Times New Roman" w:hAnsi="Times New Roman" w:eastAsia="宋体" w:cs="Times New Roman"/>
          <w:color w:val="auto"/>
          <w:spacing w:val="0"/>
          <w:w w:val="100"/>
          <w:position w:val="0"/>
          <w:sz w:val="24"/>
          <w:highlight w:val="none"/>
        </w:rPr>
        <w:t>多为瞬间噪声；运输车辆的噪声属于交通噪声。在这些施工噪声中对声环境影响最大的是施工机械噪声。当多台机械设备同时作业时，产生噪声叠加，根据类比调查，叠加后的噪声增加3~8dB，一般不会超过10dB。</w:t>
      </w:r>
    </w:p>
    <w:p w14:paraId="3E8286C6">
      <w:pPr>
        <w:pStyle w:val="24"/>
        <w:keepNext w:val="0"/>
        <w:keepLines w:val="0"/>
        <w:pageBreakBefore w:val="0"/>
        <w:widowControl w:val="0"/>
        <w:kinsoku/>
        <w:wordWrap/>
        <w:overflowPunct/>
        <w:topLinePunct w:val="0"/>
        <w:autoSpaceDE/>
        <w:autoSpaceDN/>
        <w:bidi w:val="0"/>
        <w:spacing w:after="0" w:line="480" w:lineRule="exact"/>
        <w:ind w:left="0" w:leftChars="0" w:firstLine="480"/>
        <w:jc w:val="left"/>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sz w:val="24"/>
          <w:highlight w:val="none"/>
        </w:rPr>
        <w:t>施工期交通运输车辆噪声见表</w:t>
      </w:r>
      <w:r>
        <w:rPr>
          <w:rFonts w:hint="default" w:ascii="Times New Roman" w:hAnsi="Times New Roman" w:eastAsia="宋体" w:cs="Times New Roman"/>
          <w:color w:val="auto"/>
          <w:spacing w:val="0"/>
          <w:w w:val="100"/>
          <w:position w:val="0"/>
          <w:sz w:val="24"/>
          <w:highlight w:val="none"/>
          <w:lang w:eastAsia="zh-CN"/>
        </w:rPr>
        <w:t>3.</w:t>
      </w:r>
      <w:r>
        <w:rPr>
          <w:rFonts w:hint="eastAsia" w:ascii="Times New Roman" w:hAnsi="Times New Roman" w:eastAsia="宋体" w:cs="Times New Roman"/>
          <w:color w:val="auto"/>
          <w:spacing w:val="0"/>
          <w:w w:val="100"/>
          <w:position w:val="0"/>
          <w:sz w:val="24"/>
          <w:highlight w:val="none"/>
          <w:lang w:val="en-US" w:eastAsia="zh-CN"/>
        </w:rPr>
        <w:t>3.3</w:t>
      </w:r>
      <w:r>
        <w:rPr>
          <w:rFonts w:hint="default" w:ascii="Times New Roman" w:hAnsi="Times New Roman" w:eastAsia="宋体" w:cs="Times New Roman"/>
          <w:color w:val="auto"/>
          <w:spacing w:val="0"/>
          <w:w w:val="100"/>
          <w:position w:val="0"/>
          <w:sz w:val="24"/>
          <w:highlight w:val="none"/>
        </w:rPr>
        <w:t>-</w:t>
      </w:r>
      <w:r>
        <w:rPr>
          <w:rFonts w:hint="default" w:ascii="Times New Roman" w:hAnsi="Times New Roman" w:eastAsia="宋体" w:cs="Times New Roman"/>
          <w:color w:val="auto"/>
          <w:spacing w:val="0"/>
          <w:w w:val="100"/>
          <w:position w:val="0"/>
          <w:sz w:val="24"/>
          <w:highlight w:val="none"/>
          <w:lang w:val="en-US" w:eastAsia="zh-CN"/>
        </w:rPr>
        <w:t>1</w:t>
      </w:r>
      <w:r>
        <w:rPr>
          <w:rFonts w:hint="default" w:ascii="Times New Roman" w:hAnsi="Times New Roman" w:eastAsia="宋体" w:cs="Times New Roman"/>
          <w:color w:val="auto"/>
          <w:spacing w:val="0"/>
          <w:w w:val="100"/>
          <w:position w:val="0"/>
          <w:sz w:val="24"/>
          <w:highlight w:val="none"/>
        </w:rPr>
        <w:t>，主要施工机械设备的噪声源强见表</w:t>
      </w:r>
      <w:r>
        <w:rPr>
          <w:rFonts w:hint="default" w:ascii="Times New Roman" w:hAnsi="Times New Roman" w:eastAsia="宋体" w:cs="Times New Roman"/>
          <w:color w:val="auto"/>
          <w:spacing w:val="0"/>
          <w:w w:val="100"/>
          <w:position w:val="0"/>
          <w:sz w:val="24"/>
          <w:highlight w:val="none"/>
          <w:lang w:eastAsia="zh-CN"/>
        </w:rPr>
        <w:t>3.</w:t>
      </w:r>
      <w:r>
        <w:rPr>
          <w:rFonts w:hint="eastAsia" w:ascii="Times New Roman" w:hAnsi="Times New Roman" w:eastAsia="宋体" w:cs="Times New Roman"/>
          <w:color w:val="auto"/>
          <w:spacing w:val="0"/>
          <w:w w:val="100"/>
          <w:position w:val="0"/>
          <w:sz w:val="24"/>
          <w:highlight w:val="none"/>
          <w:lang w:val="en-US" w:eastAsia="zh-CN"/>
        </w:rPr>
        <w:t>.3.3</w:t>
      </w:r>
      <w:r>
        <w:rPr>
          <w:rFonts w:hint="default" w:ascii="Times New Roman" w:hAnsi="Times New Roman" w:eastAsia="宋体" w:cs="Times New Roman"/>
          <w:color w:val="auto"/>
          <w:spacing w:val="0"/>
          <w:w w:val="100"/>
          <w:position w:val="0"/>
          <w:sz w:val="24"/>
          <w:highlight w:val="none"/>
        </w:rPr>
        <w:t>-</w:t>
      </w:r>
      <w:r>
        <w:rPr>
          <w:rFonts w:hint="default" w:ascii="Times New Roman" w:hAnsi="Times New Roman" w:eastAsia="宋体" w:cs="Times New Roman"/>
          <w:color w:val="auto"/>
          <w:spacing w:val="0"/>
          <w:w w:val="100"/>
          <w:position w:val="0"/>
          <w:sz w:val="24"/>
          <w:highlight w:val="none"/>
          <w:lang w:val="en-US" w:eastAsia="zh-CN"/>
        </w:rPr>
        <w:t>2</w:t>
      </w:r>
      <w:r>
        <w:rPr>
          <w:rFonts w:hint="default" w:ascii="Times New Roman" w:hAnsi="Times New Roman" w:eastAsia="宋体" w:cs="Times New Roman"/>
          <w:color w:val="auto"/>
          <w:spacing w:val="0"/>
          <w:w w:val="100"/>
          <w:position w:val="0"/>
          <w:sz w:val="24"/>
          <w:highlight w:val="none"/>
        </w:rPr>
        <w:t>，数值</w:t>
      </w:r>
      <w:r>
        <w:rPr>
          <w:rFonts w:hint="default" w:ascii="Times New Roman" w:hAnsi="Times New Roman" w:eastAsia="宋体" w:cs="Times New Roman"/>
          <w:color w:val="auto"/>
          <w:spacing w:val="0"/>
          <w:w w:val="100"/>
          <w:position w:val="0"/>
          <w:sz w:val="24"/>
          <w:highlight w:val="none"/>
          <w:lang w:val="en-US" w:eastAsia="zh-CN"/>
        </w:rPr>
        <w:t>参考</w:t>
      </w:r>
      <w:r>
        <w:rPr>
          <w:rFonts w:hint="default" w:ascii="Times New Roman" w:hAnsi="Times New Roman" w:eastAsia="宋体" w:cs="Times New Roman"/>
          <w:color w:val="auto"/>
          <w:spacing w:val="0"/>
          <w:w w:val="100"/>
          <w:position w:val="0"/>
          <w:sz w:val="24"/>
          <w:highlight w:val="none"/>
        </w:rPr>
        <w:t>《环境噪声与振动控制工程技术导则》（HJ2034-2013）</w:t>
      </w:r>
      <w:r>
        <w:rPr>
          <w:rFonts w:hint="default" w:ascii="Times New Roman" w:hAnsi="Times New Roman" w:eastAsia="宋体" w:cs="Times New Roman"/>
          <w:color w:val="auto"/>
          <w:spacing w:val="0"/>
          <w:w w:val="100"/>
          <w:position w:val="0"/>
          <w:sz w:val="24"/>
          <w:highlight w:val="none"/>
          <w:lang w:val="en-US" w:eastAsia="zh-CN"/>
        </w:rPr>
        <w:t>取值</w:t>
      </w:r>
      <w:r>
        <w:rPr>
          <w:rFonts w:hint="default" w:ascii="Times New Roman" w:hAnsi="Times New Roman" w:eastAsia="宋体" w:cs="Times New Roman"/>
          <w:color w:val="auto"/>
          <w:spacing w:val="0"/>
          <w:w w:val="100"/>
          <w:position w:val="0"/>
          <w:sz w:val="24"/>
          <w:highlight w:val="none"/>
        </w:rPr>
        <w:t>。</w:t>
      </w:r>
    </w:p>
    <w:p w14:paraId="7D2A740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pacing w:val="0"/>
          <w:w w:val="100"/>
          <w:kern w:val="24"/>
          <w:position w:val="0"/>
          <w:sz w:val="21"/>
          <w:szCs w:val="21"/>
          <w:highlight w:val="none"/>
        </w:rPr>
      </w:pPr>
      <w:r>
        <w:rPr>
          <w:rFonts w:hint="default" w:ascii="Times New Roman" w:hAnsi="Times New Roman" w:eastAsia="宋体" w:cs="Times New Roman"/>
          <w:b/>
          <w:bCs/>
          <w:color w:val="auto"/>
          <w:spacing w:val="0"/>
          <w:w w:val="100"/>
          <w:kern w:val="24"/>
          <w:position w:val="0"/>
          <w:sz w:val="21"/>
          <w:szCs w:val="21"/>
          <w:highlight w:val="none"/>
        </w:rPr>
        <w:t>表</w:t>
      </w:r>
      <w:r>
        <w:rPr>
          <w:rFonts w:hint="default" w:ascii="Times New Roman" w:hAnsi="Times New Roman" w:eastAsia="宋体" w:cs="Times New Roman"/>
          <w:b/>
          <w:bCs/>
          <w:color w:val="auto"/>
          <w:spacing w:val="0"/>
          <w:w w:val="100"/>
          <w:kern w:val="24"/>
          <w:position w:val="0"/>
          <w:sz w:val="21"/>
          <w:szCs w:val="21"/>
          <w:highlight w:val="none"/>
          <w:lang w:eastAsia="zh-CN"/>
        </w:rPr>
        <w:t>3.</w:t>
      </w:r>
      <w:r>
        <w:rPr>
          <w:rFonts w:hint="eastAsia" w:ascii="Times New Roman" w:hAnsi="Times New Roman" w:eastAsia="宋体" w:cs="Times New Roman"/>
          <w:b/>
          <w:bCs/>
          <w:color w:val="auto"/>
          <w:spacing w:val="0"/>
          <w:w w:val="100"/>
          <w:kern w:val="24"/>
          <w:position w:val="0"/>
          <w:sz w:val="21"/>
          <w:szCs w:val="21"/>
          <w:highlight w:val="none"/>
          <w:lang w:val="en-US" w:eastAsia="zh-CN"/>
        </w:rPr>
        <w:t>3.3</w:t>
      </w:r>
      <w:r>
        <w:rPr>
          <w:rFonts w:hint="default" w:ascii="Times New Roman" w:hAnsi="Times New Roman" w:eastAsia="宋体" w:cs="Times New Roman"/>
          <w:b/>
          <w:bCs/>
          <w:color w:val="auto"/>
          <w:spacing w:val="0"/>
          <w:w w:val="100"/>
          <w:kern w:val="24"/>
          <w:position w:val="0"/>
          <w:sz w:val="21"/>
          <w:szCs w:val="21"/>
          <w:highlight w:val="none"/>
        </w:rPr>
        <w:t>-</w:t>
      </w:r>
      <w:r>
        <w:rPr>
          <w:rFonts w:hint="default" w:ascii="Times New Roman" w:hAnsi="Times New Roman" w:eastAsia="宋体" w:cs="Times New Roman"/>
          <w:b/>
          <w:bCs/>
          <w:color w:val="auto"/>
          <w:spacing w:val="0"/>
          <w:w w:val="100"/>
          <w:kern w:val="24"/>
          <w:position w:val="0"/>
          <w:sz w:val="21"/>
          <w:szCs w:val="21"/>
          <w:highlight w:val="none"/>
          <w:lang w:val="en-US" w:eastAsia="zh-CN"/>
        </w:rPr>
        <w:t>1</w:t>
      </w:r>
      <w:r>
        <w:rPr>
          <w:rFonts w:hint="default" w:ascii="Times New Roman" w:hAnsi="Times New Roman" w:eastAsia="宋体" w:cs="Times New Roman"/>
          <w:b/>
          <w:bCs/>
          <w:color w:val="auto"/>
          <w:spacing w:val="0"/>
          <w:w w:val="100"/>
          <w:kern w:val="24"/>
          <w:position w:val="0"/>
          <w:sz w:val="21"/>
          <w:szCs w:val="21"/>
          <w:highlight w:val="none"/>
        </w:rPr>
        <w:t xml:space="preserve">  交通运输车辆噪声</w:t>
      </w:r>
    </w:p>
    <w:tbl>
      <w:tblPr>
        <w:tblStyle w:val="25"/>
        <w:tblW w:w="852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57" w:type="dxa"/>
          <w:left w:w="57" w:type="dxa"/>
          <w:bottom w:w="57" w:type="dxa"/>
          <w:right w:w="57" w:type="dxa"/>
        </w:tblCellMar>
      </w:tblPr>
      <w:tblGrid>
        <w:gridCol w:w="1785"/>
        <w:gridCol w:w="2674"/>
        <w:gridCol w:w="2229"/>
        <w:gridCol w:w="1834"/>
      </w:tblGrid>
      <w:tr w14:paraId="4F3B55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340" w:hRule="atLeast"/>
          <w:jc w:val="center"/>
        </w:trPr>
        <w:tc>
          <w:tcPr>
            <w:tcW w:w="1785" w:type="dxa"/>
            <w:tcBorders>
              <w:tl2br w:val="nil"/>
              <w:tr2bl w:val="nil"/>
            </w:tcBorders>
            <w:vAlign w:val="center"/>
          </w:tcPr>
          <w:p w14:paraId="7FA441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w w:val="100"/>
                <w:position w:val="0"/>
                <w:sz w:val="21"/>
                <w:szCs w:val="21"/>
                <w:highlight w:val="none"/>
              </w:rPr>
            </w:pPr>
            <w:r>
              <w:rPr>
                <w:rFonts w:hint="default" w:ascii="Times New Roman" w:hAnsi="Times New Roman" w:eastAsia="宋体" w:cs="Times New Roman"/>
                <w:b/>
                <w:bCs/>
                <w:color w:val="auto"/>
                <w:spacing w:val="0"/>
                <w:w w:val="100"/>
                <w:position w:val="0"/>
                <w:sz w:val="21"/>
                <w:szCs w:val="21"/>
                <w:highlight w:val="none"/>
              </w:rPr>
              <w:t>施工阶段</w:t>
            </w:r>
          </w:p>
        </w:tc>
        <w:tc>
          <w:tcPr>
            <w:tcW w:w="2674" w:type="dxa"/>
            <w:tcBorders>
              <w:tl2br w:val="nil"/>
              <w:tr2bl w:val="nil"/>
            </w:tcBorders>
            <w:vAlign w:val="center"/>
          </w:tcPr>
          <w:p w14:paraId="250B09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w w:val="100"/>
                <w:position w:val="0"/>
                <w:sz w:val="21"/>
                <w:szCs w:val="21"/>
                <w:highlight w:val="none"/>
              </w:rPr>
            </w:pPr>
            <w:r>
              <w:rPr>
                <w:rFonts w:hint="default" w:ascii="Times New Roman" w:hAnsi="Times New Roman" w:eastAsia="宋体" w:cs="Times New Roman"/>
                <w:b/>
                <w:bCs/>
                <w:color w:val="auto"/>
                <w:spacing w:val="0"/>
                <w:w w:val="100"/>
                <w:position w:val="0"/>
                <w:sz w:val="21"/>
                <w:szCs w:val="21"/>
                <w:highlight w:val="none"/>
              </w:rPr>
              <w:t>运输内容</w:t>
            </w:r>
          </w:p>
        </w:tc>
        <w:tc>
          <w:tcPr>
            <w:tcW w:w="2229" w:type="dxa"/>
            <w:tcBorders>
              <w:tl2br w:val="nil"/>
              <w:tr2bl w:val="nil"/>
            </w:tcBorders>
            <w:vAlign w:val="center"/>
          </w:tcPr>
          <w:p w14:paraId="3524EB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w w:val="100"/>
                <w:position w:val="0"/>
                <w:sz w:val="21"/>
                <w:szCs w:val="21"/>
                <w:highlight w:val="none"/>
              </w:rPr>
            </w:pPr>
            <w:r>
              <w:rPr>
                <w:rFonts w:hint="default" w:ascii="Times New Roman" w:hAnsi="Times New Roman" w:eastAsia="宋体" w:cs="Times New Roman"/>
                <w:b/>
                <w:bCs/>
                <w:color w:val="auto"/>
                <w:spacing w:val="0"/>
                <w:w w:val="100"/>
                <w:position w:val="0"/>
                <w:sz w:val="21"/>
                <w:szCs w:val="21"/>
                <w:highlight w:val="none"/>
              </w:rPr>
              <w:t>车辆类型</w:t>
            </w:r>
          </w:p>
        </w:tc>
        <w:tc>
          <w:tcPr>
            <w:tcW w:w="1834" w:type="dxa"/>
            <w:tcBorders>
              <w:tl2br w:val="nil"/>
              <w:tr2bl w:val="nil"/>
            </w:tcBorders>
            <w:vAlign w:val="center"/>
          </w:tcPr>
          <w:p w14:paraId="31A526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w w:val="100"/>
                <w:position w:val="0"/>
                <w:sz w:val="21"/>
                <w:szCs w:val="21"/>
                <w:highlight w:val="none"/>
              </w:rPr>
            </w:pPr>
            <w:r>
              <w:rPr>
                <w:rFonts w:hint="default" w:ascii="Times New Roman" w:hAnsi="Times New Roman" w:eastAsia="宋体" w:cs="Times New Roman"/>
                <w:b/>
                <w:bCs/>
                <w:color w:val="auto"/>
                <w:spacing w:val="0"/>
                <w:w w:val="100"/>
                <w:position w:val="0"/>
                <w:sz w:val="21"/>
                <w:szCs w:val="21"/>
                <w:highlight w:val="none"/>
              </w:rPr>
              <w:t>声源强度[dB（A）]</w:t>
            </w:r>
          </w:p>
        </w:tc>
      </w:tr>
      <w:tr w14:paraId="1F8623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340" w:hRule="atLeast"/>
          <w:jc w:val="center"/>
        </w:trPr>
        <w:tc>
          <w:tcPr>
            <w:tcW w:w="1785" w:type="dxa"/>
            <w:tcBorders>
              <w:tl2br w:val="nil"/>
              <w:tr2bl w:val="nil"/>
            </w:tcBorders>
            <w:vAlign w:val="center"/>
          </w:tcPr>
          <w:p w14:paraId="26C5D8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w w:val="100"/>
                <w:position w:val="0"/>
                <w:sz w:val="21"/>
                <w:szCs w:val="21"/>
                <w:highlight w:val="none"/>
                <w:lang w:val="en-US" w:eastAsia="zh-CN"/>
              </w:rPr>
            </w:pPr>
            <w:r>
              <w:rPr>
                <w:rFonts w:hint="default" w:ascii="Times New Roman" w:hAnsi="Times New Roman" w:eastAsia="宋体" w:cs="Times New Roman"/>
                <w:color w:val="auto"/>
                <w:spacing w:val="0"/>
                <w:w w:val="100"/>
                <w:position w:val="0"/>
                <w:sz w:val="21"/>
                <w:szCs w:val="21"/>
                <w:highlight w:val="none"/>
                <w:lang w:val="en-US" w:eastAsia="zh-CN"/>
              </w:rPr>
              <w:t>设备安装</w:t>
            </w:r>
          </w:p>
        </w:tc>
        <w:tc>
          <w:tcPr>
            <w:tcW w:w="2674" w:type="dxa"/>
            <w:tcBorders>
              <w:tl2br w:val="nil"/>
              <w:tr2bl w:val="nil"/>
            </w:tcBorders>
            <w:vAlign w:val="center"/>
          </w:tcPr>
          <w:p w14:paraId="11C79C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w w:val="100"/>
                <w:position w:val="0"/>
                <w:sz w:val="21"/>
                <w:szCs w:val="21"/>
                <w:highlight w:val="none"/>
                <w:lang w:val="en-US" w:eastAsia="zh-CN"/>
              </w:rPr>
            </w:pPr>
            <w:r>
              <w:rPr>
                <w:rFonts w:hint="eastAsia" w:ascii="Times New Roman" w:hAnsi="Times New Roman" w:eastAsia="宋体" w:cs="Times New Roman"/>
                <w:color w:val="auto"/>
                <w:spacing w:val="0"/>
                <w:w w:val="100"/>
                <w:position w:val="0"/>
                <w:sz w:val="21"/>
                <w:szCs w:val="21"/>
                <w:highlight w:val="none"/>
                <w:lang w:val="en-US" w:eastAsia="zh-CN"/>
              </w:rPr>
              <w:t>生产</w:t>
            </w:r>
            <w:r>
              <w:rPr>
                <w:rFonts w:hint="default" w:ascii="Times New Roman" w:hAnsi="Times New Roman" w:eastAsia="宋体" w:cs="Times New Roman"/>
                <w:color w:val="auto"/>
                <w:spacing w:val="0"/>
                <w:w w:val="100"/>
                <w:position w:val="0"/>
                <w:sz w:val="21"/>
                <w:szCs w:val="21"/>
                <w:highlight w:val="none"/>
                <w:lang w:val="en-US" w:eastAsia="zh-CN"/>
              </w:rPr>
              <w:t>设备</w:t>
            </w:r>
          </w:p>
        </w:tc>
        <w:tc>
          <w:tcPr>
            <w:tcW w:w="2229" w:type="dxa"/>
            <w:tcBorders>
              <w:tl2br w:val="nil"/>
              <w:tr2bl w:val="nil"/>
            </w:tcBorders>
            <w:shd w:val="clear" w:color="auto" w:fill="auto"/>
            <w:vAlign w:val="center"/>
          </w:tcPr>
          <w:p w14:paraId="60B63B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w w:val="100"/>
                <w:kern w:val="2"/>
                <w:position w:val="0"/>
                <w:sz w:val="21"/>
                <w:szCs w:val="21"/>
                <w:highlight w:val="none"/>
                <w:lang w:val="en-US" w:eastAsia="zh-CN" w:bidi="ar-SA"/>
              </w:rPr>
            </w:pPr>
            <w:r>
              <w:rPr>
                <w:rFonts w:hint="default" w:ascii="Times New Roman" w:hAnsi="Times New Roman" w:eastAsia="宋体" w:cs="Times New Roman"/>
                <w:color w:val="auto"/>
                <w:spacing w:val="0"/>
                <w:w w:val="100"/>
                <w:position w:val="0"/>
                <w:sz w:val="21"/>
                <w:szCs w:val="21"/>
                <w:highlight w:val="none"/>
              </w:rPr>
              <w:t>轻型载重卡车</w:t>
            </w:r>
          </w:p>
        </w:tc>
        <w:tc>
          <w:tcPr>
            <w:tcW w:w="1834" w:type="dxa"/>
            <w:tcBorders>
              <w:tl2br w:val="nil"/>
              <w:tr2bl w:val="nil"/>
            </w:tcBorders>
            <w:shd w:val="clear" w:color="auto" w:fill="auto"/>
            <w:vAlign w:val="center"/>
          </w:tcPr>
          <w:p w14:paraId="1A8F34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w w:val="100"/>
                <w:kern w:val="2"/>
                <w:position w:val="0"/>
                <w:sz w:val="21"/>
                <w:szCs w:val="21"/>
                <w:highlight w:val="none"/>
                <w:lang w:val="en-US" w:eastAsia="zh-CN" w:bidi="ar-SA"/>
              </w:rPr>
            </w:pPr>
            <w:r>
              <w:rPr>
                <w:rFonts w:hint="default" w:ascii="Times New Roman" w:hAnsi="Times New Roman" w:eastAsia="宋体" w:cs="Times New Roman"/>
                <w:color w:val="auto"/>
                <w:spacing w:val="0"/>
                <w:w w:val="100"/>
                <w:position w:val="0"/>
                <w:sz w:val="21"/>
                <w:szCs w:val="21"/>
                <w:highlight w:val="none"/>
              </w:rPr>
              <w:t>75</w:t>
            </w:r>
            <w:r>
              <w:rPr>
                <w:rFonts w:hint="default" w:ascii="Times New Roman" w:hAnsi="Times New Roman" w:eastAsia="宋体" w:cs="Times New Roman"/>
                <w:bCs/>
                <w:color w:val="auto"/>
                <w:spacing w:val="0"/>
                <w:w w:val="100"/>
                <w:position w:val="0"/>
                <w:sz w:val="21"/>
                <w:szCs w:val="21"/>
                <w:highlight w:val="none"/>
              </w:rPr>
              <w:t>~</w:t>
            </w:r>
            <w:r>
              <w:rPr>
                <w:rFonts w:hint="default" w:ascii="Times New Roman" w:hAnsi="Times New Roman" w:eastAsia="宋体" w:cs="Times New Roman"/>
                <w:color w:val="auto"/>
                <w:spacing w:val="0"/>
                <w:w w:val="100"/>
                <w:position w:val="0"/>
                <w:sz w:val="21"/>
                <w:szCs w:val="21"/>
                <w:highlight w:val="none"/>
              </w:rPr>
              <w:t>80</w:t>
            </w:r>
          </w:p>
        </w:tc>
      </w:tr>
    </w:tbl>
    <w:p w14:paraId="6A2DA7FF">
      <w:pPr>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default" w:ascii="Times New Roman" w:hAnsi="Times New Roman" w:eastAsia="宋体" w:cs="Times New Roman"/>
          <w:b/>
          <w:bCs/>
          <w:color w:val="auto"/>
          <w:spacing w:val="0"/>
          <w:w w:val="100"/>
          <w:kern w:val="24"/>
          <w:position w:val="0"/>
          <w:sz w:val="21"/>
          <w:szCs w:val="21"/>
          <w:highlight w:val="none"/>
        </w:rPr>
      </w:pPr>
      <w:r>
        <w:rPr>
          <w:rFonts w:hint="default" w:ascii="Times New Roman" w:hAnsi="Times New Roman" w:eastAsia="宋体" w:cs="Times New Roman"/>
          <w:b/>
          <w:bCs/>
          <w:color w:val="auto"/>
          <w:spacing w:val="0"/>
          <w:w w:val="100"/>
          <w:kern w:val="24"/>
          <w:position w:val="0"/>
          <w:sz w:val="21"/>
          <w:szCs w:val="21"/>
          <w:highlight w:val="none"/>
        </w:rPr>
        <w:t>表</w:t>
      </w:r>
      <w:r>
        <w:rPr>
          <w:rFonts w:hint="default" w:ascii="Times New Roman" w:hAnsi="Times New Roman" w:eastAsia="宋体" w:cs="Times New Roman"/>
          <w:b/>
          <w:bCs/>
          <w:color w:val="auto"/>
          <w:spacing w:val="0"/>
          <w:w w:val="100"/>
          <w:kern w:val="24"/>
          <w:position w:val="0"/>
          <w:sz w:val="21"/>
          <w:szCs w:val="21"/>
          <w:highlight w:val="none"/>
          <w:lang w:eastAsia="zh-CN"/>
        </w:rPr>
        <w:t>3.</w:t>
      </w:r>
      <w:r>
        <w:rPr>
          <w:rFonts w:hint="eastAsia" w:ascii="Times New Roman" w:hAnsi="Times New Roman" w:eastAsia="宋体" w:cs="Times New Roman"/>
          <w:b/>
          <w:bCs/>
          <w:color w:val="auto"/>
          <w:spacing w:val="0"/>
          <w:w w:val="100"/>
          <w:kern w:val="24"/>
          <w:position w:val="0"/>
          <w:sz w:val="21"/>
          <w:szCs w:val="21"/>
          <w:highlight w:val="none"/>
          <w:lang w:val="en-US" w:eastAsia="zh-CN"/>
        </w:rPr>
        <w:t>3.3</w:t>
      </w:r>
      <w:r>
        <w:rPr>
          <w:rFonts w:hint="default" w:ascii="Times New Roman" w:hAnsi="Times New Roman" w:eastAsia="宋体" w:cs="Times New Roman"/>
          <w:b/>
          <w:bCs/>
          <w:color w:val="auto"/>
          <w:spacing w:val="0"/>
          <w:w w:val="100"/>
          <w:kern w:val="24"/>
          <w:position w:val="0"/>
          <w:sz w:val="21"/>
          <w:szCs w:val="21"/>
          <w:highlight w:val="none"/>
        </w:rPr>
        <w:t>-</w:t>
      </w:r>
      <w:r>
        <w:rPr>
          <w:rFonts w:hint="default" w:ascii="Times New Roman" w:hAnsi="Times New Roman" w:eastAsia="宋体" w:cs="Times New Roman"/>
          <w:b/>
          <w:bCs/>
          <w:color w:val="auto"/>
          <w:spacing w:val="0"/>
          <w:w w:val="100"/>
          <w:kern w:val="24"/>
          <w:position w:val="0"/>
          <w:sz w:val="21"/>
          <w:szCs w:val="21"/>
          <w:highlight w:val="none"/>
          <w:lang w:val="en-US" w:eastAsia="zh-CN"/>
        </w:rPr>
        <w:t>2</w:t>
      </w:r>
      <w:r>
        <w:rPr>
          <w:rFonts w:hint="default" w:ascii="Times New Roman" w:hAnsi="Times New Roman" w:eastAsia="宋体" w:cs="Times New Roman"/>
          <w:b/>
          <w:bCs/>
          <w:color w:val="auto"/>
          <w:spacing w:val="0"/>
          <w:w w:val="100"/>
          <w:kern w:val="24"/>
          <w:position w:val="0"/>
          <w:sz w:val="21"/>
          <w:szCs w:val="21"/>
          <w:highlight w:val="none"/>
        </w:rPr>
        <w:t xml:space="preserve">  施工期噪声源强一览表    单位：dB（A）</w:t>
      </w:r>
    </w:p>
    <w:tbl>
      <w:tblPr>
        <w:tblStyle w:val="25"/>
        <w:tblW w:w="850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57" w:type="dxa"/>
          <w:left w:w="57" w:type="dxa"/>
          <w:bottom w:w="57" w:type="dxa"/>
          <w:right w:w="57" w:type="dxa"/>
        </w:tblCellMar>
      </w:tblPr>
      <w:tblGrid>
        <w:gridCol w:w="1964"/>
        <w:gridCol w:w="2006"/>
        <w:gridCol w:w="2514"/>
        <w:gridCol w:w="2016"/>
      </w:tblGrid>
      <w:tr w14:paraId="72B8E1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340" w:hRule="atLeast"/>
          <w:jc w:val="center"/>
        </w:trPr>
        <w:tc>
          <w:tcPr>
            <w:tcW w:w="1964" w:type="dxa"/>
            <w:tcBorders>
              <w:tl2br w:val="nil"/>
              <w:tr2bl w:val="nil"/>
            </w:tcBorders>
            <w:vAlign w:val="center"/>
          </w:tcPr>
          <w:p w14:paraId="38CFEB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w w:val="100"/>
                <w:position w:val="0"/>
                <w:sz w:val="21"/>
                <w:szCs w:val="21"/>
                <w:highlight w:val="none"/>
              </w:rPr>
            </w:pPr>
            <w:r>
              <w:rPr>
                <w:rFonts w:hint="default" w:ascii="Times New Roman" w:hAnsi="Times New Roman" w:eastAsia="宋体" w:cs="Times New Roman"/>
                <w:b/>
                <w:bCs/>
                <w:color w:val="auto"/>
                <w:spacing w:val="0"/>
                <w:w w:val="100"/>
                <w:position w:val="0"/>
                <w:sz w:val="21"/>
                <w:szCs w:val="21"/>
                <w:highlight w:val="none"/>
              </w:rPr>
              <w:t>施工设备名称</w:t>
            </w:r>
          </w:p>
        </w:tc>
        <w:tc>
          <w:tcPr>
            <w:tcW w:w="2006" w:type="dxa"/>
            <w:tcBorders>
              <w:tl2br w:val="nil"/>
              <w:tr2bl w:val="nil"/>
            </w:tcBorders>
            <w:vAlign w:val="center"/>
          </w:tcPr>
          <w:p w14:paraId="5D7423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w w:val="100"/>
                <w:position w:val="0"/>
                <w:sz w:val="21"/>
                <w:szCs w:val="21"/>
                <w:highlight w:val="none"/>
              </w:rPr>
            </w:pPr>
            <w:r>
              <w:rPr>
                <w:rFonts w:hint="default" w:ascii="Times New Roman" w:hAnsi="Times New Roman" w:eastAsia="宋体" w:cs="Times New Roman"/>
                <w:b/>
                <w:bCs/>
                <w:color w:val="auto"/>
                <w:spacing w:val="0"/>
                <w:w w:val="100"/>
                <w:position w:val="0"/>
                <w:sz w:val="21"/>
                <w:szCs w:val="21"/>
                <w:highlight w:val="none"/>
              </w:rPr>
              <w:t>距声源10m</w:t>
            </w:r>
          </w:p>
        </w:tc>
        <w:tc>
          <w:tcPr>
            <w:tcW w:w="2514" w:type="dxa"/>
            <w:tcBorders>
              <w:tl2br w:val="nil"/>
              <w:tr2bl w:val="nil"/>
            </w:tcBorders>
            <w:vAlign w:val="center"/>
          </w:tcPr>
          <w:p w14:paraId="16A1E9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w w:val="100"/>
                <w:position w:val="0"/>
                <w:sz w:val="21"/>
                <w:szCs w:val="21"/>
                <w:highlight w:val="none"/>
              </w:rPr>
            </w:pPr>
            <w:r>
              <w:rPr>
                <w:rFonts w:hint="default" w:ascii="Times New Roman" w:hAnsi="Times New Roman" w:eastAsia="宋体" w:cs="Times New Roman"/>
                <w:b/>
                <w:bCs/>
                <w:color w:val="auto"/>
                <w:spacing w:val="0"/>
                <w:w w:val="100"/>
                <w:position w:val="0"/>
                <w:sz w:val="21"/>
                <w:szCs w:val="21"/>
                <w:highlight w:val="none"/>
              </w:rPr>
              <w:t>施工设备名称</w:t>
            </w:r>
          </w:p>
        </w:tc>
        <w:tc>
          <w:tcPr>
            <w:tcW w:w="2016" w:type="dxa"/>
            <w:tcBorders>
              <w:tl2br w:val="nil"/>
              <w:tr2bl w:val="nil"/>
            </w:tcBorders>
            <w:vAlign w:val="center"/>
          </w:tcPr>
          <w:p w14:paraId="549794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w w:val="100"/>
                <w:position w:val="0"/>
                <w:sz w:val="21"/>
                <w:szCs w:val="21"/>
                <w:highlight w:val="none"/>
              </w:rPr>
            </w:pPr>
            <w:r>
              <w:rPr>
                <w:rFonts w:hint="default" w:ascii="Times New Roman" w:hAnsi="Times New Roman" w:eastAsia="宋体" w:cs="Times New Roman"/>
                <w:b/>
                <w:bCs/>
                <w:color w:val="auto"/>
                <w:spacing w:val="0"/>
                <w:w w:val="100"/>
                <w:position w:val="0"/>
                <w:sz w:val="21"/>
                <w:szCs w:val="21"/>
                <w:highlight w:val="none"/>
              </w:rPr>
              <w:t>距声源10m</w:t>
            </w:r>
          </w:p>
        </w:tc>
      </w:tr>
      <w:tr w14:paraId="023134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340" w:hRule="atLeast"/>
          <w:jc w:val="center"/>
        </w:trPr>
        <w:tc>
          <w:tcPr>
            <w:tcW w:w="1964" w:type="dxa"/>
            <w:tcBorders>
              <w:tl2br w:val="nil"/>
              <w:tr2bl w:val="nil"/>
            </w:tcBorders>
            <w:vAlign w:val="center"/>
          </w:tcPr>
          <w:p w14:paraId="0F9064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lang w:val="en-US" w:eastAsia="zh-CN"/>
              </w:rPr>
              <w:t>起重机</w:t>
            </w:r>
          </w:p>
        </w:tc>
        <w:tc>
          <w:tcPr>
            <w:tcW w:w="2006" w:type="dxa"/>
            <w:tcBorders>
              <w:tl2br w:val="nil"/>
              <w:tr2bl w:val="nil"/>
            </w:tcBorders>
            <w:vAlign w:val="center"/>
          </w:tcPr>
          <w:p w14:paraId="20B08F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w w:val="100"/>
                <w:position w:val="0"/>
                <w:sz w:val="21"/>
                <w:szCs w:val="21"/>
                <w:highlight w:val="none"/>
                <w:lang w:val="en-US" w:eastAsia="zh-CN"/>
              </w:rPr>
            </w:pPr>
            <w:r>
              <w:rPr>
                <w:rFonts w:hint="default" w:ascii="Times New Roman" w:hAnsi="Times New Roman" w:eastAsia="宋体" w:cs="Times New Roman"/>
                <w:color w:val="auto"/>
                <w:spacing w:val="0"/>
                <w:w w:val="100"/>
                <w:position w:val="0"/>
                <w:sz w:val="21"/>
                <w:szCs w:val="21"/>
                <w:highlight w:val="none"/>
                <w:lang w:val="en-US" w:eastAsia="zh-CN"/>
              </w:rPr>
              <w:t>80~85</w:t>
            </w:r>
          </w:p>
        </w:tc>
        <w:tc>
          <w:tcPr>
            <w:tcW w:w="2514" w:type="dxa"/>
            <w:tcBorders>
              <w:tl2br w:val="nil"/>
              <w:tr2bl w:val="nil"/>
            </w:tcBorders>
            <w:shd w:val="clear" w:color="auto" w:fill="auto"/>
            <w:vAlign w:val="center"/>
          </w:tcPr>
          <w:p w14:paraId="2A1058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w w:val="100"/>
                <w:kern w:val="2"/>
                <w:position w:val="0"/>
                <w:sz w:val="21"/>
                <w:szCs w:val="21"/>
                <w:highlight w:val="none"/>
                <w:lang w:val="en-US" w:eastAsia="zh-CN" w:bidi="ar-SA"/>
              </w:rPr>
            </w:pPr>
            <w:r>
              <w:rPr>
                <w:rFonts w:hint="default" w:ascii="Times New Roman" w:hAnsi="Times New Roman" w:eastAsia="宋体" w:cs="Times New Roman"/>
                <w:color w:val="auto"/>
                <w:spacing w:val="0"/>
                <w:w w:val="100"/>
                <w:position w:val="0"/>
                <w:sz w:val="21"/>
                <w:szCs w:val="21"/>
                <w:highlight w:val="none"/>
                <w:lang w:val="en-US" w:eastAsia="zh-CN"/>
              </w:rPr>
              <w:t>吊车</w:t>
            </w:r>
          </w:p>
        </w:tc>
        <w:tc>
          <w:tcPr>
            <w:tcW w:w="2016" w:type="dxa"/>
            <w:tcBorders>
              <w:tl2br w:val="nil"/>
              <w:tr2bl w:val="nil"/>
            </w:tcBorders>
            <w:shd w:val="clear" w:color="auto" w:fill="auto"/>
            <w:vAlign w:val="center"/>
          </w:tcPr>
          <w:p w14:paraId="5F1EA3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w w:val="100"/>
                <w:kern w:val="2"/>
                <w:position w:val="0"/>
                <w:sz w:val="21"/>
                <w:szCs w:val="21"/>
                <w:highlight w:val="none"/>
                <w:lang w:val="en-US" w:eastAsia="zh-CN" w:bidi="ar-SA"/>
              </w:rPr>
            </w:pPr>
            <w:r>
              <w:rPr>
                <w:rFonts w:hint="default" w:ascii="Times New Roman" w:hAnsi="Times New Roman" w:eastAsia="宋体" w:cs="Times New Roman"/>
                <w:color w:val="auto"/>
                <w:spacing w:val="0"/>
                <w:w w:val="100"/>
                <w:position w:val="0"/>
                <w:sz w:val="21"/>
                <w:szCs w:val="21"/>
                <w:highlight w:val="none"/>
                <w:lang w:val="en-US" w:eastAsia="zh-CN"/>
              </w:rPr>
              <w:t>80~85</w:t>
            </w:r>
          </w:p>
        </w:tc>
      </w:tr>
    </w:tbl>
    <w:p w14:paraId="3FB31358">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jc w:val="left"/>
        <w:outlineLvl w:val="9"/>
        <w:rPr>
          <w:rFonts w:hint="default" w:ascii="Times New Roman" w:hAnsi="Times New Roman" w:eastAsia="宋体" w:cs="Times New Roman"/>
          <w:caps w:val="0"/>
          <w:snapToGrid/>
          <w:color w:val="auto"/>
          <w:spacing w:val="0"/>
          <w:w w:val="100"/>
          <w:kern w:val="21"/>
          <w:position w:val="0"/>
          <w:szCs w:val="24"/>
          <w:highlight w:val="none"/>
          <w:lang w:eastAsia="zh-CN"/>
        </w:rPr>
      </w:pPr>
      <w:r>
        <w:rPr>
          <w:rFonts w:hint="default" w:ascii="Times New Roman" w:hAnsi="Times New Roman" w:eastAsia="宋体" w:cs="Times New Roman"/>
          <w:caps w:val="0"/>
          <w:snapToGrid/>
          <w:color w:val="auto"/>
          <w:spacing w:val="0"/>
          <w:w w:val="100"/>
          <w:kern w:val="21"/>
          <w:position w:val="0"/>
          <w:szCs w:val="24"/>
          <w:highlight w:val="none"/>
        </w:rPr>
        <w:t>根据现场调查，项目区</w:t>
      </w:r>
      <w:r>
        <w:rPr>
          <w:rFonts w:hint="default" w:ascii="Times New Roman" w:hAnsi="Times New Roman" w:eastAsia="宋体" w:cs="Times New Roman"/>
          <w:caps w:val="0"/>
          <w:snapToGrid/>
          <w:color w:val="auto"/>
          <w:spacing w:val="0"/>
          <w:w w:val="100"/>
          <w:kern w:val="21"/>
          <w:position w:val="0"/>
          <w:szCs w:val="24"/>
          <w:highlight w:val="none"/>
          <w:lang w:val="en-US" w:eastAsia="zh-CN"/>
        </w:rPr>
        <w:t>200m范围内</w:t>
      </w:r>
      <w:r>
        <w:rPr>
          <w:rFonts w:hint="default" w:ascii="Times New Roman" w:hAnsi="Times New Roman" w:eastAsia="宋体" w:cs="Times New Roman"/>
          <w:caps w:val="0"/>
          <w:snapToGrid/>
          <w:color w:val="auto"/>
          <w:spacing w:val="0"/>
          <w:w w:val="100"/>
          <w:kern w:val="21"/>
          <w:position w:val="0"/>
          <w:szCs w:val="24"/>
          <w:highlight w:val="none"/>
        </w:rPr>
        <w:t>无居民区，在建设过程中只有施工人员。施工阶段使用中高噪声机械设备，只要严格遵守当地生态环境管理部门制定的施工工地噪声作业规定及要求，并在午休时间和夜间休息时间停止施工，积极采取相应措施降低施工噪声，不会对自身人员造成噪声危害</w:t>
      </w:r>
      <w:r>
        <w:rPr>
          <w:rFonts w:hint="default" w:ascii="Times New Roman" w:hAnsi="Times New Roman" w:eastAsia="宋体" w:cs="Times New Roman"/>
          <w:caps w:val="0"/>
          <w:snapToGrid/>
          <w:color w:val="auto"/>
          <w:spacing w:val="0"/>
          <w:w w:val="100"/>
          <w:kern w:val="21"/>
          <w:position w:val="0"/>
          <w:szCs w:val="24"/>
          <w:highlight w:val="none"/>
          <w:lang w:eastAsia="zh-CN"/>
        </w:rPr>
        <w:t>。</w:t>
      </w:r>
    </w:p>
    <w:p w14:paraId="575ADC86">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231" w:name="_Toc21251"/>
      <w:bookmarkStart w:id="232" w:name="_Toc29884"/>
      <w:bookmarkStart w:id="233" w:name="_Toc27485"/>
      <w:r>
        <w:rPr>
          <w:rFonts w:hint="default"/>
          <w:color w:val="auto"/>
          <w:spacing w:val="0"/>
          <w:w w:val="100"/>
          <w:position w:val="0"/>
          <w:highlight w:val="none"/>
          <w:lang w:val="en-US" w:eastAsia="zh-CN"/>
        </w:rPr>
        <w:t>3.</w:t>
      </w:r>
      <w:r>
        <w:rPr>
          <w:rFonts w:hint="eastAsia"/>
          <w:color w:val="auto"/>
          <w:spacing w:val="0"/>
          <w:w w:val="100"/>
          <w:position w:val="0"/>
          <w:highlight w:val="none"/>
          <w:lang w:val="en-US" w:eastAsia="zh-CN"/>
        </w:rPr>
        <w:t>3</w:t>
      </w:r>
      <w:r>
        <w:rPr>
          <w:rFonts w:hint="default"/>
          <w:color w:val="auto"/>
          <w:spacing w:val="0"/>
          <w:w w:val="100"/>
          <w:position w:val="0"/>
          <w:highlight w:val="none"/>
          <w:lang w:val="en-US" w:eastAsia="zh-CN"/>
        </w:rPr>
        <w:t>.4固体废物</w:t>
      </w:r>
      <w:bookmarkEnd w:id="231"/>
      <w:bookmarkEnd w:id="232"/>
      <w:bookmarkEnd w:id="233"/>
    </w:p>
    <w:p w14:paraId="0FE989E7">
      <w:pPr>
        <w:keepNext w:val="0"/>
        <w:keepLines w:val="0"/>
        <w:pageBreakBefore w:val="0"/>
        <w:widowControl w:val="0"/>
        <w:kinsoku/>
        <w:wordWrap/>
        <w:overflowPunct/>
        <w:topLinePunct w:val="0"/>
        <w:autoSpaceDE/>
        <w:autoSpaceDN/>
        <w:bidi w:val="0"/>
        <w:spacing w:line="480" w:lineRule="exact"/>
        <w:ind w:firstLine="480" w:firstLineChars="200"/>
        <w:jc w:val="left"/>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施工期固体废物主要</w:t>
      </w:r>
      <w:r>
        <w:rPr>
          <w:rFonts w:hint="default" w:ascii="Times New Roman" w:hAnsi="Times New Roman" w:eastAsia="宋体" w:cs="Times New Roman"/>
          <w:color w:val="auto"/>
          <w:spacing w:val="0"/>
          <w:w w:val="100"/>
          <w:position w:val="0"/>
          <w:sz w:val="24"/>
          <w:highlight w:val="none"/>
          <w:lang w:val="en-US" w:eastAsia="zh-CN"/>
        </w:rPr>
        <w:t>包括建</w:t>
      </w:r>
      <w:r>
        <w:rPr>
          <w:rFonts w:hint="eastAsia" w:ascii="Times New Roman" w:hAnsi="Times New Roman" w:eastAsia="宋体" w:cs="Times New Roman"/>
          <w:color w:val="auto"/>
          <w:spacing w:val="0"/>
          <w:w w:val="100"/>
          <w:position w:val="0"/>
          <w:sz w:val="24"/>
          <w:highlight w:val="none"/>
          <w:lang w:val="en-US" w:eastAsia="zh-CN"/>
        </w:rPr>
        <w:t>废包装材料</w:t>
      </w:r>
      <w:r>
        <w:rPr>
          <w:rFonts w:hint="default" w:ascii="Times New Roman" w:hAnsi="Times New Roman" w:eastAsia="宋体" w:cs="Times New Roman"/>
          <w:color w:val="auto"/>
          <w:spacing w:val="0"/>
          <w:w w:val="100"/>
          <w:position w:val="0"/>
          <w:sz w:val="24"/>
          <w:highlight w:val="none"/>
        </w:rPr>
        <w:t>和施工人员产生的生活垃圾组成。</w:t>
      </w:r>
    </w:p>
    <w:p w14:paraId="4FB2F5DB">
      <w:pPr>
        <w:keepNext w:val="0"/>
        <w:keepLines w:val="0"/>
        <w:pageBreakBefore w:val="0"/>
        <w:widowControl w:val="0"/>
        <w:kinsoku/>
        <w:wordWrap/>
        <w:overflowPunct/>
        <w:topLinePunct w:val="0"/>
        <w:autoSpaceDE/>
        <w:autoSpaceDN/>
        <w:bidi w:val="0"/>
        <w:spacing w:line="480" w:lineRule="exact"/>
        <w:ind w:firstLine="480" w:firstLineChars="200"/>
        <w:jc w:val="left"/>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eastAsia="zh-CN"/>
        </w:rPr>
        <w:t>（</w:t>
      </w:r>
      <w:r>
        <w:rPr>
          <w:rFonts w:hint="default" w:ascii="Times New Roman" w:hAnsi="Times New Roman" w:eastAsia="宋体" w:cs="Times New Roman"/>
          <w:color w:val="auto"/>
          <w:spacing w:val="0"/>
          <w:w w:val="100"/>
          <w:position w:val="0"/>
          <w:sz w:val="24"/>
          <w:highlight w:val="none"/>
          <w:lang w:val="en-US" w:eastAsia="zh-CN"/>
        </w:rPr>
        <w:t>1</w:t>
      </w:r>
      <w:r>
        <w:rPr>
          <w:rFonts w:hint="default" w:ascii="Times New Roman" w:hAnsi="Times New Roman" w:eastAsia="宋体" w:cs="Times New Roman"/>
          <w:color w:val="auto"/>
          <w:spacing w:val="0"/>
          <w:w w:val="100"/>
          <w:position w:val="0"/>
          <w:sz w:val="24"/>
          <w:highlight w:val="none"/>
          <w:lang w:eastAsia="zh-CN"/>
        </w:rPr>
        <w:t>）</w:t>
      </w:r>
      <w:r>
        <w:rPr>
          <w:rFonts w:hint="eastAsia" w:ascii="Times New Roman" w:hAnsi="Times New Roman" w:eastAsia="宋体" w:cs="Times New Roman"/>
          <w:color w:val="auto"/>
          <w:spacing w:val="0"/>
          <w:w w:val="100"/>
          <w:position w:val="0"/>
          <w:sz w:val="24"/>
          <w:highlight w:val="none"/>
          <w:lang w:val="en-US" w:eastAsia="zh-CN"/>
        </w:rPr>
        <w:t>废包装材料</w:t>
      </w:r>
    </w:p>
    <w:p w14:paraId="734151DC">
      <w:pPr>
        <w:keepNext w:val="0"/>
        <w:keepLines w:val="0"/>
        <w:pageBreakBefore w:val="0"/>
        <w:widowControl w:val="0"/>
        <w:kinsoku/>
        <w:wordWrap/>
        <w:overflowPunct/>
        <w:topLinePunct w:val="0"/>
        <w:autoSpaceDE/>
        <w:autoSpaceDN/>
        <w:bidi w:val="0"/>
        <w:spacing w:line="480" w:lineRule="exact"/>
        <w:ind w:firstLine="480" w:firstLineChars="200"/>
        <w:jc w:val="left"/>
        <w:rPr>
          <w:rFonts w:hint="default" w:ascii="Times New Roman" w:hAnsi="Times New Roman" w:eastAsia="宋体" w:cs="Times New Roman"/>
          <w:color w:val="auto"/>
          <w:spacing w:val="0"/>
          <w:w w:val="100"/>
          <w:position w:val="0"/>
          <w:sz w:val="24"/>
          <w:highlight w:val="none"/>
          <w:lang w:eastAsia="zh-CN"/>
        </w:rPr>
      </w:pPr>
      <w:r>
        <w:rPr>
          <w:rFonts w:hint="default" w:ascii="Times New Roman" w:hAnsi="Times New Roman" w:eastAsia="宋体" w:cs="Times New Roman"/>
          <w:color w:val="auto"/>
          <w:spacing w:val="0"/>
          <w:w w:val="100"/>
          <w:position w:val="0"/>
          <w:sz w:val="24"/>
          <w:highlight w:val="none"/>
          <w:lang w:val="en-US" w:eastAsia="zh-CN"/>
        </w:rPr>
        <w:t>本项目施工期间</w:t>
      </w:r>
      <w:r>
        <w:rPr>
          <w:rFonts w:hint="eastAsia" w:ascii="Times New Roman" w:hAnsi="Times New Roman" w:eastAsia="宋体" w:cs="Times New Roman"/>
          <w:color w:val="auto"/>
          <w:spacing w:val="0"/>
          <w:w w:val="100"/>
          <w:position w:val="0"/>
          <w:sz w:val="24"/>
          <w:highlight w:val="none"/>
          <w:lang w:val="en-US" w:eastAsia="zh-CN"/>
        </w:rPr>
        <w:t>会</w:t>
      </w:r>
      <w:r>
        <w:rPr>
          <w:rFonts w:hint="default" w:ascii="Times New Roman" w:hAnsi="Times New Roman" w:eastAsia="宋体" w:cs="Times New Roman"/>
          <w:color w:val="auto"/>
          <w:spacing w:val="0"/>
          <w:w w:val="100"/>
          <w:position w:val="0"/>
          <w:sz w:val="24"/>
          <w:highlight w:val="none"/>
          <w:lang w:val="en-US" w:eastAsia="zh-CN"/>
        </w:rPr>
        <w:t>产生</w:t>
      </w:r>
      <w:r>
        <w:rPr>
          <w:rFonts w:hint="eastAsia" w:ascii="Times New Roman" w:hAnsi="Times New Roman" w:eastAsia="宋体" w:cs="Times New Roman"/>
          <w:color w:val="auto"/>
          <w:spacing w:val="0"/>
          <w:w w:val="100"/>
          <w:position w:val="0"/>
          <w:sz w:val="24"/>
          <w:highlight w:val="none"/>
          <w:lang w:val="en-US" w:eastAsia="zh-CN"/>
        </w:rPr>
        <w:t>设备包装材料</w:t>
      </w:r>
      <w:r>
        <w:rPr>
          <w:rFonts w:hint="default" w:ascii="Times New Roman" w:hAnsi="Times New Roman" w:eastAsia="宋体" w:cs="Times New Roman"/>
          <w:color w:val="auto"/>
          <w:spacing w:val="0"/>
          <w:w w:val="100"/>
          <w:position w:val="0"/>
          <w:sz w:val="24"/>
          <w:highlight w:val="none"/>
          <w:lang w:val="en-US" w:eastAsia="zh-CN"/>
        </w:rPr>
        <w:t>，产生量约</w:t>
      </w:r>
      <w:r>
        <w:rPr>
          <w:rFonts w:hint="eastAsia" w:cs="Times New Roman"/>
          <w:color w:val="auto"/>
          <w:spacing w:val="0"/>
          <w:w w:val="100"/>
          <w:position w:val="0"/>
          <w:sz w:val="24"/>
          <w:highlight w:val="none"/>
          <w:lang w:val="en-US" w:eastAsia="zh-CN"/>
        </w:rPr>
        <w:t>0.5</w:t>
      </w:r>
      <w:r>
        <w:rPr>
          <w:rFonts w:hint="default" w:ascii="Times New Roman" w:hAnsi="Times New Roman" w:eastAsia="宋体" w:cs="Times New Roman"/>
          <w:color w:val="auto"/>
          <w:spacing w:val="0"/>
          <w:w w:val="100"/>
          <w:position w:val="0"/>
          <w:sz w:val="24"/>
          <w:highlight w:val="none"/>
          <w:lang w:val="en-US" w:eastAsia="zh-CN"/>
        </w:rPr>
        <w:t>t，出售给废旧资源回收公司。</w:t>
      </w:r>
    </w:p>
    <w:p w14:paraId="6B4E1260">
      <w:pPr>
        <w:keepNext w:val="0"/>
        <w:keepLines w:val="0"/>
        <w:pageBreakBefore w:val="0"/>
        <w:widowControl w:val="0"/>
        <w:kinsoku/>
        <w:wordWrap/>
        <w:overflowPunct/>
        <w:topLinePunct w:val="0"/>
        <w:autoSpaceDE/>
        <w:autoSpaceDN/>
        <w:bidi w:val="0"/>
        <w:spacing w:line="480" w:lineRule="exact"/>
        <w:ind w:firstLine="480" w:firstLineChars="200"/>
        <w:jc w:val="left"/>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lang w:eastAsia="zh-CN"/>
        </w:rPr>
        <w:t>（</w:t>
      </w:r>
      <w:r>
        <w:rPr>
          <w:rFonts w:hint="eastAsia" w:ascii="Times New Roman" w:hAnsi="Times New Roman" w:eastAsia="宋体" w:cs="Times New Roman"/>
          <w:color w:val="auto"/>
          <w:spacing w:val="0"/>
          <w:w w:val="100"/>
          <w:position w:val="0"/>
          <w:sz w:val="24"/>
          <w:highlight w:val="none"/>
          <w:lang w:val="en-US" w:eastAsia="zh-CN"/>
        </w:rPr>
        <w:t>2</w:t>
      </w:r>
      <w:r>
        <w:rPr>
          <w:rFonts w:hint="default" w:ascii="Times New Roman" w:hAnsi="Times New Roman" w:eastAsia="宋体" w:cs="Times New Roman"/>
          <w:color w:val="auto"/>
          <w:spacing w:val="0"/>
          <w:w w:val="100"/>
          <w:position w:val="0"/>
          <w:sz w:val="24"/>
          <w:highlight w:val="none"/>
          <w:lang w:eastAsia="zh-CN"/>
        </w:rPr>
        <w:t>）</w:t>
      </w:r>
      <w:r>
        <w:rPr>
          <w:rFonts w:hint="default" w:ascii="Times New Roman" w:hAnsi="Times New Roman" w:eastAsia="宋体" w:cs="Times New Roman"/>
          <w:color w:val="auto"/>
          <w:spacing w:val="0"/>
          <w:w w:val="100"/>
          <w:position w:val="0"/>
          <w:sz w:val="24"/>
          <w:highlight w:val="none"/>
        </w:rPr>
        <w:t>生活垃圾</w:t>
      </w:r>
    </w:p>
    <w:p w14:paraId="643126FC">
      <w:pPr>
        <w:keepNext w:val="0"/>
        <w:keepLines w:val="0"/>
        <w:pageBreakBefore w:val="0"/>
        <w:widowControl w:val="0"/>
        <w:kinsoku/>
        <w:wordWrap/>
        <w:overflowPunct/>
        <w:topLinePunct w:val="0"/>
        <w:autoSpaceDE/>
        <w:autoSpaceDN/>
        <w:bidi w:val="0"/>
        <w:spacing w:line="480" w:lineRule="exact"/>
        <w:ind w:firstLine="480" w:firstLineChars="200"/>
        <w:jc w:val="left"/>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项目建设过程中同时施工的人员按</w:t>
      </w:r>
      <w:r>
        <w:rPr>
          <w:rFonts w:hint="default" w:ascii="Times New Roman" w:hAnsi="Times New Roman" w:eastAsia="宋体" w:cs="Times New Roman"/>
          <w:color w:val="auto"/>
          <w:spacing w:val="0"/>
          <w:w w:val="100"/>
          <w:position w:val="0"/>
          <w:sz w:val="24"/>
          <w:highlight w:val="none"/>
          <w:lang w:val="en-US" w:eastAsia="zh-CN"/>
        </w:rPr>
        <w:t>1</w:t>
      </w:r>
      <w:r>
        <w:rPr>
          <w:rFonts w:hint="default" w:ascii="Times New Roman" w:hAnsi="Times New Roman" w:eastAsia="宋体" w:cs="Times New Roman"/>
          <w:color w:val="auto"/>
          <w:spacing w:val="0"/>
          <w:w w:val="100"/>
          <w:position w:val="0"/>
          <w:sz w:val="24"/>
          <w:highlight w:val="none"/>
        </w:rPr>
        <w:t>0人计，总施工期为</w:t>
      </w:r>
      <w:r>
        <w:rPr>
          <w:rFonts w:hint="eastAsia" w:ascii="Times New Roman" w:hAnsi="Times New Roman" w:eastAsia="宋体" w:cs="Times New Roman"/>
          <w:color w:val="auto"/>
          <w:spacing w:val="0"/>
          <w:w w:val="100"/>
          <w:position w:val="0"/>
          <w:sz w:val="24"/>
          <w:highlight w:val="none"/>
          <w:lang w:val="en-US" w:eastAsia="zh-CN"/>
        </w:rPr>
        <w:t>12</w:t>
      </w:r>
      <w:r>
        <w:rPr>
          <w:rFonts w:hint="default" w:ascii="Times New Roman" w:hAnsi="Times New Roman" w:eastAsia="宋体" w:cs="Times New Roman"/>
          <w:color w:val="auto"/>
          <w:spacing w:val="0"/>
          <w:w w:val="100"/>
          <w:position w:val="0"/>
          <w:sz w:val="24"/>
          <w:highlight w:val="none"/>
        </w:rPr>
        <w:t>个月</w:t>
      </w:r>
      <w:r>
        <w:rPr>
          <w:rFonts w:hint="eastAsia" w:ascii="Times New Roman" w:hAnsi="Times New Roman" w:eastAsia="宋体" w:cs="Times New Roman"/>
          <w:color w:val="auto"/>
          <w:spacing w:val="0"/>
          <w:w w:val="100"/>
          <w:position w:val="0"/>
          <w:sz w:val="24"/>
          <w:highlight w:val="none"/>
          <w:lang w:eastAsia="zh-CN"/>
        </w:rPr>
        <w:t>，</w:t>
      </w:r>
      <w:r>
        <w:rPr>
          <w:rFonts w:hint="eastAsia" w:ascii="Times New Roman" w:hAnsi="Times New Roman" w:eastAsia="宋体" w:cs="Times New Roman"/>
          <w:color w:val="auto"/>
          <w:spacing w:val="0"/>
          <w:w w:val="100"/>
          <w:position w:val="0"/>
          <w:sz w:val="24"/>
          <w:highlight w:val="none"/>
          <w:lang w:val="en-US" w:eastAsia="zh-CN"/>
        </w:rPr>
        <w:t>其中设备安装期约2个月</w:t>
      </w:r>
      <w:r>
        <w:rPr>
          <w:rFonts w:hint="default" w:ascii="Times New Roman" w:hAnsi="Times New Roman" w:eastAsia="宋体" w:cs="Times New Roman"/>
          <w:color w:val="auto"/>
          <w:spacing w:val="0"/>
          <w:w w:val="100"/>
          <w:position w:val="0"/>
          <w:sz w:val="24"/>
          <w:highlight w:val="none"/>
        </w:rPr>
        <w:t>。</w:t>
      </w:r>
      <w:r>
        <w:rPr>
          <w:rFonts w:hint="default" w:ascii="Times New Roman" w:hAnsi="Times New Roman" w:eastAsia="宋体" w:cs="Times New Roman"/>
          <w:snapToGrid w:val="0"/>
          <w:color w:val="auto"/>
          <w:spacing w:val="0"/>
          <w:w w:val="100"/>
          <w:kern w:val="0"/>
          <w:position w:val="0"/>
          <w:sz w:val="24"/>
          <w:highlight w:val="none"/>
        </w:rPr>
        <w:t>根据《第二次全国污染源普查城镇生活源产排污系数手册》对五区3类城市中城镇居民生活垃圾产生系数的给定</w:t>
      </w:r>
      <w:r>
        <w:rPr>
          <w:rFonts w:hint="default" w:ascii="Times New Roman" w:hAnsi="Times New Roman" w:eastAsia="宋体" w:cs="Times New Roman"/>
          <w:color w:val="auto"/>
          <w:spacing w:val="0"/>
          <w:w w:val="100"/>
          <w:position w:val="0"/>
          <w:sz w:val="24"/>
          <w:highlight w:val="none"/>
        </w:rPr>
        <w:t>为0.44kg/人·d，则项目施工期生活垃圾产生量为</w:t>
      </w:r>
      <w:r>
        <w:rPr>
          <w:rFonts w:hint="default" w:ascii="Times New Roman" w:hAnsi="Times New Roman" w:eastAsia="宋体" w:cs="Times New Roman"/>
          <w:color w:val="auto"/>
          <w:spacing w:val="0"/>
          <w:w w:val="100"/>
          <w:position w:val="0"/>
          <w:sz w:val="24"/>
          <w:highlight w:val="none"/>
          <w:lang w:val="en-US" w:eastAsia="zh-CN"/>
        </w:rPr>
        <w:t>0.</w:t>
      </w:r>
      <w:r>
        <w:rPr>
          <w:rFonts w:hint="eastAsia" w:ascii="Times New Roman" w:hAnsi="Times New Roman" w:eastAsia="宋体" w:cs="Times New Roman"/>
          <w:color w:val="auto"/>
          <w:spacing w:val="0"/>
          <w:w w:val="100"/>
          <w:position w:val="0"/>
          <w:sz w:val="24"/>
          <w:highlight w:val="none"/>
          <w:lang w:val="en-US" w:eastAsia="zh-CN"/>
        </w:rPr>
        <w:t>264</w:t>
      </w:r>
      <w:r>
        <w:rPr>
          <w:rFonts w:hint="default" w:ascii="Times New Roman" w:hAnsi="Times New Roman" w:eastAsia="宋体" w:cs="Times New Roman"/>
          <w:color w:val="auto"/>
          <w:spacing w:val="0"/>
          <w:w w:val="100"/>
          <w:position w:val="0"/>
          <w:sz w:val="24"/>
          <w:highlight w:val="none"/>
        </w:rPr>
        <w:t>t，集中收集后交</w:t>
      </w:r>
      <w:r>
        <w:rPr>
          <w:rFonts w:hint="eastAsia" w:ascii="Times New Roman" w:hAnsi="Times New Roman" w:cs="Times New Roman"/>
          <w:color w:val="auto"/>
          <w:spacing w:val="0"/>
          <w:w w:val="100"/>
          <w:position w:val="0"/>
          <w:sz w:val="24"/>
          <w:highlight w:val="none"/>
          <w:lang w:val="en-US" w:eastAsia="zh-CN"/>
        </w:rPr>
        <w:t>当地</w:t>
      </w:r>
      <w:r>
        <w:rPr>
          <w:rFonts w:hint="default" w:ascii="Times New Roman" w:hAnsi="Times New Roman" w:eastAsia="宋体" w:cs="Times New Roman"/>
          <w:color w:val="auto"/>
          <w:spacing w:val="0"/>
          <w:w w:val="100"/>
          <w:position w:val="0"/>
          <w:sz w:val="24"/>
          <w:highlight w:val="none"/>
        </w:rPr>
        <w:t>环卫部门定期处理。</w:t>
      </w:r>
    </w:p>
    <w:p w14:paraId="0909945C">
      <w:pPr>
        <w:pStyle w:val="3"/>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bookmarkStart w:id="234" w:name="_Toc3161"/>
      <w:bookmarkStart w:id="235" w:name="_Toc13916"/>
      <w:r>
        <w:rPr>
          <w:rFonts w:hint="eastAsia"/>
          <w:color w:val="auto"/>
          <w:spacing w:val="0"/>
          <w:w w:val="100"/>
          <w:position w:val="0"/>
          <w:highlight w:val="none"/>
          <w:lang w:val="en-US" w:eastAsia="zh-CN"/>
        </w:rPr>
        <w:t>3.4运营期污染源分析</w:t>
      </w:r>
      <w:bookmarkEnd w:id="234"/>
      <w:bookmarkEnd w:id="235"/>
    </w:p>
    <w:p w14:paraId="62C7A330">
      <w:pPr>
        <w:pStyle w:val="4"/>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bookmarkStart w:id="236" w:name="_Toc28761"/>
      <w:bookmarkStart w:id="237" w:name="_Toc4851"/>
      <w:r>
        <w:rPr>
          <w:rFonts w:hint="eastAsia"/>
          <w:color w:val="auto"/>
          <w:spacing w:val="0"/>
          <w:w w:val="100"/>
          <w:position w:val="0"/>
          <w:highlight w:val="none"/>
          <w:lang w:val="en-US" w:eastAsia="zh-CN"/>
        </w:rPr>
        <w:t>3.4.1废气</w:t>
      </w:r>
      <w:bookmarkEnd w:id="236"/>
    </w:p>
    <w:p w14:paraId="1B7A8446">
      <w:pPr>
        <w:pStyle w:val="5"/>
        <w:keepNext w:val="0"/>
        <w:keepLines w:val="0"/>
        <w:pageBreakBefore w:val="0"/>
        <w:widowControl w:val="0"/>
        <w:kinsoku/>
        <w:wordWrap/>
        <w:overflowPunct/>
        <w:topLinePunct w:val="0"/>
        <w:autoSpaceDE/>
        <w:autoSpaceDN/>
        <w:bidi w:val="0"/>
        <w:adjustRightInd/>
        <w:snapToGrid/>
        <w:rPr>
          <w:rFonts w:hint="default" w:ascii="Times New Roman" w:hAnsi="Times New Roman"/>
          <w:color w:val="auto"/>
          <w:spacing w:val="0"/>
          <w:w w:val="100"/>
          <w:position w:val="0"/>
          <w:highlight w:val="none"/>
          <w:lang w:val="en-US" w:eastAsia="zh-CN"/>
        </w:rPr>
      </w:pPr>
      <w:r>
        <w:rPr>
          <w:rFonts w:hint="eastAsia" w:ascii="Times New Roman" w:hAnsi="Times New Roman"/>
          <w:color w:val="auto"/>
          <w:spacing w:val="0"/>
          <w:w w:val="100"/>
          <w:position w:val="0"/>
          <w:highlight w:val="none"/>
          <w:lang w:val="en-US" w:eastAsia="zh-CN"/>
        </w:rPr>
        <w:t>3.4.1.1废气源强核算</w:t>
      </w:r>
    </w:p>
    <w:p w14:paraId="301696F9">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1.混料搅拌粉尘（G1）、挤出成型有机废气（以非甲烷总烃计）（G2）</w:t>
      </w:r>
    </w:p>
    <w:p w14:paraId="3AF0A45E">
      <w:pPr>
        <w:pStyle w:val="62"/>
        <w:keepNext w:val="0"/>
        <w:keepLines w:val="0"/>
        <w:pageBreakBefore w:val="0"/>
        <w:widowControl w:val="0"/>
        <w:numPr>
          <w:ilvl w:val="255"/>
          <w:numId w:val="0"/>
        </w:numPr>
        <w:kinsoku/>
        <w:wordWrap/>
        <w:overflowPunct/>
        <w:topLinePunct w:val="0"/>
        <w:autoSpaceDE/>
        <w:autoSpaceDN/>
        <w:bidi w:val="0"/>
        <w:ind w:firstLine="480" w:firstLineChars="200"/>
        <w:textAlignment w:val="baseline"/>
        <w:rPr>
          <w:color w:val="auto"/>
          <w:spacing w:val="0"/>
          <w:w w:val="100"/>
          <w:kern w:val="21"/>
          <w:position w:val="0"/>
          <w:szCs w:val="24"/>
        </w:rPr>
      </w:pPr>
      <w:r>
        <w:rPr>
          <w:rFonts w:hint="eastAsia"/>
          <w:color w:val="auto"/>
          <w:spacing w:val="0"/>
          <w:w w:val="100"/>
          <w:kern w:val="21"/>
          <w:position w:val="0"/>
          <w:szCs w:val="24"/>
        </w:rPr>
        <w:t>本项目铝塑板生产</w:t>
      </w:r>
      <w:r>
        <w:rPr>
          <w:rFonts w:hint="eastAsia"/>
          <w:color w:val="auto"/>
          <w:spacing w:val="0"/>
          <w:w w:val="100"/>
          <w:kern w:val="21"/>
          <w:position w:val="0"/>
          <w:szCs w:val="24"/>
          <w:lang w:val="en-US" w:eastAsia="zh-CN"/>
        </w:rPr>
        <w:t>使用聚乙烯再生颗粒、聚乙烯再生粉料</w:t>
      </w:r>
      <w:r>
        <w:rPr>
          <w:rFonts w:hint="eastAsia"/>
          <w:color w:val="auto"/>
          <w:spacing w:val="0"/>
          <w:w w:val="100"/>
          <w:kern w:val="21"/>
          <w:position w:val="0"/>
          <w:szCs w:val="24"/>
        </w:rPr>
        <w:t>、钙粉</w:t>
      </w:r>
      <w:r>
        <w:rPr>
          <w:rFonts w:hint="eastAsia"/>
          <w:color w:val="auto"/>
          <w:spacing w:val="0"/>
          <w:w w:val="100"/>
          <w:kern w:val="21"/>
          <w:position w:val="0"/>
          <w:szCs w:val="24"/>
          <w:lang w:val="en-US" w:eastAsia="zh-CN"/>
        </w:rPr>
        <w:t>经混合后</w:t>
      </w:r>
      <w:r>
        <w:rPr>
          <w:rFonts w:hint="eastAsia"/>
          <w:color w:val="auto"/>
          <w:spacing w:val="0"/>
          <w:w w:val="100"/>
          <w:kern w:val="21"/>
          <w:position w:val="0"/>
          <w:szCs w:val="24"/>
        </w:rPr>
        <w:t>通过上料系统送入拌料机内</w:t>
      </w:r>
      <w:r>
        <w:rPr>
          <w:rFonts w:hint="eastAsia"/>
          <w:color w:val="auto"/>
          <w:spacing w:val="0"/>
          <w:w w:val="100"/>
          <w:kern w:val="21"/>
          <w:position w:val="0"/>
          <w:szCs w:val="24"/>
          <w:lang w:eastAsia="zh-CN"/>
        </w:rPr>
        <w:t>（</w:t>
      </w:r>
      <w:r>
        <w:rPr>
          <w:rFonts w:hint="eastAsia"/>
          <w:color w:val="auto"/>
          <w:spacing w:val="0"/>
          <w:w w:val="100"/>
          <w:kern w:val="21"/>
          <w:position w:val="0"/>
          <w:szCs w:val="24"/>
          <w:lang w:val="en-US" w:eastAsia="zh-CN"/>
        </w:rPr>
        <w:t>全密闭</w:t>
      </w:r>
      <w:r>
        <w:rPr>
          <w:rFonts w:hint="eastAsia"/>
          <w:color w:val="auto"/>
          <w:spacing w:val="0"/>
          <w:w w:val="100"/>
          <w:kern w:val="21"/>
          <w:position w:val="0"/>
          <w:szCs w:val="24"/>
          <w:lang w:eastAsia="zh-CN"/>
        </w:rPr>
        <w:t>）</w:t>
      </w:r>
      <w:r>
        <w:rPr>
          <w:rFonts w:hint="eastAsia"/>
          <w:color w:val="auto"/>
          <w:spacing w:val="0"/>
          <w:w w:val="100"/>
          <w:kern w:val="21"/>
          <w:position w:val="0"/>
          <w:szCs w:val="24"/>
          <w:lang w:val="en-US" w:eastAsia="zh-CN"/>
        </w:rPr>
        <w:t>混合后密闭输送至挤压工序挤压成型</w:t>
      </w:r>
      <w:r>
        <w:rPr>
          <w:rFonts w:hint="eastAsia"/>
          <w:color w:val="auto"/>
          <w:spacing w:val="0"/>
          <w:w w:val="100"/>
          <w:kern w:val="21"/>
          <w:position w:val="0"/>
          <w:szCs w:val="24"/>
          <w:lang w:eastAsia="zh-CN"/>
        </w:rPr>
        <w:t>，</w:t>
      </w:r>
      <w:r>
        <w:rPr>
          <w:rFonts w:hint="eastAsia"/>
          <w:color w:val="auto"/>
          <w:spacing w:val="0"/>
          <w:w w:val="100"/>
          <w:kern w:val="21"/>
          <w:position w:val="0"/>
          <w:szCs w:val="24"/>
          <w:lang w:val="en-US" w:eastAsia="zh-CN"/>
        </w:rPr>
        <w:t>混料</w:t>
      </w:r>
      <w:r>
        <w:rPr>
          <w:color w:val="auto"/>
          <w:spacing w:val="0"/>
          <w:w w:val="100"/>
          <w:kern w:val="21"/>
          <w:position w:val="0"/>
          <w:szCs w:val="24"/>
        </w:rPr>
        <w:t>过程中会产生一定量的粉尘</w:t>
      </w:r>
      <w:r>
        <w:rPr>
          <w:rFonts w:hint="eastAsia"/>
          <w:color w:val="auto"/>
          <w:spacing w:val="0"/>
          <w:w w:val="100"/>
          <w:kern w:val="21"/>
          <w:position w:val="0"/>
          <w:szCs w:val="24"/>
          <w:lang w:eastAsia="zh-CN"/>
        </w:rPr>
        <w:t>，</w:t>
      </w:r>
      <w:r>
        <w:rPr>
          <w:rFonts w:hint="eastAsia"/>
          <w:color w:val="auto"/>
          <w:spacing w:val="0"/>
          <w:w w:val="100"/>
          <w:kern w:val="21"/>
          <w:position w:val="0"/>
          <w:szCs w:val="24"/>
          <w:lang w:val="en-US" w:eastAsia="zh-CN"/>
        </w:rPr>
        <w:t>挤压成型工序会产生有机废气</w:t>
      </w:r>
      <w:r>
        <w:rPr>
          <w:color w:val="auto"/>
          <w:spacing w:val="0"/>
          <w:w w:val="100"/>
          <w:kern w:val="21"/>
          <w:position w:val="0"/>
          <w:szCs w:val="24"/>
        </w:rPr>
        <w:t>。根据</w:t>
      </w:r>
      <w:r>
        <w:rPr>
          <w:color w:val="auto"/>
          <w:spacing w:val="0"/>
          <w:w w:val="100"/>
          <w:kern w:val="21"/>
          <w:position w:val="0"/>
          <w:szCs w:val="24"/>
          <w:lang w:bidi="ar"/>
        </w:rPr>
        <w:t>生态环境部发布的</w:t>
      </w:r>
      <w:r>
        <w:rPr>
          <w:color w:val="auto"/>
          <w:spacing w:val="0"/>
          <w:w w:val="100"/>
          <w:kern w:val="21"/>
          <w:position w:val="0"/>
          <w:szCs w:val="24"/>
        </w:rPr>
        <w:t>《排放源统计调查产排污核算方法和系数手册》（2021年6月6日）“</w:t>
      </w:r>
      <w:r>
        <w:rPr>
          <w:rFonts w:hint="eastAsia"/>
          <w:color w:val="auto"/>
          <w:spacing w:val="0"/>
          <w:w w:val="100"/>
          <w:kern w:val="21"/>
          <w:position w:val="0"/>
          <w:szCs w:val="24"/>
          <w:lang w:val="en-US" w:eastAsia="zh-CN"/>
        </w:rPr>
        <w:t>292塑料制品行业系</w:t>
      </w:r>
      <w:r>
        <w:rPr>
          <w:color w:val="auto"/>
          <w:spacing w:val="0"/>
          <w:w w:val="100"/>
          <w:kern w:val="21"/>
          <w:position w:val="0"/>
          <w:szCs w:val="24"/>
        </w:rPr>
        <w:t>数手册</w:t>
      </w:r>
      <w:r>
        <w:rPr>
          <w:rFonts w:hint="eastAsia"/>
          <w:color w:val="auto"/>
          <w:spacing w:val="0"/>
          <w:w w:val="100"/>
          <w:kern w:val="21"/>
          <w:position w:val="0"/>
          <w:szCs w:val="24"/>
          <w:lang w:val="en-US" w:eastAsia="zh-CN"/>
        </w:rPr>
        <w:t>--2922塑料板、管、型材制造行业系数表</w:t>
      </w:r>
      <w:r>
        <w:rPr>
          <w:color w:val="auto"/>
          <w:spacing w:val="0"/>
          <w:w w:val="100"/>
          <w:kern w:val="21"/>
          <w:position w:val="0"/>
          <w:szCs w:val="24"/>
        </w:rPr>
        <w:t>”中产污系数进行核算，产污系数见表3.</w:t>
      </w:r>
      <w:r>
        <w:rPr>
          <w:rFonts w:hint="eastAsia"/>
          <w:color w:val="auto"/>
          <w:spacing w:val="0"/>
          <w:w w:val="100"/>
          <w:kern w:val="21"/>
          <w:position w:val="0"/>
          <w:szCs w:val="24"/>
          <w:lang w:val="en-US" w:eastAsia="zh-CN"/>
        </w:rPr>
        <w:t>4.1</w:t>
      </w:r>
      <w:r>
        <w:rPr>
          <w:color w:val="auto"/>
          <w:spacing w:val="0"/>
          <w:w w:val="100"/>
          <w:kern w:val="21"/>
          <w:position w:val="0"/>
          <w:szCs w:val="24"/>
        </w:rPr>
        <w:t>-1。</w:t>
      </w:r>
    </w:p>
    <w:p w14:paraId="47CF33F9">
      <w:pPr>
        <w:keepNext w:val="0"/>
        <w:keepLines w:val="0"/>
        <w:pageBreakBefore w:val="0"/>
        <w:widowControl w:val="0"/>
        <w:tabs>
          <w:tab w:val="left" w:pos="4620"/>
        </w:tabs>
        <w:kinsoku/>
        <w:wordWrap/>
        <w:overflowPunct/>
        <w:topLinePunct w:val="0"/>
        <w:autoSpaceDE/>
        <w:autoSpaceDN/>
        <w:bidi w:val="0"/>
        <w:spacing w:line="240" w:lineRule="auto"/>
        <w:ind w:firstLine="0" w:firstLineChars="0"/>
        <w:jc w:val="center"/>
        <w:rPr>
          <w:color w:val="auto"/>
          <w:spacing w:val="0"/>
          <w:w w:val="100"/>
          <w:kern w:val="21"/>
          <w:position w:val="0"/>
        </w:rPr>
      </w:pPr>
      <w:r>
        <w:rPr>
          <w:b/>
          <w:bCs/>
          <w:color w:val="auto"/>
          <w:spacing w:val="0"/>
          <w:w w:val="100"/>
          <w:kern w:val="21"/>
          <w:position w:val="0"/>
          <w:sz w:val="21"/>
        </w:rPr>
        <w:t>表3.</w:t>
      </w:r>
      <w:r>
        <w:rPr>
          <w:rFonts w:hint="eastAsia"/>
          <w:b/>
          <w:bCs/>
          <w:color w:val="auto"/>
          <w:spacing w:val="0"/>
          <w:w w:val="100"/>
          <w:kern w:val="21"/>
          <w:position w:val="0"/>
          <w:sz w:val="21"/>
          <w:lang w:val="en-US" w:eastAsia="zh-CN"/>
        </w:rPr>
        <w:t>4.1</w:t>
      </w:r>
      <w:r>
        <w:rPr>
          <w:b/>
          <w:bCs/>
          <w:color w:val="auto"/>
          <w:spacing w:val="0"/>
          <w:w w:val="100"/>
          <w:kern w:val="21"/>
          <w:position w:val="0"/>
          <w:sz w:val="21"/>
        </w:rPr>
        <w:t>-1  废气污染物产污系数表</w:t>
      </w:r>
    </w:p>
    <w:tbl>
      <w:tblPr>
        <w:tblStyle w:val="25"/>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471"/>
        <w:gridCol w:w="585"/>
        <w:gridCol w:w="1439"/>
        <w:gridCol w:w="964"/>
        <w:gridCol w:w="605"/>
        <w:gridCol w:w="425"/>
        <w:gridCol w:w="787"/>
        <w:gridCol w:w="1075"/>
        <w:gridCol w:w="482"/>
        <w:gridCol w:w="748"/>
        <w:gridCol w:w="839"/>
      </w:tblGrid>
      <w:tr w14:paraId="02182F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471" w:type="dxa"/>
            <w:tcBorders>
              <w:tl2br w:val="nil"/>
              <w:tr2bl w:val="nil"/>
            </w:tcBorders>
            <w:vAlign w:val="center"/>
          </w:tcPr>
          <w:p w14:paraId="0B0D0E8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Style w:val="47"/>
                <w:rFonts w:hint="default" w:ascii="Times New Roman" w:hAnsi="Times New Roman" w:cs="Times New Roman"/>
                <w:bCs/>
                <w:color w:val="auto"/>
                <w:spacing w:val="0"/>
                <w:w w:val="100"/>
                <w:kern w:val="21"/>
                <w:position w:val="0"/>
                <w:sz w:val="21"/>
                <w:szCs w:val="21"/>
                <w:lang w:bidi="ar"/>
              </w:rPr>
            </w:pPr>
            <w:r>
              <w:rPr>
                <w:rStyle w:val="47"/>
                <w:rFonts w:hint="default" w:ascii="Times New Roman" w:hAnsi="Times New Roman" w:cs="Times New Roman"/>
                <w:bCs/>
                <w:color w:val="auto"/>
                <w:spacing w:val="0"/>
                <w:w w:val="100"/>
                <w:kern w:val="21"/>
                <w:position w:val="0"/>
                <w:sz w:val="21"/>
                <w:szCs w:val="21"/>
                <w:lang w:bidi="ar"/>
              </w:rPr>
              <w:t>工段名称</w:t>
            </w:r>
          </w:p>
        </w:tc>
        <w:tc>
          <w:tcPr>
            <w:tcW w:w="585" w:type="dxa"/>
            <w:tcBorders>
              <w:tl2br w:val="nil"/>
              <w:tr2bl w:val="nil"/>
            </w:tcBorders>
            <w:vAlign w:val="center"/>
          </w:tcPr>
          <w:p w14:paraId="0446362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ascii="Times New Roman" w:hAnsi="Times New Roman" w:cs="Times New Roman"/>
                <w:b/>
                <w:bCs/>
                <w:color w:val="auto"/>
                <w:spacing w:val="0"/>
                <w:w w:val="100"/>
                <w:kern w:val="21"/>
                <w:position w:val="0"/>
                <w:sz w:val="21"/>
                <w:szCs w:val="21"/>
              </w:rPr>
            </w:pPr>
            <w:r>
              <w:rPr>
                <w:rStyle w:val="47"/>
                <w:rFonts w:hint="default" w:ascii="Times New Roman" w:hAnsi="Times New Roman" w:cs="Times New Roman"/>
                <w:bCs/>
                <w:color w:val="auto"/>
                <w:spacing w:val="0"/>
                <w:w w:val="100"/>
                <w:kern w:val="21"/>
                <w:position w:val="0"/>
                <w:sz w:val="21"/>
                <w:szCs w:val="21"/>
                <w:lang w:bidi="ar"/>
              </w:rPr>
              <w:t>产品名称</w:t>
            </w:r>
          </w:p>
        </w:tc>
        <w:tc>
          <w:tcPr>
            <w:tcW w:w="1439" w:type="dxa"/>
            <w:tcBorders>
              <w:tl2br w:val="nil"/>
              <w:tr2bl w:val="nil"/>
            </w:tcBorders>
            <w:vAlign w:val="center"/>
          </w:tcPr>
          <w:p w14:paraId="5DD0238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ascii="Times New Roman" w:hAnsi="Times New Roman" w:cs="Times New Roman"/>
                <w:b/>
                <w:bCs/>
                <w:color w:val="auto"/>
                <w:spacing w:val="0"/>
                <w:w w:val="100"/>
                <w:kern w:val="21"/>
                <w:position w:val="0"/>
                <w:sz w:val="21"/>
                <w:szCs w:val="21"/>
              </w:rPr>
            </w:pPr>
            <w:r>
              <w:rPr>
                <w:rStyle w:val="47"/>
                <w:rFonts w:hint="default" w:ascii="Times New Roman" w:hAnsi="Times New Roman" w:cs="Times New Roman"/>
                <w:bCs/>
                <w:color w:val="auto"/>
                <w:spacing w:val="0"/>
                <w:w w:val="100"/>
                <w:kern w:val="21"/>
                <w:position w:val="0"/>
                <w:sz w:val="21"/>
                <w:szCs w:val="21"/>
                <w:lang w:bidi="ar"/>
              </w:rPr>
              <w:t>原料名称</w:t>
            </w:r>
          </w:p>
        </w:tc>
        <w:tc>
          <w:tcPr>
            <w:tcW w:w="964" w:type="dxa"/>
            <w:tcBorders>
              <w:tl2br w:val="nil"/>
              <w:tr2bl w:val="nil"/>
            </w:tcBorders>
            <w:vAlign w:val="center"/>
          </w:tcPr>
          <w:p w14:paraId="516BC2A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ascii="Times New Roman" w:hAnsi="Times New Roman" w:cs="Times New Roman"/>
                <w:b/>
                <w:bCs/>
                <w:color w:val="auto"/>
                <w:spacing w:val="0"/>
                <w:w w:val="100"/>
                <w:kern w:val="21"/>
                <w:position w:val="0"/>
                <w:sz w:val="21"/>
                <w:szCs w:val="21"/>
              </w:rPr>
            </w:pPr>
            <w:r>
              <w:rPr>
                <w:rStyle w:val="47"/>
                <w:rFonts w:hint="default" w:ascii="Times New Roman" w:hAnsi="Times New Roman" w:cs="Times New Roman"/>
                <w:bCs/>
                <w:color w:val="auto"/>
                <w:spacing w:val="0"/>
                <w:w w:val="100"/>
                <w:kern w:val="21"/>
                <w:position w:val="0"/>
                <w:sz w:val="21"/>
                <w:szCs w:val="21"/>
                <w:lang w:bidi="ar"/>
              </w:rPr>
              <w:t>工艺名称</w:t>
            </w:r>
          </w:p>
        </w:tc>
        <w:tc>
          <w:tcPr>
            <w:tcW w:w="605" w:type="dxa"/>
            <w:tcBorders>
              <w:tl2br w:val="nil"/>
              <w:tr2bl w:val="nil"/>
            </w:tcBorders>
            <w:vAlign w:val="center"/>
          </w:tcPr>
          <w:p w14:paraId="54CD2EB5">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ascii="Times New Roman" w:hAnsi="Times New Roman" w:cs="Times New Roman"/>
                <w:b/>
                <w:bCs/>
                <w:color w:val="auto"/>
                <w:spacing w:val="0"/>
                <w:w w:val="100"/>
                <w:kern w:val="21"/>
                <w:position w:val="0"/>
                <w:sz w:val="21"/>
                <w:szCs w:val="21"/>
              </w:rPr>
            </w:pPr>
            <w:r>
              <w:rPr>
                <w:rStyle w:val="47"/>
                <w:rFonts w:hint="default" w:ascii="Times New Roman" w:hAnsi="Times New Roman" w:cs="Times New Roman"/>
                <w:bCs/>
                <w:color w:val="auto"/>
                <w:spacing w:val="0"/>
                <w:w w:val="100"/>
                <w:kern w:val="21"/>
                <w:position w:val="0"/>
                <w:sz w:val="21"/>
                <w:szCs w:val="21"/>
                <w:lang w:bidi="ar"/>
              </w:rPr>
              <w:t>规模等级</w:t>
            </w:r>
          </w:p>
        </w:tc>
        <w:tc>
          <w:tcPr>
            <w:tcW w:w="1212" w:type="dxa"/>
            <w:gridSpan w:val="2"/>
            <w:tcBorders>
              <w:tl2br w:val="nil"/>
              <w:tr2bl w:val="nil"/>
            </w:tcBorders>
            <w:vAlign w:val="center"/>
          </w:tcPr>
          <w:p w14:paraId="3A16453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ascii="Times New Roman" w:hAnsi="Times New Roman" w:cs="Times New Roman"/>
                <w:b/>
                <w:bCs/>
                <w:color w:val="auto"/>
                <w:spacing w:val="0"/>
                <w:w w:val="100"/>
                <w:kern w:val="21"/>
                <w:position w:val="0"/>
                <w:sz w:val="21"/>
                <w:szCs w:val="21"/>
              </w:rPr>
            </w:pPr>
            <w:r>
              <w:rPr>
                <w:rStyle w:val="47"/>
                <w:rFonts w:hint="default" w:ascii="Times New Roman" w:hAnsi="Times New Roman" w:cs="Times New Roman"/>
                <w:bCs/>
                <w:color w:val="auto"/>
                <w:spacing w:val="0"/>
                <w:w w:val="100"/>
                <w:kern w:val="21"/>
                <w:position w:val="0"/>
                <w:sz w:val="21"/>
                <w:szCs w:val="21"/>
                <w:lang w:bidi="ar"/>
              </w:rPr>
              <w:t>污染物指标</w:t>
            </w:r>
          </w:p>
        </w:tc>
        <w:tc>
          <w:tcPr>
            <w:tcW w:w="1075" w:type="dxa"/>
            <w:tcBorders>
              <w:tl2br w:val="nil"/>
              <w:tr2bl w:val="nil"/>
            </w:tcBorders>
            <w:vAlign w:val="center"/>
          </w:tcPr>
          <w:p w14:paraId="5130A3E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ascii="Times New Roman" w:hAnsi="Times New Roman" w:cs="Times New Roman"/>
                <w:b/>
                <w:bCs/>
                <w:color w:val="auto"/>
                <w:spacing w:val="0"/>
                <w:w w:val="100"/>
                <w:kern w:val="21"/>
                <w:position w:val="0"/>
                <w:sz w:val="21"/>
                <w:szCs w:val="21"/>
              </w:rPr>
            </w:pPr>
            <w:r>
              <w:rPr>
                <w:rStyle w:val="47"/>
                <w:rFonts w:hint="default" w:ascii="Times New Roman" w:hAnsi="Times New Roman" w:cs="Times New Roman"/>
                <w:bCs/>
                <w:color w:val="auto"/>
                <w:spacing w:val="0"/>
                <w:w w:val="100"/>
                <w:kern w:val="21"/>
                <w:position w:val="0"/>
                <w:sz w:val="21"/>
                <w:szCs w:val="21"/>
                <w:lang w:bidi="ar"/>
              </w:rPr>
              <w:t>单位</w:t>
            </w:r>
          </w:p>
        </w:tc>
        <w:tc>
          <w:tcPr>
            <w:tcW w:w="0" w:type="auto"/>
            <w:tcBorders>
              <w:tl2br w:val="nil"/>
              <w:tr2bl w:val="nil"/>
            </w:tcBorders>
            <w:vAlign w:val="center"/>
          </w:tcPr>
          <w:p w14:paraId="558EE5C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top"/>
              <w:rPr>
                <w:rFonts w:hint="default" w:ascii="Times New Roman" w:hAnsi="Times New Roman" w:cs="Times New Roman"/>
                <w:b/>
                <w:bCs/>
                <w:color w:val="auto"/>
                <w:spacing w:val="0"/>
                <w:w w:val="100"/>
                <w:kern w:val="21"/>
                <w:position w:val="0"/>
                <w:sz w:val="21"/>
                <w:szCs w:val="21"/>
              </w:rPr>
            </w:pPr>
            <w:r>
              <w:rPr>
                <w:rStyle w:val="47"/>
                <w:rFonts w:hint="default" w:ascii="Times New Roman" w:hAnsi="Times New Roman" w:cs="Times New Roman"/>
                <w:bCs/>
                <w:color w:val="auto"/>
                <w:spacing w:val="0"/>
                <w:w w:val="100"/>
                <w:kern w:val="21"/>
                <w:position w:val="0"/>
                <w:sz w:val="21"/>
                <w:szCs w:val="21"/>
                <w:lang w:bidi="ar"/>
              </w:rPr>
              <w:t>产污系数</w:t>
            </w:r>
          </w:p>
        </w:tc>
        <w:tc>
          <w:tcPr>
            <w:tcW w:w="748" w:type="dxa"/>
            <w:tcBorders>
              <w:tl2br w:val="nil"/>
              <w:tr2bl w:val="nil"/>
            </w:tcBorders>
            <w:vAlign w:val="center"/>
          </w:tcPr>
          <w:p w14:paraId="6B14488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ascii="Times New Roman" w:hAnsi="Times New Roman" w:cs="Times New Roman"/>
                <w:b/>
                <w:bCs/>
                <w:color w:val="auto"/>
                <w:spacing w:val="0"/>
                <w:w w:val="100"/>
                <w:kern w:val="21"/>
                <w:position w:val="0"/>
                <w:sz w:val="21"/>
                <w:szCs w:val="21"/>
              </w:rPr>
            </w:pPr>
            <w:r>
              <w:rPr>
                <w:rStyle w:val="47"/>
                <w:rFonts w:hint="default" w:ascii="Times New Roman" w:hAnsi="Times New Roman" w:cs="Times New Roman"/>
                <w:bCs/>
                <w:color w:val="auto"/>
                <w:spacing w:val="0"/>
                <w:w w:val="100"/>
                <w:kern w:val="21"/>
                <w:position w:val="0"/>
                <w:sz w:val="21"/>
                <w:szCs w:val="21"/>
                <w:lang w:bidi="ar"/>
              </w:rPr>
              <w:t>末端治理技术名称</w:t>
            </w:r>
          </w:p>
        </w:tc>
        <w:tc>
          <w:tcPr>
            <w:tcW w:w="839" w:type="dxa"/>
            <w:tcBorders>
              <w:tl2br w:val="nil"/>
              <w:tr2bl w:val="nil"/>
            </w:tcBorders>
            <w:vAlign w:val="center"/>
          </w:tcPr>
          <w:p w14:paraId="529CA1F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ascii="Times New Roman" w:hAnsi="Times New Roman" w:cs="Times New Roman"/>
                <w:b/>
                <w:bCs/>
                <w:color w:val="auto"/>
                <w:spacing w:val="0"/>
                <w:w w:val="100"/>
                <w:kern w:val="21"/>
                <w:position w:val="0"/>
                <w:sz w:val="21"/>
                <w:szCs w:val="21"/>
              </w:rPr>
            </w:pPr>
            <w:r>
              <w:rPr>
                <w:rStyle w:val="47"/>
                <w:rFonts w:hint="default" w:ascii="Times New Roman" w:hAnsi="Times New Roman" w:cs="Times New Roman"/>
                <w:bCs/>
                <w:color w:val="auto"/>
                <w:spacing w:val="0"/>
                <w:w w:val="100"/>
                <w:kern w:val="21"/>
                <w:position w:val="0"/>
                <w:sz w:val="21"/>
                <w:szCs w:val="21"/>
                <w:lang w:bidi="ar"/>
              </w:rPr>
              <w:t>去除效率（%）</w:t>
            </w:r>
          </w:p>
        </w:tc>
      </w:tr>
      <w:tr w14:paraId="7E8468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471" w:type="dxa"/>
            <w:vMerge w:val="restart"/>
            <w:tcBorders>
              <w:tl2br w:val="nil"/>
              <w:tr2bl w:val="nil"/>
            </w:tcBorders>
            <w:vAlign w:val="center"/>
          </w:tcPr>
          <w:p w14:paraId="5FD1400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spacing w:val="0"/>
                <w:w w:val="100"/>
                <w:kern w:val="21"/>
                <w:position w:val="0"/>
                <w:sz w:val="21"/>
                <w:szCs w:val="21"/>
                <w:lang w:eastAsia="zh-CN" w:bidi="ar"/>
              </w:rPr>
            </w:pPr>
            <w:r>
              <w:rPr>
                <w:rStyle w:val="48"/>
                <w:rFonts w:hint="default" w:ascii="Times New Roman" w:hAnsi="Times New Roman" w:cs="Times New Roman"/>
                <w:color w:val="auto"/>
                <w:spacing w:val="0"/>
                <w:w w:val="100"/>
                <w:kern w:val="21"/>
                <w:position w:val="0"/>
                <w:sz w:val="21"/>
                <w:szCs w:val="21"/>
                <w:lang w:val="en-US" w:eastAsia="zh-CN" w:bidi="ar"/>
              </w:rPr>
              <w:t>/</w:t>
            </w:r>
          </w:p>
        </w:tc>
        <w:tc>
          <w:tcPr>
            <w:tcW w:w="585" w:type="dxa"/>
            <w:vMerge w:val="restart"/>
            <w:tcBorders>
              <w:tl2br w:val="nil"/>
              <w:tr2bl w:val="nil"/>
            </w:tcBorders>
            <w:vAlign w:val="center"/>
          </w:tcPr>
          <w:p w14:paraId="1FF8A38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pacing w:val="0"/>
                <w:w w:val="100"/>
                <w:kern w:val="21"/>
                <w:position w:val="0"/>
                <w:sz w:val="21"/>
                <w:szCs w:val="21"/>
              </w:rPr>
            </w:pPr>
            <w:r>
              <w:rPr>
                <w:rFonts w:hint="default" w:ascii="Times New Roman" w:hAnsi="Times New Roman" w:cs="Times New Roman"/>
                <w:color w:val="auto"/>
                <w:spacing w:val="0"/>
                <w:w w:val="100"/>
                <w:kern w:val="21"/>
                <w:position w:val="0"/>
                <w:sz w:val="21"/>
                <w:szCs w:val="21"/>
              </w:rPr>
              <w:t>塑料板、管、型材</w:t>
            </w:r>
          </w:p>
        </w:tc>
        <w:tc>
          <w:tcPr>
            <w:tcW w:w="1439" w:type="dxa"/>
            <w:vMerge w:val="restart"/>
            <w:tcBorders>
              <w:tl2br w:val="nil"/>
              <w:tr2bl w:val="nil"/>
            </w:tcBorders>
            <w:vAlign w:val="center"/>
          </w:tcPr>
          <w:p w14:paraId="11F169D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pacing w:val="0"/>
                <w:w w:val="100"/>
                <w:kern w:val="21"/>
                <w:position w:val="0"/>
                <w:sz w:val="21"/>
                <w:szCs w:val="21"/>
              </w:rPr>
            </w:pPr>
            <w:r>
              <w:rPr>
                <w:rStyle w:val="48"/>
                <w:rFonts w:hint="default" w:ascii="Times New Roman" w:hAnsi="Times New Roman" w:cs="Times New Roman"/>
                <w:color w:val="auto"/>
                <w:spacing w:val="0"/>
                <w:w w:val="100"/>
                <w:kern w:val="21"/>
                <w:position w:val="0"/>
                <w:sz w:val="21"/>
                <w:szCs w:val="21"/>
                <w:lang w:bidi="ar"/>
              </w:rPr>
              <w:t>树脂、助剂</w:t>
            </w:r>
          </w:p>
        </w:tc>
        <w:tc>
          <w:tcPr>
            <w:tcW w:w="964" w:type="dxa"/>
            <w:vMerge w:val="restart"/>
            <w:tcBorders>
              <w:tl2br w:val="nil"/>
              <w:tr2bl w:val="nil"/>
            </w:tcBorders>
            <w:vAlign w:val="center"/>
          </w:tcPr>
          <w:p w14:paraId="750F493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pacing w:val="0"/>
                <w:w w:val="100"/>
                <w:kern w:val="21"/>
                <w:position w:val="0"/>
                <w:sz w:val="21"/>
                <w:szCs w:val="21"/>
              </w:rPr>
            </w:pPr>
            <w:r>
              <w:rPr>
                <w:rFonts w:hint="default" w:ascii="Times New Roman" w:hAnsi="Times New Roman" w:cs="Times New Roman"/>
                <w:color w:val="auto"/>
                <w:spacing w:val="0"/>
                <w:w w:val="100"/>
                <w:kern w:val="21"/>
                <w:position w:val="0"/>
                <w:sz w:val="21"/>
                <w:szCs w:val="21"/>
              </w:rPr>
              <w:t>配料</w:t>
            </w:r>
            <w:r>
              <w:rPr>
                <w:rFonts w:hint="default" w:ascii="Times New Roman" w:hAnsi="Times New Roman" w:cs="Times New Roman"/>
                <w:color w:val="auto"/>
                <w:spacing w:val="0"/>
                <w:w w:val="100"/>
                <w:kern w:val="21"/>
                <w:position w:val="0"/>
                <w:sz w:val="21"/>
                <w:szCs w:val="21"/>
                <w:lang w:val="en-US" w:eastAsia="zh-CN"/>
              </w:rPr>
              <w:t>-</w:t>
            </w:r>
            <w:r>
              <w:rPr>
                <w:rFonts w:hint="default" w:ascii="Times New Roman" w:hAnsi="Times New Roman" w:cs="Times New Roman"/>
                <w:color w:val="auto"/>
                <w:spacing w:val="0"/>
                <w:w w:val="100"/>
                <w:kern w:val="21"/>
                <w:position w:val="0"/>
                <w:sz w:val="21"/>
                <w:szCs w:val="21"/>
              </w:rPr>
              <w:t>混合</w:t>
            </w:r>
            <w:r>
              <w:rPr>
                <w:rFonts w:hint="default" w:ascii="Times New Roman" w:hAnsi="Times New Roman" w:cs="Times New Roman"/>
                <w:color w:val="auto"/>
                <w:spacing w:val="0"/>
                <w:w w:val="100"/>
                <w:kern w:val="21"/>
                <w:position w:val="0"/>
                <w:sz w:val="21"/>
                <w:szCs w:val="21"/>
                <w:lang w:val="en-US" w:eastAsia="zh-CN"/>
              </w:rPr>
              <w:t>-</w:t>
            </w:r>
            <w:r>
              <w:rPr>
                <w:rFonts w:hint="default" w:ascii="Times New Roman" w:hAnsi="Times New Roman" w:cs="Times New Roman"/>
                <w:color w:val="auto"/>
                <w:spacing w:val="0"/>
                <w:w w:val="100"/>
                <w:kern w:val="21"/>
                <w:position w:val="0"/>
                <w:sz w:val="21"/>
                <w:szCs w:val="21"/>
              </w:rPr>
              <w:t>挤出</w:t>
            </w:r>
          </w:p>
        </w:tc>
        <w:tc>
          <w:tcPr>
            <w:tcW w:w="605" w:type="dxa"/>
            <w:vMerge w:val="restart"/>
            <w:tcBorders>
              <w:tl2br w:val="nil"/>
              <w:tr2bl w:val="nil"/>
            </w:tcBorders>
            <w:vAlign w:val="center"/>
          </w:tcPr>
          <w:p w14:paraId="4592F8E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pacing w:val="0"/>
                <w:w w:val="100"/>
                <w:kern w:val="21"/>
                <w:position w:val="0"/>
                <w:sz w:val="21"/>
                <w:szCs w:val="21"/>
                <w:lang w:bidi="ar"/>
              </w:rPr>
            </w:pPr>
            <w:r>
              <w:rPr>
                <w:rStyle w:val="48"/>
                <w:rFonts w:hint="default" w:ascii="Times New Roman" w:hAnsi="Times New Roman" w:cs="Times New Roman"/>
                <w:color w:val="auto"/>
                <w:spacing w:val="0"/>
                <w:w w:val="100"/>
                <w:kern w:val="21"/>
                <w:position w:val="0"/>
                <w:sz w:val="21"/>
                <w:szCs w:val="21"/>
                <w:lang w:bidi="ar"/>
              </w:rPr>
              <w:t>所有规模</w:t>
            </w:r>
          </w:p>
        </w:tc>
        <w:tc>
          <w:tcPr>
            <w:tcW w:w="425" w:type="dxa"/>
            <w:vMerge w:val="restart"/>
            <w:tcBorders>
              <w:tl2br w:val="nil"/>
              <w:tr2bl w:val="nil"/>
            </w:tcBorders>
            <w:vAlign w:val="center"/>
          </w:tcPr>
          <w:p w14:paraId="702F565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pacing w:val="0"/>
                <w:w w:val="100"/>
                <w:kern w:val="21"/>
                <w:position w:val="0"/>
                <w:sz w:val="21"/>
                <w:szCs w:val="21"/>
              </w:rPr>
            </w:pPr>
            <w:r>
              <w:rPr>
                <w:rFonts w:hint="default" w:ascii="Times New Roman" w:hAnsi="Times New Roman" w:cs="Times New Roman"/>
                <w:color w:val="auto"/>
                <w:spacing w:val="0"/>
                <w:w w:val="100"/>
                <w:kern w:val="21"/>
                <w:position w:val="0"/>
                <w:sz w:val="21"/>
                <w:szCs w:val="21"/>
              </w:rPr>
              <w:t>废气</w:t>
            </w:r>
          </w:p>
        </w:tc>
        <w:tc>
          <w:tcPr>
            <w:tcW w:w="787" w:type="dxa"/>
            <w:tcBorders>
              <w:tl2br w:val="nil"/>
              <w:tr2bl w:val="nil"/>
            </w:tcBorders>
            <w:vAlign w:val="center"/>
          </w:tcPr>
          <w:p w14:paraId="1A2B14A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pacing w:val="0"/>
                <w:w w:val="100"/>
                <w:kern w:val="21"/>
                <w:position w:val="0"/>
                <w:sz w:val="21"/>
                <w:szCs w:val="21"/>
                <w:lang w:bidi="ar"/>
              </w:rPr>
            </w:pPr>
            <w:r>
              <w:rPr>
                <w:rStyle w:val="48"/>
                <w:rFonts w:hint="default" w:ascii="Times New Roman" w:hAnsi="Times New Roman" w:cs="Times New Roman"/>
                <w:color w:val="auto"/>
                <w:spacing w:val="0"/>
                <w:w w:val="100"/>
                <w:kern w:val="21"/>
                <w:position w:val="0"/>
                <w:sz w:val="21"/>
                <w:szCs w:val="21"/>
                <w:lang w:bidi="ar"/>
              </w:rPr>
              <w:t>颗粒物</w:t>
            </w:r>
          </w:p>
        </w:tc>
        <w:tc>
          <w:tcPr>
            <w:tcW w:w="1075" w:type="dxa"/>
            <w:tcBorders>
              <w:tl2br w:val="nil"/>
              <w:tr2bl w:val="nil"/>
            </w:tcBorders>
            <w:vAlign w:val="center"/>
          </w:tcPr>
          <w:p w14:paraId="359CC29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spacing w:val="0"/>
                <w:w w:val="100"/>
                <w:kern w:val="21"/>
                <w:position w:val="0"/>
                <w:sz w:val="21"/>
                <w:szCs w:val="21"/>
                <w:lang w:val="en-US" w:eastAsia="zh-CN" w:bidi="ar"/>
              </w:rPr>
            </w:pPr>
            <w:r>
              <w:rPr>
                <w:rStyle w:val="48"/>
                <w:rFonts w:hint="default" w:ascii="Times New Roman" w:hAnsi="Times New Roman" w:cs="Times New Roman"/>
                <w:color w:val="auto"/>
                <w:spacing w:val="0"/>
                <w:w w:val="100"/>
                <w:kern w:val="21"/>
                <w:position w:val="0"/>
                <w:sz w:val="21"/>
                <w:szCs w:val="21"/>
                <w:lang w:bidi="ar"/>
              </w:rPr>
              <w:t>千克/吨－</w:t>
            </w:r>
            <w:r>
              <w:rPr>
                <w:rStyle w:val="48"/>
                <w:rFonts w:hint="default" w:ascii="Times New Roman" w:hAnsi="Times New Roman" w:cs="Times New Roman"/>
                <w:color w:val="auto"/>
                <w:spacing w:val="0"/>
                <w:w w:val="100"/>
                <w:kern w:val="21"/>
                <w:position w:val="0"/>
                <w:sz w:val="21"/>
                <w:szCs w:val="21"/>
                <w:lang w:val="en-US" w:eastAsia="zh-CN" w:bidi="ar"/>
              </w:rPr>
              <w:t>产品</w:t>
            </w:r>
          </w:p>
        </w:tc>
        <w:tc>
          <w:tcPr>
            <w:tcW w:w="0" w:type="auto"/>
            <w:tcBorders>
              <w:tl2br w:val="nil"/>
              <w:tr2bl w:val="nil"/>
            </w:tcBorders>
            <w:vAlign w:val="center"/>
          </w:tcPr>
          <w:p w14:paraId="6E3306A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spacing w:val="0"/>
                <w:w w:val="100"/>
                <w:kern w:val="21"/>
                <w:position w:val="0"/>
                <w:sz w:val="21"/>
                <w:szCs w:val="21"/>
                <w:lang w:val="en-US" w:eastAsia="zh-CN" w:bidi="ar"/>
              </w:rPr>
            </w:pPr>
            <w:r>
              <w:rPr>
                <w:rStyle w:val="49"/>
                <w:rFonts w:hint="default" w:ascii="Times New Roman" w:hAnsi="Times New Roman" w:cs="Times New Roman"/>
                <w:color w:val="auto"/>
                <w:spacing w:val="0"/>
                <w:w w:val="100"/>
                <w:kern w:val="21"/>
                <w:position w:val="0"/>
                <w:sz w:val="21"/>
                <w:szCs w:val="21"/>
                <w:lang w:val="en-US" w:eastAsia="zh-CN" w:bidi="ar"/>
              </w:rPr>
              <w:t>6.00</w:t>
            </w:r>
          </w:p>
        </w:tc>
        <w:tc>
          <w:tcPr>
            <w:tcW w:w="748" w:type="dxa"/>
            <w:tcBorders>
              <w:tl2br w:val="nil"/>
              <w:tr2bl w:val="nil"/>
            </w:tcBorders>
            <w:vAlign w:val="center"/>
          </w:tcPr>
          <w:p w14:paraId="519EFA9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pacing w:val="0"/>
                <w:w w:val="100"/>
                <w:kern w:val="21"/>
                <w:position w:val="0"/>
                <w:sz w:val="21"/>
                <w:szCs w:val="21"/>
              </w:rPr>
            </w:pPr>
            <w:r>
              <w:rPr>
                <w:rFonts w:hint="default" w:ascii="Times New Roman" w:hAnsi="Times New Roman" w:cs="Times New Roman"/>
                <w:color w:val="auto"/>
                <w:spacing w:val="0"/>
                <w:w w:val="100"/>
                <w:kern w:val="21"/>
                <w:position w:val="0"/>
                <w:sz w:val="21"/>
                <w:szCs w:val="21"/>
              </w:rPr>
              <w:t>袋式除尘</w:t>
            </w:r>
          </w:p>
        </w:tc>
        <w:tc>
          <w:tcPr>
            <w:tcW w:w="839" w:type="dxa"/>
            <w:tcBorders>
              <w:tl2br w:val="nil"/>
              <w:tr2bl w:val="nil"/>
            </w:tcBorders>
            <w:vAlign w:val="center"/>
          </w:tcPr>
          <w:p w14:paraId="4DC1C4D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pacing w:val="0"/>
                <w:w w:val="100"/>
                <w:kern w:val="21"/>
                <w:position w:val="0"/>
                <w:sz w:val="21"/>
                <w:szCs w:val="21"/>
                <w:lang w:bidi="ar"/>
              </w:rPr>
            </w:pPr>
            <w:r>
              <w:rPr>
                <w:rFonts w:hint="default" w:ascii="Times New Roman" w:hAnsi="Times New Roman" w:cs="Times New Roman"/>
                <w:color w:val="auto"/>
                <w:spacing w:val="0"/>
                <w:w w:val="100"/>
                <w:kern w:val="21"/>
                <w:position w:val="0"/>
                <w:sz w:val="21"/>
                <w:szCs w:val="21"/>
              </w:rPr>
              <w:t>99</w:t>
            </w:r>
          </w:p>
        </w:tc>
      </w:tr>
      <w:tr w14:paraId="7464DB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471" w:type="dxa"/>
            <w:vMerge w:val="continue"/>
            <w:tcBorders>
              <w:tl2br w:val="nil"/>
              <w:tr2bl w:val="nil"/>
            </w:tcBorders>
            <w:vAlign w:val="center"/>
          </w:tcPr>
          <w:p w14:paraId="0C3878D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Style w:val="48"/>
                <w:rFonts w:hint="default" w:ascii="Times New Roman" w:hAnsi="Times New Roman" w:cs="Times New Roman"/>
                <w:color w:val="auto"/>
                <w:spacing w:val="0"/>
                <w:w w:val="100"/>
                <w:kern w:val="21"/>
                <w:position w:val="0"/>
                <w:sz w:val="21"/>
                <w:szCs w:val="21"/>
                <w:lang w:val="en-US" w:eastAsia="zh-CN" w:bidi="ar"/>
              </w:rPr>
            </w:pPr>
          </w:p>
        </w:tc>
        <w:tc>
          <w:tcPr>
            <w:tcW w:w="585" w:type="dxa"/>
            <w:vMerge w:val="continue"/>
            <w:tcBorders>
              <w:tl2br w:val="nil"/>
              <w:tr2bl w:val="nil"/>
            </w:tcBorders>
            <w:vAlign w:val="center"/>
          </w:tcPr>
          <w:p w14:paraId="31149CF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pacing w:val="0"/>
                <w:w w:val="100"/>
                <w:kern w:val="21"/>
                <w:position w:val="0"/>
                <w:sz w:val="21"/>
                <w:szCs w:val="21"/>
              </w:rPr>
            </w:pPr>
          </w:p>
        </w:tc>
        <w:tc>
          <w:tcPr>
            <w:tcW w:w="1439" w:type="dxa"/>
            <w:vMerge w:val="continue"/>
            <w:tcBorders>
              <w:tl2br w:val="nil"/>
              <w:tr2bl w:val="nil"/>
            </w:tcBorders>
            <w:vAlign w:val="center"/>
          </w:tcPr>
          <w:p w14:paraId="5D96648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Style w:val="48"/>
                <w:rFonts w:hint="default" w:ascii="Times New Roman" w:hAnsi="Times New Roman" w:cs="Times New Roman"/>
                <w:color w:val="auto"/>
                <w:spacing w:val="0"/>
                <w:w w:val="100"/>
                <w:kern w:val="21"/>
                <w:position w:val="0"/>
                <w:sz w:val="21"/>
                <w:szCs w:val="21"/>
                <w:lang w:bidi="ar"/>
              </w:rPr>
            </w:pPr>
          </w:p>
        </w:tc>
        <w:tc>
          <w:tcPr>
            <w:tcW w:w="964" w:type="dxa"/>
            <w:vMerge w:val="continue"/>
            <w:tcBorders>
              <w:tl2br w:val="nil"/>
              <w:tr2bl w:val="nil"/>
            </w:tcBorders>
            <w:vAlign w:val="center"/>
          </w:tcPr>
          <w:p w14:paraId="65BD023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pacing w:val="0"/>
                <w:w w:val="100"/>
                <w:kern w:val="21"/>
                <w:position w:val="0"/>
                <w:sz w:val="21"/>
                <w:szCs w:val="21"/>
              </w:rPr>
            </w:pPr>
          </w:p>
        </w:tc>
        <w:tc>
          <w:tcPr>
            <w:tcW w:w="605" w:type="dxa"/>
            <w:vMerge w:val="continue"/>
            <w:tcBorders>
              <w:tl2br w:val="nil"/>
              <w:tr2bl w:val="nil"/>
            </w:tcBorders>
            <w:vAlign w:val="center"/>
          </w:tcPr>
          <w:p w14:paraId="59795F6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Style w:val="48"/>
                <w:rFonts w:hint="default" w:ascii="Times New Roman" w:hAnsi="Times New Roman" w:cs="Times New Roman"/>
                <w:color w:val="auto"/>
                <w:spacing w:val="0"/>
                <w:w w:val="100"/>
                <w:kern w:val="21"/>
                <w:position w:val="0"/>
                <w:sz w:val="21"/>
                <w:szCs w:val="21"/>
                <w:lang w:bidi="ar"/>
              </w:rPr>
            </w:pPr>
          </w:p>
        </w:tc>
        <w:tc>
          <w:tcPr>
            <w:tcW w:w="425" w:type="dxa"/>
            <w:vMerge w:val="continue"/>
            <w:tcBorders>
              <w:tl2br w:val="nil"/>
              <w:tr2bl w:val="nil"/>
            </w:tcBorders>
            <w:vAlign w:val="center"/>
          </w:tcPr>
          <w:p w14:paraId="486EE6E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pacing w:val="0"/>
                <w:w w:val="100"/>
                <w:kern w:val="21"/>
                <w:position w:val="0"/>
                <w:sz w:val="21"/>
                <w:szCs w:val="21"/>
              </w:rPr>
            </w:pPr>
          </w:p>
        </w:tc>
        <w:tc>
          <w:tcPr>
            <w:tcW w:w="787" w:type="dxa"/>
            <w:tcBorders>
              <w:tl2br w:val="nil"/>
              <w:tr2bl w:val="nil"/>
            </w:tcBorders>
            <w:vAlign w:val="center"/>
          </w:tcPr>
          <w:p w14:paraId="08AE7FE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Style w:val="48"/>
                <w:rFonts w:hint="default" w:ascii="Times New Roman" w:hAnsi="Times New Roman" w:eastAsia="宋体" w:cs="Times New Roman"/>
                <w:color w:val="auto"/>
                <w:spacing w:val="0"/>
                <w:w w:val="100"/>
                <w:kern w:val="21"/>
                <w:position w:val="0"/>
                <w:sz w:val="21"/>
                <w:szCs w:val="21"/>
                <w:lang w:val="en-US" w:eastAsia="zh-CN" w:bidi="ar"/>
              </w:rPr>
            </w:pPr>
            <w:r>
              <w:rPr>
                <w:rStyle w:val="48"/>
                <w:rFonts w:hint="default" w:ascii="Times New Roman" w:hAnsi="Times New Roman" w:cs="Times New Roman"/>
                <w:color w:val="auto"/>
                <w:spacing w:val="0"/>
                <w:w w:val="100"/>
                <w:kern w:val="21"/>
                <w:position w:val="0"/>
                <w:sz w:val="21"/>
                <w:szCs w:val="21"/>
                <w:lang w:val="en-US" w:eastAsia="zh-CN" w:bidi="ar"/>
              </w:rPr>
              <w:t>挥发性有机物</w:t>
            </w:r>
          </w:p>
        </w:tc>
        <w:tc>
          <w:tcPr>
            <w:tcW w:w="1075" w:type="dxa"/>
            <w:tcBorders>
              <w:tl2br w:val="nil"/>
              <w:tr2bl w:val="nil"/>
            </w:tcBorders>
            <w:vAlign w:val="center"/>
          </w:tcPr>
          <w:p w14:paraId="518EBBB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Style w:val="48"/>
                <w:rFonts w:hint="default" w:ascii="Times New Roman" w:hAnsi="Times New Roman" w:cs="Times New Roman"/>
                <w:color w:val="auto"/>
                <w:spacing w:val="0"/>
                <w:w w:val="100"/>
                <w:kern w:val="21"/>
                <w:position w:val="0"/>
                <w:sz w:val="21"/>
                <w:szCs w:val="21"/>
                <w:lang w:bidi="ar"/>
              </w:rPr>
            </w:pPr>
            <w:r>
              <w:rPr>
                <w:rStyle w:val="48"/>
                <w:rFonts w:hint="default" w:ascii="Times New Roman" w:hAnsi="Times New Roman" w:cs="Times New Roman"/>
                <w:color w:val="auto"/>
                <w:spacing w:val="0"/>
                <w:w w:val="100"/>
                <w:kern w:val="21"/>
                <w:position w:val="0"/>
                <w:sz w:val="21"/>
                <w:szCs w:val="21"/>
                <w:lang w:bidi="ar"/>
              </w:rPr>
              <w:t>千克/吨－</w:t>
            </w:r>
            <w:r>
              <w:rPr>
                <w:rStyle w:val="48"/>
                <w:rFonts w:hint="default" w:ascii="Times New Roman" w:hAnsi="Times New Roman" w:cs="Times New Roman"/>
                <w:color w:val="auto"/>
                <w:spacing w:val="0"/>
                <w:w w:val="100"/>
                <w:kern w:val="21"/>
                <w:position w:val="0"/>
                <w:sz w:val="21"/>
                <w:szCs w:val="21"/>
                <w:lang w:val="en-US" w:eastAsia="zh-CN" w:bidi="ar"/>
              </w:rPr>
              <w:t>产品</w:t>
            </w:r>
          </w:p>
        </w:tc>
        <w:tc>
          <w:tcPr>
            <w:tcW w:w="0" w:type="auto"/>
            <w:tcBorders>
              <w:tl2br w:val="nil"/>
              <w:tr2bl w:val="nil"/>
            </w:tcBorders>
            <w:vAlign w:val="center"/>
          </w:tcPr>
          <w:p w14:paraId="491F635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Style w:val="49"/>
                <w:rFonts w:hint="default" w:ascii="Times New Roman" w:hAnsi="Times New Roman" w:eastAsia="宋体" w:cs="Times New Roman"/>
                <w:color w:val="auto"/>
                <w:spacing w:val="0"/>
                <w:w w:val="100"/>
                <w:kern w:val="21"/>
                <w:position w:val="0"/>
                <w:sz w:val="21"/>
                <w:szCs w:val="21"/>
                <w:lang w:val="en-US" w:eastAsia="zh-CN" w:bidi="ar"/>
              </w:rPr>
            </w:pPr>
            <w:r>
              <w:rPr>
                <w:rStyle w:val="49"/>
                <w:rFonts w:hint="default" w:ascii="Times New Roman" w:hAnsi="Times New Roman" w:cs="Times New Roman"/>
                <w:color w:val="auto"/>
                <w:spacing w:val="0"/>
                <w:w w:val="100"/>
                <w:kern w:val="21"/>
                <w:position w:val="0"/>
                <w:sz w:val="21"/>
                <w:szCs w:val="21"/>
                <w:lang w:val="en-US" w:eastAsia="zh-CN" w:bidi="ar"/>
              </w:rPr>
              <w:t>1.50</w:t>
            </w:r>
          </w:p>
        </w:tc>
        <w:tc>
          <w:tcPr>
            <w:tcW w:w="748" w:type="dxa"/>
            <w:tcBorders>
              <w:tl2br w:val="nil"/>
              <w:tr2bl w:val="nil"/>
            </w:tcBorders>
            <w:vAlign w:val="center"/>
          </w:tcPr>
          <w:p w14:paraId="14BA28E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spacing w:val="0"/>
                <w:w w:val="100"/>
                <w:kern w:val="21"/>
                <w:position w:val="0"/>
                <w:sz w:val="21"/>
                <w:szCs w:val="21"/>
                <w:lang w:val="en-US" w:eastAsia="zh-CN"/>
              </w:rPr>
            </w:pPr>
            <w:r>
              <w:rPr>
                <w:rFonts w:hint="eastAsia"/>
                <w:color w:val="auto"/>
                <w:spacing w:val="0"/>
                <w:sz w:val="21"/>
                <w:szCs w:val="21"/>
                <w:lang w:val="en-US" w:eastAsia="zh-CN"/>
              </w:rPr>
              <w:t>活性炭吸附脱附+催化燃烧</w:t>
            </w:r>
          </w:p>
        </w:tc>
        <w:tc>
          <w:tcPr>
            <w:tcW w:w="839" w:type="dxa"/>
            <w:tcBorders>
              <w:tl2br w:val="nil"/>
              <w:tr2bl w:val="nil"/>
            </w:tcBorders>
            <w:vAlign w:val="center"/>
          </w:tcPr>
          <w:p w14:paraId="18063A2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spacing w:val="0"/>
                <w:w w:val="100"/>
                <w:kern w:val="21"/>
                <w:position w:val="0"/>
                <w:sz w:val="21"/>
                <w:szCs w:val="21"/>
                <w:lang w:val="en-US" w:eastAsia="zh-CN"/>
              </w:rPr>
            </w:pPr>
            <w:r>
              <w:rPr>
                <w:rFonts w:hint="eastAsia" w:cs="Times New Roman"/>
                <w:color w:val="auto"/>
                <w:spacing w:val="0"/>
                <w:w w:val="100"/>
                <w:kern w:val="21"/>
                <w:position w:val="0"/>
                <w:sz w:val="21"/>
                <w:szCs w:val="21"/>
                <w:lang w:val="en-US" w:eastAsia="zh-CN"/>
              </w:rPr>
              <w:t>60</w:t>
            </w:r>
          </w:p>
        </w:tc>
      </w:tr>
    </w:tbl>
    <w:p w14:paraId="097143A9">
      <w:pPr>
        <w:keepNext w:val="0"/>
        <w:keepLines w:val="0"/>
        <w:pageBreakBefore w:val="0"/>
        <w:widowControl w:val="0"/>
        <w:tabs>
          <w:tab w:val="left" w:pos="5154"/>
        </w:tabs>
        <w:kinsoku/>
        <w:wordWrap/>
        <w:overflowPunct/>
        <w:topLinePunct w:val="0"/>
        <w:autoSpaceDE/>
        <w:autoSpaceDN/>
        <w:bidi w:val="0"/>
        <w:ind w:firstLine="480"/>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项目年产120万平方米铝塑板，约有4620吨（以原料不损耗计）PE芯板挤出，则混料搅拌工序粉尘产生量约为27.72t/a，挤出成型工序非甲烷总烃产生量为6.93t/a。混料搅拌粉尘经集气管道收集至布袋除尘器处理后通过1根15m高排气筒（DA001）排放，</w:t>
      </w:r>
      <w:r>
        <w:rPr>
          <w:color w:val="auto"/>
          <w:spacing w:val="0"/>
          <w:w w:val="100"/>
          <w:kern w:val="21"/>
          <w:position w:val="0"/>
          <w:szCs w:val="24"/>
        </w:rPr>
        <w:t>参考《关于印发〈主要污染物总量减排核算技术指南（2022年修订）〉的通知》（环办综合函〔2022〕350号）中废气收集效率，集气效率按9</w:t>
      </w:r>
      <w:r>
        <w:rPr>
          <w:rFonts w:hint="eastAsia"/>
          <w:color w:val="auto"/>
          <w:spacing w:val="0"/>
          <w:w w:val="100"/>
          <w:kern w:val="21"/>
          <w:position w:val="0"/>
          <w:szCs w:val="24"/>
          <w:lang w:val="en-US" w:eastAsia="zh-CN"/>
        </w:rPr>
        <w:t>5</w:t>
      </w:r>
      <w:r>
        <w:rPr>
          <w:color w:val="auto"/>
          <w:spacing w:val="0"/>
          <w:w w:val="100"/>
          <w:kern w:val="21"/>
          <w:position w:val="0"/>
          <w:szCs w:val="24"/>
        </w:rPr>
        <w:t>%计，</w:t>
      </w:r>
      <w:r>
        <w:rPr>
          <w:rFonts w:hint="eastAsia"/>
          <w:color w:val="auto"/>
          <w:spacing w:val="0"/>
          <w:w w:val="100"/>
          <w:position w:val="0"/>
          <w:highlight w:val="none"/>
          <w:lang w:val="en-US" w:eastAsia="zh-CN"/>
        </w:rPr>
        <w:t>风机设计风量10000m</w:t>
      </w:r>
      <w:r>
        <w:rPr>
          <w:rFonts w:hint="eastAsia"/>
          <w:color w:val="auto"/>
          <w:spacing w:val="0"/>
          <w:w w:val="100"/>
          <w:position w:val="0"/>
          <w:highlight w:val="none"/>
          <w:vertAlign w:val="superscript"/>
          <w:lang w:val="en-US" w:eastAsia="zh-CN"/>
        </w:rPr>
        <w:t>3</w:t>
      </w:r>
      <w:r>
        <w:rPr>
          <w:rFonts w:hint="eastAsia"/>
          <w:color w:val="auto"/>
          <w:spacing w:val="0"/>
          <w:w w:val="100"/>
          <w:position w:val="0"/>
          <w:highlight w:val="none"/>
          <w:lang w:val="en-US" w:eastAsia="zh-CN"/>
        </w:rPr>
        <w:t>/h，混料搅拌粉尘有组织收集量为26.334t/a，布袋除尘器处理效率按99%计，则混料搅拌粉尘有组织排放量为0.263t/a；挤出成型工序非甲烷总烃经集气罩收集至“活性炭吸附脱附+催化燃烧装置”处理后经15m排气筒排放（DA002），</w:t>
      </w:r>
      <w:r>
        <w:rPr>
          <w:color w:val="auto"/>
          <w:spacing w:val="0"/>
          <w:w w:val="100"/>
          <w:kern w:val="21"/>
          <w:position w:val="0"/>
          <w:szCs w:val="24"/>
        </w:rPr>
        <w:t>参考《关于印发〈主要污染物总量减排核算技术指南（2022年修订）〉的通知》（环办综合函〔2022〕350号）中废气收集效率，集气效率按</w:t>
      </w:r>
      <w:r>
        <w:rPr>
          <w:rFonts w:hint="eastAsia"/>
          <w:color w:val="auto"/>
          <w:spacing w:val="0"/>
          <w:w w:val="100"/>
          <w:kern w:val="21"/>
          <w:position w:val="0"/>
          <w:szCs w:val="24"/>
          <w:lang w:val="en-US" w:eastAsia="zh-CN"/>
        </w:rPr>
        <w:t>80</w:t>
      </w:r>
      <w:r>
        <w:rPr>
          <w:color w:val="auto"/>
          <w:spacing w:val="0"/>
          <w:w w:val="100"/>
          <w:kern w:val="21"/>
          <w:position w:val="0"/>
          <w:szCs w:val="24"/>
        </w:rPr>
        <w:t>%计</w:t>
      </w:r>
      <w:r>
        <w:rPr>
          <w:color w:val="auto"/>
          <w:spacing w:val="0"/>
          <w:w w:val="100"/>
          <w:kern w:val="21"/>
          <w:position w:val="0"/>
          <w:szCs w:val="24"/>
          <w:highlight w:val="none"/>
        </w:rPr>
        <w:t>，</w:t>
      </w:r>
      <w:r>
        <w:rPr>
          <w:rFonts w:hint="eastAsia"/>
          <w:color w:val="auto"/>
          <w:spacing w:val="0"/>
          <w:w w:val="100"/>
          <w:position w:val="0"/>
          <w:highlight w:val="none"/>
          <w:lang w:val="en-US" w:eastAsia="zh-CN"/>
        </w:rPr>
        <w:t>风机设计风量15000m</w:t>
      </w:r>
      <w:r>
        <w:rPr>
          <w:rFonts w:hint="eastAsia"/>
          <w:color w:val="auto"/>
          <w:spacing w:val="0"/>
          <w:w w:val="100"/>
          <w:position w:val="0"/>
          <w:highlight w:val="none"/>
          <w:vertAlign w:val="superscript"/>
          <w:lang w:val="en-US" w:eastAsia="zh-CN"/>
        </w:rPr>
        <w:t>3</w:t>
      </w:r>
      <w:r>
        <w:rPr>
          <w:rFonts w:hint="eastAsia"/>
          <w:color w:val="auto"/>
          <w:spacing w:val="0"/>
          <w:w w:val="100"/>
          <w:position w:val="0"/>
          <w:highlight w:val="none"/>
          <w:lang w:val="en-US" w:eastAsia="zh-CN"/>
        </w:rPr>
        <w:t>/h，挤出成型非甲烷总烃有组织收集量为5.544t/a，“活性炭吸附脱附+催化燃烧装置”处理效率按60%计，则挤出成型工序非甲烷总烃有组织排放量为2.218t/a。</w:t>
      </w:r>
    </w:p>
    <w:p w14:paraId="35952CC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baseline"/>
        <w:outlineLvl w:val="9"/>
        <w:rPr>
          <w:rFonts w:hint="eastAsia" w:eastAsia="宋体"/>
          <w:color w:val="auto"/>
          <w:spacing w:val="0"/>
          <w:kern w:val="24"/>
          <w:sz w:val="24"/>
          <w:highlight w:val="none"/>
          <w:lang w:val="en-US" w:eastAsia="zh-CN"/>
        </w:rPr>
      </w:pPr>
      <w:r>
        <w:rPr>
          <w:rFonts w:hint="eastAsia" w:eastAsia="宋体"/>
          <w:color w:val="auto"/>
          <w:spacing w:val="0"/>
          <w:kern w:val="24"/>
          <w:sz w:val="24"/>
          <w:highlight w:val="none"/>
          <w:lang w:val="en-US" w:eastAsia="zh-CN"/>
        </w:rPr>
        <w:t>本</w:t>
      </w:r>
      <w:r>
        <w:rPr>
          <w:rFonts w:hint="eastAsia" w:ascii="Times New Roman" w:hAnsi="Times New Roman" w:eastAsia="宋体"/>
          <w:color w:val="auto"/>
          <w:spacing w:val="0"/>
          <w:kern w:val="24"/>
          <w:sz w:val="24"/>
          <w:highlight w:val="none"/>
          <w:lang w:val="en-US" w:eastAsia="zh-CN"/>
        </w:rPr>
        <w:t>项目拟在挤出工序上方设置一套集气罩负压抽风废气收集系统，</w:t>
      </w:r>
      <w:r>
        <w:rPr>
          <w:rFonts w:hint="eastAsia" w:ascii="Times New Roman" w:hAnsi="Times New Roman" w:eastAsia="宋体"/>
          <w:color w:val="auto"/>
          <w:spacing w:val="0"/>
          <w:kern w:val="24"/>
          <w:sz w:val="24"/>
          <w:highlight w:val="none"/>
        </w:rPr>
        <w:t>集气罩设计规格为：</w:t>
      </w:r>
      <w:r>
        <w:rPr>
          <w:rFonts w:hint="eastAsia" w:ascii="Times New Roman" w:hAnsi="Times New Roman" w:eastAsia="宋体"/>
          <w:color w:val="auto"/>
          <w:spacing w:val="0"/>
          <w:kern w:val="24"/>
          <w:sz w:val="24"/>
          <w:highlight w:val="none"/>
          <w:lang w:val="en-US" w:eastAsia="zh-CN"/>
        </w:rPr>
        <w:t>1.3</w:t>
      </w:r>
      <w:r>
        <w:rPr>
          <w:rFonts w:hint="eastAsia" w:ascii="Times New Roman" w:hAnsi="Times New Roman" w:eastAsia="宋体"/>
          <w:color w:val="auto"/>
          <w:spacing w:val="0"/>
          <w:kern w:val="24"/>
          <w:sz w:val="24"/>
          <w:highlight w:val="none"/>
        </w:rPr>
        <w:t>m</w:t>
      </w:r>
      <w:r>
        <w:rPr>
          <w:rFonts w:hint="default" w:ascii="Times New Roman" w:hAnsi="Times New Roman" w:eastAsia="宋体"/>
          <w:color w:val="auto"/>
          <w:spacing w:val="0"/>
          <w:kern w:val="24"/>
          <w:sz w:val="24"/>
          <w:highlight w:val="none"/>
        </w:rPr>
        <w:t>×</w:t>
      </w:r>
      <w:r>
        <w:rPr>
          <w:rFonts w:hint="eastAsia" w:ascii="Times New Roman" w:hAnsi="Times New Roman" w:eastAsia="宋体"/>
          <w:color w:val="auto"/>
          <w:spacing w:val="0"/>
          <w:kern w:val="24"/>
          <w:sz w:val="24"/>
          <w:highlight w:val="none"/>
          <w:lang w:val="en-US" w:eastAsia="zh-CN"/>
        </w:rPr>
        <w:t>2.5</w:t>
      </w:r>
      <w:r>
        <w:rPr>
          <w:rFonts w:hint="eastAsia" w:ascii="Times New Roman" w:hAnsi="Times New Roman" w:eastAsia="宋体"/>
          <w:color w:val="auto"/>
          <w:spacing w:val="0"/>
          <w:kern w:val="24"/>
          <w:sz w:val="24"/>
          <w:highlight w:val="none"/>
        </w:rPr>
        <w:t>m，</w:t>
      </w:r>
      <w:r>
        <w:rPr>
          <w:rFonts w:hint="eastAsia" w:ascii="Times New Roman" w:hAnsi="Times New Roman" w:eastAsia="宋体"/>
          <w:color w:val="auto"/>
          <w:spacing w:val="0"/>
          <w:kern w:val="24"/>
          <w:sz w:val="24"/>
          <w:highlight w:val="none"/>
          <w:lang w:val="en-US" w:eastAsia="zh-CN"/>
        </w:rPr>
        <w:t>集气罩两侧设置围挡，</w:t>
      </w:r>
      <w:r>
        <w:rPr>
          <w:rFonts w:ascii="Times New Roman" w:hAnsi="Times New Roman" w:eastAsia="宋体"/>
          <w:color w:val="auto"/>
          <w:spacing w:val="0"/>
          <w:kern w:val="24"/>
          <w:sz w:val="24"/>
          <w:highlight w:val="none"/>
        </w:rPr>
        <w:t>根据项目实际治理工程的情况以及结合本项目设备规模，集气罩距</w:t>
      </w:r>
      <w:r>
        <w:rPr>
          <w:rFonts w:eastAsia="宋体"/>
          <w:color w:val="auto"/>
          <w:spacing w:val="0"/>
          <w:kern w:val="24"/>
          <w:sz w:val="24"/>
          <w:highlight w:val="none"/>
        </w:rPr>
        <w:t>离产生源距离均为0.</w:t>
      </w:r>
      <w:r>
        <w:rPr>
          <w:rFonts w:hint="eastAsia" w:eastAsia="宋体"/>
          <w:color w:val="auto"/>
          <w:spacing w:val="0"/>
          <w:kern w:val="24"/>
          <w:sz w:val="24"/>
          <w:highlight w:val="none"/>
          <w:lang w:val="en-US" w:eastAsia="zh-CN"/>
        </w:rPr>
        <w:t>5</w:t>
      </w:r>
      <w:r>
        <w:rPr>
          <w:rFonts w:eastAsia="宋体"/>
          <w:color w:val="auto"/>
          <w:spacing w:val="0"/>
          <w:kern w:val="24"/>
          <w:sz w:val="24"/>
          <w:highlight w:val="none"/>
        </w:rPr>
        <w:t>m，控制风速在0.3m/s以上，</w:t>
      </w:r>
      <w:r>
        <w:rPr>
          <w:rFonts w:hint="eastAsia" w:eastAsia="宋体"/>
          <w:color w:val="auto"/>
          <w:spacing w:val="0"/>
          <w:kern w:val="24"/>
          <w:sz w:val="24"/>
          <w:highlight w:val="none"/>
          <w:lang w:val="en-US" w:eastAsia="zh-CN"/>
        </w:rPr>
        <w:t>本次取0.5m/s，根据《环境工程技术手册-废气处理工程技术手册》（张殿印主编），两侧有围挡的上部伞型集气罩排气风量按下式计算：</w:t>
      </w:r>
    </w:p>
    <w:p w14:paraId="00A41628">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baseline"/>
        <w:outlineLvl w:val="9"/>
        <w:rPr>
          <w:rFonts w:hint="eastAsia" w:eastAsia="宋体"/>
          <w:color w:val="auto"/>
          <w:spacing w:val="0"/>
          <w:kern w:val="24"/>
          <w:sz w:val="24"/>
          <w:highlight w:val="none"/>
          <w:lang w:val="en-US" w:eastAsia="zh-CN"/>
        </w:rPr>
      </w:pPr>
      <w:r>
        <w:rPr>
          <w:rFonts w:hint="eastAsia" w:eastAsia="宋体"/>
          <w:color w:val="auto"/>
          <w:spacing w:val="0"/>
          <w:kern w:val="24"/>
          <w:sz w:val="24"/>
          <w:highlight w:val="none"/>
          <w:lang w:val="en-US" w:eastAsia="zh-CN"/>
        </w:rPr>
        <w:t>Q=（W+B）HVx</w:t>
      </w:r>
    </w:p>
    <w:p w14:paraId="52FDD87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baseline"/>
        <w:outlineLvl w:val="9"/>
        <w:rPr>
          <w:rFonts w:hint="eastAsia" w:eastAsia="宋体"/>
          <w:color w:val="auto"/>
          <w:spacing w:val="0"/>
          <w:kern w:val="24"/>
          <w:sz w:val="24"/>
          <w:highlight w:val="none"/>
          <w:lang w:val="en-US" w:eastAsia="zh-CN"/>
        </w:rPr>
      </w:pPr>
      <w:r>
        <w:rPr>
          <w:rFonts w:hint="eastAsia" w:eastAsia="宋体"/>
          <w:color w:val="auto"/>
          <w:spacing w:val="0"/>
          <w:kern w:val="24"/>
          <w:sz w:val="24"/>
          <w:highlight w:val="none"/>
          <w:lang w:val="en-US" w:eastAsia="zh-CN"/>
        </w:rPr>
        <w:t>式中：Q——收集风量；</w:t>
      </w:r>
    </w:p>
    <w:p w14:paraId="476371FB">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jc w:val="both"/>
        <w:textAlignment w:val="baseline"/>
        <w:outlineLvl w:val="9"/>
        <w:rPr>
          <w:rFonts w:hint="eastAsia" w:eastAsia="宋体"/>
          <w:color w:val="auto"/>
          <w:spacing w:val="0"/>
          <w:kern w:val="24"/>
          <w:sz w:val="24"/>
          <w:highlight w:val="none"/>
          <w:lang w:val="en-US" w:eastAsia="zh-CN"/>
        </w:rPr>
      </w:pPr>
      <w:r>
        <w:rPr>
          <w:rFonts w:hint="eastAsia" w:eastAsia="宋体"/>
          <w:color w:val="auto"/>
          <w:spacing w:val="0"/>
          <w:kern w:val="24"/>
          <w:sz w:val="24"/>
          <w:highlight w:val="none"/>
          <w:lang w:val="en-US" w:eastAsia="zh-CN"/>
        </w:rPr>
        <w:t>H——污染源到罩口距离，本项目取0.5m；</w:t>
      </w:r>
    </w:p>
    <w:p w14:paraId="6C753025">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jc w:val="both"/>
        <w:textAlignment w:val="baseline"/>
        <w:outlineLvl w:val="9"/>
        <w:rPr>
          <w:rFonts w:hint="eastAsia" w:eastAsia="宋体"/>
          <w:color w:val="auto"/>
          <w:spacing w:val="0"/>
          <w:kern w:val="24"/>
          <w:sz w:val="24"/>
          <w:highlight w:val="none"/>
          <w:lang w:val="en-US" w:eastAsia="zh-CN"/>
        </w:rPr>
      </w:pPr>
      <w:r>
        <w:rPr>
          <w:rFonts w:hint="eastAsia" w:eastAsia="宋体"/>
          <w:color w:val="auto"/>
          <w:spacing w:val="0"/>
          <w:kern w:val="24"/>
          <w:sz w:val="24"/>
          <w:highlight w:val="none"/>
          <w:lang w:val="en-US" w:eastAsia="zh-CN"/>
        </w:rPr>
        <w:t>W——罩口长度，</w:t>
      </w:r>
      <w:r>
        <w:rPr>
          <w:rFonts w:hint="eastAsia"/>
          <w:color w:val="auto"/>
          <w:spacing w:val="0"/>
          <w:kern w:val="24"/>
          <w:sz w:val="24"/>
          <w:highlight w:val="none"/>
          <w:lang w:val="en-US" w:eastAsia="zh-CN"/>
        </w:rPr>
        <w:t>2.5</w:t>
      </w:r>
      <w:r>
        <w:rPr>
          <w:rFonts w:hint="eastAsia" w:eastAsia="宋体"/>
          <w:color w:val="auto"/>
          <w:spacing w:val="0"/>
          <w:kern w:val="24"/>
          <w:sz w:val="24"/>
          <w:highlight w:val="none"/>
          <w:lang w:val="en-US" w:eastAsia="zh-CN"/>
        </w:rPr>
        <w:t>m；</w:t>
      </w:r>
    </w:p>
    <w:p w14:paraId="06574273">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jc w:val="both"/>
        <w:textAlignment w:val="baseline"/>
        <w:outlineLvl w:val="9"/>
        <w:rPr>
          <w:rFonts w:hint="eastAsia" w:eastAsia="宋体"/>
          <w:color w:val="auto"/>
          <w:spacing w:val="0"/>
          <w:kern w:val="24"/>
          <w:sz w:val="24"/>
          <w:highlight w:val="none"/>
          <w:lang w:val="en-US" w:eastAsia="zh-CN"/>
        </w:rPr>
      </w:pPr>
      <w:r>
        <w:rPr>
          <w:rFonts w:hint="eastAsia" w:eastAsia="宋体"/>
          <w:color w:val="auto"/>
          <w:spacing w:val="0"/>
          <w:kern w:val="24"/>
          <w:sz w:val="24"/>
          <w:highlight w:val="none"/>
          <w:lang w:val="en-US" w:eastAsia="zh-CN"/>
        </w:rPr>
        <w:t>B——罩口宽度，1</w:t>
      </w:r>
      <w:r>
        <w:rPr>
          <w:rFonts w:hint="eastAsia"/>
          <w:color w:val="auto"/>
          <w:spacing w:val="0"/>
          <w:kern w:val="24"/>
          <w:sz w:val="24"/>
          <w:highlight w:val="none"/>
          <w:lang w:val="en-US" w:eastAsia="zh-CN"/>
        </w:rPr>
        <w:t>.3</w:t>
      </w:r>
      <w:r>
        <w:rPr>
          <w:rFonts w:hint="eastAsia" w:eastAsia="宋体"/>
          <w:color w:val="auto"/>
          <w:spacing w:val="0"/>
          <w:kern w:val="24"/>
          <w:sz w:val="24"/>
          <w:highlight w:val="none"/>
          <w:lang w:val="en-US" w:eastAsia="zh-CN"/>
        </w:rPr>
        <w:t>m；</w:t>
      </w:r>
    </w:p>
    <w:p w14:paraId="7245B0AA">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jc w:val="both"/>
        <w:textAlignment w:val="baseline"/>
        <w:outlineLvl w:val="9"/>
        <w:rPr>
          <w:rFonts w:hint="eastAsia" w:eastAsia="宋体"/>
          <w:color w:val="auto"/>
          <w:spacing w:val="0"/>
          <w:kern w:val="24"/>
          <w:sz w:val="24"/>
          <w:highlight w:val="none"/>
          <w:lang w:val="en-US" w:eastAsia="zh-CN"/>
        </w:rPr>
      </w:pPr>
      <w:r>
        <w:rPr>
          <w:rFonts w:hint="eastAsia" w:eastAsia="宋体"/>
          <w:color w:val="auto"/>
          <w:spacing w:val="0"/>
          <w:kern w:val="24"/>
          <w:sz w:val="24"/>
          <w:highlight w:val="none"/>
          <w:lang w:val="en-US" w:eastAsia="zh-CN"/>
        </w:rPr>
        <w:t>Vx——控制吸入速度，取0.5m/s计算。</w:t>
      </w:r>
    </w:p>
    <w:p w14:paraId="7681247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baseline"/>
        <w:outlineLvl w:val="9"/>
        <w:rPr>
          <w:color w:val="auto"/>
          <w:spacing w:val="0"/>
          <w:kern w:val="24"/>
          <w:sz w:val="24"/>
          <w:highlight w:val="none"/>
        </w:rPr>
      </w:pPr>
      <w:r>
        <w:rPr>
          <w:rFonts w:hint="eastAsia" w:eastAsia="宋体"/>
          <w:color w:val="auto"/>
          <w:spacing w:val="0"/>
          <w:kern w:val="24"/>
          <w:sz w:val="24"/>
          <w:highlight w:val="none"/>
        </w:rPr>
        <w:t>计算得集气罩需要排风量约为</w:t>
      </w:r>
      <w:r>
        <w:rPr>
          <w:rFonts w:hint="eastAsia"/>
          <w:color w:val="auto"/>
          <w:spacing w:val="0"/>
          <w:kern w:val="24"/>
          <w:sz w:val="24"/>
          <w:highlight w:val="none"/>
          <w:lang w:val="en-US" w:eastAsia="zh-CN"/>
        </w:rPr>
        <w:t>0.95</w:t>
      </w:r>
      <w:r>
        <w:rPr>
          <w:rFonts w:hint="eastAsia" w:eastAsia="宋体"/>
          <w:color w:val="auto"/>
          <w:spacing w:val="0"/>
          <w:kern w:val="24"/>
          <w:sz w:val="24"/>
          <w:highlight w:val="none"/>
        </w:rPr>
        <w:t>m</w:t>
      </w:r>
      <w:r>
        <w:rPr>
          <w:rFonts w:hint="eastAsia" w:eastAsia="宋体"/>
          <w:color w:val="auto"/>
          <w:spacing w:val="0"/>
          <w:kern w:val="24"/>
          <w:sz w:val="24"/>
          <w:highlight w:val="none"/>
          <w:vertAlign w:val="superscript"/>
        </w:rPr>
        <w:t>3</w:t>
      </w:r>
      <w:r>
        <w:rPr>
          <w:rFonts w:hint="eastAsia" w:eastAsia="宋体"/>
          <w:color w:val="auto"/>
          <w:spacing w:val="0"/>
          <w:kern w:val="24"/>
          <w:sz w:val="24"/>
          <w:highlight w:val="none"/>
        </w:rPr>
        <w:t>/s，即</w:t>
      </w:r>
      <w:r>
        <w:rPr>
          <w:rFonts w:hint="eastAsia"/>
          <w:color w:val="auto"/>
          <w:spacing w:val="0"/>
          <w:kern w:val="24"/>
          <w:sz w:val="24"/>
          <w:highlight w:val="none"/>
          <w:lang w:val="en-US" w:eastAsia="zh-CN"/>
        </w:rPr>
        <w:t>3420</w:t>
      </w:r>
      <w:r>
        <w:rPr>
          <w:rFonts w:hint="eastAsia" w:eastAsia="宋体"/>
          <w:color w:val="auto"/>
          <w:spacing w:val="0"/>
          <w:kern w:val="24"/>
          <w:sz w:val="24"/>
          <w:highlight w:val="none"/>
        </w:rPr>
        <w:t>m</w:t>
      </w:r>
      <w:r>
        <w:rPr>
          <w:rFonts w:hint="eastAsia" w:eastAsia="宋体"/>
          <w:color w:val="auto"/>
          <w:spacing w:val="0"/>
          <w:kern w:val="24"/>
          <w:sz w:val="24"/>
          <w:highlight w:val="none"/>
          <w:vertAlign w:val="superscript"/>
        </w:rPr>
        <w:t>3</w:t>
      </w:r>
      <w:r>
        <w:rPr>
          <w:rFonts w:hint="eastAsia" w:eastAsia="宋体"/>
          <w:color w:val="auto"/>
          <w:spacing w:val="0"/>
          <w:kern w:val="24"/>
          <w:sz w:val="24"/>
          <w:highlight w:val="none"/>
        </w:rPr>
        <w:t>/h，本项目</w:t>
      </w:r>
      <w:r>
        <w:rPr>
          <w:rFonts w:hint="eastAsia" w:eastAsia="宋体"/>
          <w:color w:val="auto"/>
          <w:spacing w:val="0"/>
          <w:kern w:val="24"/>
          <w:sz w:val="24"/>
          <w:highlight w:val="none"/>
          <w:lang w:val="en-US" w:eastAsia="zh-CN"/>
        </w:rPr>
        <w:t>计划共</w:t>
      </w:r>
      <w:r>
        <w:rPr>
          <w:rFonts w:hint="eastAsia" w:eastAsia="宋体"/>
          <w:color w:val="auto"/>
          <w:spacing w:val="0"/>
          <w:kern w:val="24"/>
          <w:sz w:val="24"/>
          <w:highlight w:val="none"/>
        </w:rPr>
        <w:t>设置</w:t>
      </w:r>
      <w:r>
        <w:rPr>
          <w:rFonts w:hint="eastAsia"/>
          <w:color w:val="auto"/>
          <w:spacing w:val="0"/>
          <w:kern w:val="24"/>
          <w:sz w:val="24"/>
          <w:highlight w:val="none"/>
          <w:lang w:val="en-US" w:eastAsia="zh-CN"/>
        </w:rPr>
        <w:t>3</w:t>
      </w:r>
      <w:r>
        <w:rPr>
          <w:rFonts w:hint="eastAsia" w:eastAsia="宋体"/>
          <w:color w:val="auto"/>
          <w:spacing w:val="0"/>
          <w:kern w:val="24"/>
          <w:sz w:val="24"/>
          <w:highlight w:val="none"/>
        </w:rPr>
        <w:t>个集气罩</w:t>
      </w:r>
      <w:r>
        <w:rPr>
          <w:rFonts w:hint="eastAsia" w:eastAsia="宋体"/>
          <w:color w:val="auto"/>
          <w:spacing w:val="0"/>
          <w:kern w:val="24"/>
          <w:sz w:val="24"/>
          <w:highlight w:val="none"/>
          <w:lang w:val="en-US" w:eastAsia="zh-CN"/>
        </w:rPr>
        <w:t>，考虑实际风量应大于计算风量，</w:t>
      </w:r>
      <w:r>
        <w:rPr>
          <w:rFonts w:hint="eastAsia" w:eastAsia="宋体"/>
          <w:color w:val="auto"/>
          <w:spacing w:val="0"/>
          <w:kern w:val="24"/>
          <w:sz w:val="24"/>
          <w:highlight w:val="none"/>
        </w:rPr>
        <w:t>项目拟设置</w:t>
      </w:r>
      <w:r>
        <w:rPr>
          <w:rFonts w:hint="eastAsia" w:eastAsia="宋体"/>
          <w:color w:val="auto"/>
          <w:spacing w:val="0"/>
          <w:kern w:val="24"/>
          <w:sz w:val="24"/>
          <w:highlight w:val="none"/>
          <w:lang w:val="en-US" w:eastAsia="zh-CN"/>
        </w:rPr>
        <w:t>总</w:t>
      </w:r>
      <w:r>
        <w:rPr>
          <w:rFonts w:hint="eastAsia" w:eastAsia="宋体"/>
          <w:color w:val="auto"/>
          <w:spacing w:val="0"/>
          <w:kern w:val="24"/>
          <w:sz w:val="24"/>
          <w:highlight w:val="none"/>
        </w:rPr>
        <w:t>风机风量</w:t>
      </w:r>
      <w:r>
        <w:rPr>
          <w:rFonts w:hint="eastAsia"/>
          <w:color w:val="auto"/>
          <w:spacing w:val="0"/>
          <w:kern w:val="24"/>
          <w:sz w:val="24"/>
          <w:highlight w:val="none"/>
          <w:lang w:val="en-US" w:eastAsia="zh-CN"/>
        </w:rPr>
        <w:t>15000</w:t>
      </w:r>
      <w:r>
        <w:rPr>
          <w:rFonts w:hint="eastAsia" w:eastAsia="宋体"/>
          <w:color w:val="auto"/>
          <w:spacing w:val="0"/>
          <w:kern w:val="24"/>
          <w:sz w:val="24"/>
          <w:highlight w:val="none"/>
        </w:rPr>
        <w:t>m</w:t>
      </w:r>
      <w:r>
        <w:rPr>
          <w:rFonts w:hint="eastAsia" w:eastAsia="宋体"/>
          <w:color w:val="auto"/>
          <w:spacing w:val="0"/>
          <w:kern w:val="24"/>
          <w:sz w:val="24"/>
          <w:highlight w:val="none"/>
          <w:vertAlign w:val="superscript"/>
        </w:rPr>
        <w:t>3</w:t>
      </w:r>
      <w:r>
        <w:rPr>
          <w:rFonts w:hint="eastAsia" w:eastAsia="宋体"/>
          <w:color w:val="auto"/>
          <w:spacing w:val="0"/>
          <w:kern w:val="24"/>
          <w:sz w:val="24"/>
          <w:highlight w:val="none"/>
        </w:rPr>
        <w:t>/h</w:t>
      </w:r>
      <w:r>
        <w:rPr>
          <w:rFonts w:hint="eastAsia" w:eastAsia="宋体"/>
          <w:color w:val="auto"/>
          <w:spacing w:val="0"/>
          <w:kern w:val="24"/>
          <w:sz w:val="24"/>
          <w:highlight w:val="none"/>
          <w:lang w:eastAsia="zh-CN"/>
        </w:rPr>
        <w:t>。</w:t>
      </w:r>
    </w:p>
    <w:p w14:paraId="2FAA0D2C">
      <w:pPr>
        <w:keepNext w:val="0"/>
        <w:keepLines w:val="0"/>
        <w:pageBreakBefore w:val="0"/>
        <w:widowControl w:val="0"/>
        <w:tabs>
          <w:tab w:val="left" w:pos="5154"/>
        </w:tabs>
        <w:kinsoku/>
        <w:wordWrap/>
        <w:overflowPunct/>
        <w:topLinePunct w:val="0"/>
        <w:autoSpaceDE/>
        <w:autoSpaceDN/>
        <w:bidi w:val="0"/>
        <w:adjustRightInd/>
        <w:snapToGrid/>
        <w:ind w:firstLine="482"/>
        <w:textAlignment w:val="auto"/>
        <w:rPr>
          <w:rFonts w:hint="eastAsia"/>
          <w:color w:val="auto"/>
          <w:spacing w:val="0"/>
          <w:w w:val="100"/>
          <w:position w:val="0"/>
          <w:highlight w:val="none"/>
          <w:lang w:val="en-US" w:eastAsia="zh-CN"/>
        </w:rPr>
      </w:pPr>
      <w:r>
        <w:rPr>
          <w:color w:val="auto"/>
          <w:spacing w:val="0"/>
          <w:w w:val="100"/>
          <w:position w:val="0"/>
          <w:szCs w:val="24"/>
        </w:rPr>
        <w:t>未被收集的</w:t>
      </w:r>
      <w:r>
        <w:rPr>
          <w:rFonts w:hint="eastAsia"/>
          <w:color w:val="auto"/>
          <w:spacing w:val="0"/>
          <w:w w:val="100"/>
          <w:position w:val="0"/>
          <w:szCs w:val="24"/>
          <w:lang w:val="en-US" w:eastAsia="zh-CN"/>
        </w:rPr>
        <w:t>1.386t/a</w:t>
      </w:r>
      <w:r>
        <w:rPr>
          <w:color w:val="auto"/>
          <w:spacing w:val="0"/>
          <w:w w:val="100"/>
          <w:position w:val="0"/>
          <w:szCs w:val="24"/>
        </w:rPr>
        <w:t>粉尘</w:t>
      </w:r>
      <w:r>
        <w:rPr>
          <w:rFonts w:hint="eastAsia"/>
          <w:color w:val="auto"/>
          <w:spacing w:val="0"/>
          <w:w w:val="100"/>
          <w:position w:val="0"/>
          <w:szCs w:val="24"/>
          <w:lang w:val="en-US" w:eastAsia="zh-CN"/>
        </w:rPr>
        <w:t>和1.386t/a非甲烷总烃无组织排放</w:t>
      </w:r>
      <w:r>
        <w:rPr>
          <w:color w:val="auto"/>
          <w:spacing w:val="0"/>
          <w:w w:val="100"/>
          <w:position w:val="0"/>
          <w:szCs w:val="24"/>
        </w:rPr>
        <w:t>。</w:t>
      </w:r>
    </w:p>
    <w:p w14:paraId="3A721911">
      <w:pPr>
        <w:keepNext w:val="0"/>
        <w:keepLines w:val="0"/>
        <w:pageBreakBefore w:val="0"/>
        <w:widowControl w:val="0"/>
        <w:kinsoku/>
        <w:wordWrap/>
        <w:overflowPunct/>
        <w:topLinePunct w:val="0"/>
        <w:autoSpaceDE/>
        <w:autoSpaceDN/>
        <w:bidi w:val="0"/>
        <w:spacing w:line="240" w:lineRule="auto"/>
        <w:ind w:firstLine="0" w:firstLineChars="0"/>
        <w:jc w:val="center"/>
        <w:textAlignment w:val="baseline"/>
        <w:rPr>
          <w:b/>
          <w:bCs/>
          <w:color w:val="auto"/>
          <w:spacing w:val="0"/>
          <w:w w:val="100"/>
          <w:kern w:val="21"/>
          <w:position w:val="0"/>
          <w:sz w:val="21"/>
        </w:rPr>
      </w:pPr>
      <w:r>
        <w:rPr>
          <w:rFonts w:hint="default" w:ascii="Times New Roman" w:hAnsi="Times New Roman"/>
          <w:b/>
          <w:bCs/>
          <w:color w:val="auto"/>
          <w:spacing w:val="0"/>
          <w:w w:val="100"/>
          <w:kern w:val="21"/>
          <w:position w:val="0"/>
          <w:sz w:val="21"/>
        </w:rPr>
        <w:t>表</w:t>
      </w:r>
      <w:r>
        <w:rPr>
          <w:rFonts w:hint="eastAsia" w:ascii="Times New Roman" w:hAnsi="Times New Roman"/>
          <w:b/>
          <w:bCs/>
          <w:color w:val="auto"/>
          <w:spacing w:val="0"/>
          <w:w w:val="100"/>
          <w:kern w:val="21"/>
          <w:position w:val="0"/>
          <w:sz w:val="21"/>
          <w:lang w:val="en-US" w:eastAsia="zh-CN"/>
        </w:rPr>
        <w:t>3.4</w:t>
      </w:r>
      <w:r>
        <w:rPr>
          <w:rFonts w:hint="eastAsia"/>
          <w:b/>
          <w:bCs/>
          <w:color w:val="auto"/>
          <w:spacing w:val="0"/>
          <w:w w:val="100"/>
          <w:kern w:val="21"/>
          <w:position w:val="0"/>
          <w:sz w:val="21"/>
          <w:lang w:val="en-US" w:eastAsia="zh-CN"/>
        </w:rPr>
        <w:t>.1</w:t>
      </w:r>
      <w:r>
        <w:rPr>
          <w:rFonts w:ascii="Times New Roman" w:hAnsi="Times New Roman"/>
          <w:b/>
          <w:bCs/>
          <w:color w:val="auto"/>
          <w:spacing w:val="0"/>
          <w:w w:val="100"/>
          <w:kern w:val="21"/>
          <w:position w:val="0"/>
          <w:sz w:val="21"/>
        </w:rPr>
        <w:t xml:space="preserve">-2  </w:t>
      </w:r>
      <w:r>
        <w:rPr>
          <w:b/>
          <w:bCs/>
          <w:color w:val="auto"/>
          <w:spacing w:val="0"/>
          <w:w w:val="100"/>
          <w:kern w:val="21"/>
          <w:position w:val="0"/>
          <w:sz w:val="21"/>
        </w:rPr>
        <w:t>项目</w:t>
      </w:r>
      <w:r>
        <w:rPr>
          <w:rFonts w:hint="eastAsia"/>
          <w:b/>
          <w:bCs/>
          <w:color w:val="auto"/>
          <w:spacing w:val="0"/>
          <w:w w:val="100"/>
          <w:kern w:val="21"/>
          <w:position w:val="0"/>
          <w:sz w:val="21"/>
          <w:lang w:val="en-US" w:eastAsia="zh-CN"/>
        </w:rPr>
        <w:t>混料搅拌、挤出成型</w:t>
      </w:r>
      <w:r>
        <w:rPr>
          <w:b/>
          <w:bCs/>
          <w:color w:val="auto"/>
          <w:spacing w:val="0"/>
          <w:w w:val="100"/>
          <w:kern w:val="21"/>
          <w:position w:val="0"/>
          <w:sz w:val="21"/>
        </w:rPr>
        <w:t>源强一览表</w:t>
      </w:r>
    </w:p>
    <w:tbl>
      <w:tblPr>
        <w:tblStyle w:val="36"/>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57" w:type="dxa"/>
          <w:left w:w="57" w:type="dxa"/>
          <w:bottom w:w="57" w:type="dxa"/>
          <w:right w:w="57" w:type="dxa"/>
        </w:tblCellMar>
      </w:tblPr>
      <w:tblGrid>
        <w:gridCol w:w="436"/>
        <w:gridCol w:w="393"/>
        <w:gridCol w:w="416"/>
        <w:gridCol w:w="676"/>
        <w:gridCol w:w="1208"/>
        <w:gridCol w:w="731"/>
        <w:gridCol w:w="2037"/>
        <w:gridCol w:w="676"/>
        <w:gridCol w:w="1208"/>
        <w:gridCol w:w="639"/>
      </w:tblGrid>
      <w:tr w14:paraId="39D4893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jc w:val="center"/>
        </w:trPr>
        <w:tc>
          <w:tcPr>
            <w:tcW w:w="259" w:type="pct"/>
            <w:vMerge w:val="restart"/>
            <w:tcBorders>
              <w:tl2br w:val="nil"/>
              <w:tr2bl w:val="nil"/>
            </w:tcBorders>
            <w:vAlign w:val="center"/>
          </w:tcPr>
          <w:p w14:paraId="7CF366C5">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bCs/>
                <w:color w:val="auto"/>
                <w:spacing w:val="0"/>
                <w:w w:val="100"/>
                <w:kern w:val="21"/>
                <w:position w:val="0"/>
                <w:sz w:val="21"/>
                <w:szCs w:val="21"/>
              </w:rPr>
            </w:pPr>
            <w:r>
              <w:rPr>
                <w:rFonts w:hint="default" w:ascii="Times New Roman" w:hAnsi="Times New Roman" w:eastAsia="宋体" w:cs="Times New Roman"/>
                <w:b/>
                <w:bCs/>
                <w:color w:val="auto"/>
                <w:spacing w:val="0"/>
                <w:w w:val="100"/>
                <w:kern w:val="21"/>
                <w:position w:val="0"/>
                <w:sz w:val="21"/>
                <w:szCs w:val="21"/>
              </w:rPr>
              <w:t>污染源</w:t>
            </w:r>
          </w:p>
        </w:tc>
        <w:tc>
          <w:tcPr>
            <w:tcW w:w="233" w:type="pct"/>
            <w:vMerge w:val="restart"/>
            <w:tcBorders>
              <w:tl2br w:val="nil"/>
              <w:tr2bl w:val="nil"/>
            </w:tcBorders>
            <w:vAlign w:val="center"/>
          </w:tcPr>
          <w:p w14:paraId="400C686B">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bCs/>
                <w:color w:val="auto"/>
                <w:spacing w:val="0"/>
                <w:w w:val="100"/>
                <w:kern w:val="21"/>
                <w:position w:val="0"/>
                <w:sz w:val="21"/>
                <w:szCs w:val="21"/>
                <w:lang w:eastAsia="zh-CN"/>
              </w:rPr>
            </w:pPr>
            <w:r>
              <w:rPr>
                <w:rFonts w:hint="default" w:ascii="Times New Roman" w:hAnsi="Times New Roman" w:eastAsia="宋体" w:cs="Times New Roman"/>
                <w:b/>
                <w:bCs/>
                <w:color w:val="auto"/>
                <w:spacing w:val="0"/>
                <w:w w:val="100"/>
                <w:kern w:val="21"/>
                <w:position w:val="0"/>
                <w:sz w:val="21"/>
                <w:szCs w:val="21"/>
                <w:lang w:eastAsia="zh-CN"/>
              </w:rPr>
              <w:t>排放形式</w:t>
            </w:r>
          </w:p>
        </w:tc>
        <w:tc>
          <w:tcPr>
            <w:tcW w:w="247" w:type="pct"/>
            <w:vMerge w:val="restart"/>
            <w:tcBorders>
              <w:tl2br w:val="nil"/>
              <w:tr2bl w:val="nil"/>
            </w:tcBorders>
            <w:vAlign w:val="center"/>
          </w:tcPr>
          <w:p w14:paraId="346395E2">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bCs/>
                <w:color w:val="auto"/>
                <w:spacing w:val="0"/>
                <w:w w:val="100"/>
                <w:kern w:val="21"/>
                <w:position w:val="0"/>
                <w:sz w:val="21"/>
                <w:szCs w:val="21"/>
              </w:rPr>
            </w:pPr>
            <w:r>
              <w:rPr>
                <w:rFonts w:hint="default" w:ascii="Times New Roman" w:hAnsi="Times New Roman" w:eastAsia="宋体" w:cs="Times New Roman"/>
                <w:b/>
                <w:bCs/>
                <w:color w:val="auto"/>
                <w:spacing w:val="0"/>
                <w:w w:val="100"/>
                <w:kern w:val="21"/>
                <w:position w:val="0"/>
                <w:sz w:val="21"/>
                <w:szCs w:val="21"/>
              </w:rPr>
              <w:t>污染物名称</w:t>
            </w:r>
          </w:p>
        </w:tc>
        <w:tc>
          <w:tcPr>
            <w:tcW w:w="1552" w:type="pct"/>
            <w:gridSpan w:val="3"/>
            <w:tcBorders>
              <w:tl2br w:val="nil"/>
              <w:tr2bl w:val="nil"/>
            </w:tcBorders>
            <w:vAlign w:val="center"/>
          </w:tcPr>
          <w:p w14:paraId="4801F835">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bCs/>
                <w:color w:val="auto"/>
                <w:spacing w:val="0"/>
                <w:w w:val="100"/>
                <w:kern w:val="21"/>
                <w:position w:val="0"/>
                <w:sz w:val="21"/>
                <w:szCs w:val="21"/>
              </w:rPr>
            </w:pPr>
            <w:r>
              <w:rPr>
                <w:rFonts w:hint="default" w:ascii="Times New Roman" w:hAnsi="Times New Roman" w:eastAsia="宋体" w:cs="Times New Roman"/>
                <w:b/>
                <w:bCs/>
                <w:color w:val="auto"/>
                <w:spacing w:val="0"/>
                <w:w w:val="100"/>
                <w:kern w:val="21"/>
                <w:position w:val="0"/>
                <w:sz w:val="21"/>
                <w:szCs w:val="21"/>
              </w:rPr>
              <w:t>产生量</w:t>
            </w:r>
          </w:p>
        </w:tc>
        <w:tc>
          <w:tcPr>
            <w:tcW w:w="1209" w:type="pct"/>
            <w:vMerge w:val="restart"/>
            <w:tcBorders>
              <w:tl2br w:val="nil"/>
              <w:tr2bl w:val="nil"/>
            </w:tcBorders>
            <w:vAlign w:val="center"/>
          </w:tcPr>
          <w:p w14:paraId="6BE90B7B">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bCs/>
                <w:color w:val="auto"/>
                <w:spacing w:val="0"/>
                <w:w w:val="100"/>
                <w:kern w:val="21"/>
                <w:position w:val="0"/>
                <w:sz w:val="21"/>
                <w:szCs w:val="21"/>
              </w:rPr>
            </w:pPr>
            <w:r>
              <w:rPr>
                <w:rFonts w:hint="default" w:ascii="Times New Roman" w:hAnsi="Times New Roman" w:eastAsia="宋体" w:cs="Times New Roman"/>
                <w:b/>
                <w:bCs/>
                <w:color w:val="auto"/>
                <w:spacing w:val="0"/>
                <w:w w:val="100"/>
                <w:kern w:val="21"/>
                <w:position w:val="0"/>
                <w:sz w:val="21"/>
                <w:szCs w:val="21"/>
              </w:rPr>
              <w:t>拟处理措施</w:t>
            </w:r>
          </w:p>
        </w:tc>
        <w:tc>
          <w:tcPr>
            <w:tcW w:w="1497" w:type="pct"/>
            <w:gridSpan w:val="3"/>
            <w:tcBorders>
              <w:tl2br w:val="nil"/>
              <w:tr2bl w:val="nil"/>
            </w:tcBorders>
            <w:vAlign w:val="center"/>
          </w:tcPr>
          <w:p w14:paraId="6624D336">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bCs/>
                <w:color w:val="auto"/>
                <w:spacing w:val="0"/>
                <w:w w:val="100"/>
                <w:kern w:val="21"/>
                <w:position w:val="0"/>
                <w:sz w:val="21"/>
                <w:szCs w:val="21"/>
              </w:rPr>
            </w:pPr>
            <w:r>
              <w:rPr>
                <w:rFonts w:hint="default" w:ascii="Times New Roman" w:hAnsi="Times New Roman" w:eastAsia="宋体" w:cs="Times New Roman"/>
                <w:b/>
                <w:bCs/>
                <w:color w:val="auto"/>
                <w:spacing w:val="0"/>
                <w:w w:val="100"/>
                <w:kern w:val="21"/>
                <w:position w:val="0"/>
                <w:sz w:val="21"/>
                <w:szCs w:val="21"/>
              </w:rPr>
              <w:t>排放量</w:t>
            </w:r>
          </w:p>
        </w:tc>
      </w:tr>
      <w:tr w14:paraId="059EF76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jc w:val="center"/>
        </w:trPr>
        <w:tc>
          <w:tcPr>
            <w:tcW w:w="259" w:type="pct"/>
            <w:vMerge w:val="continue"/>
            <w:tcBorders>
              <w:tl2br w:val="nil"/>
              <w:tr2bl w:val="nil"/>
            </w:tcBorders>
            <w:vAlign w:val="center"/>
          </w:tcPr>
          <w:p w14:paraId="2D564822">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bCs/>
                <w:color w:val="auto"/>
                <w:spacing w:val="0"/>
                <w:w w:val="100"/>
                <w:kern w:val="21"/>
                <w:position w:val="0"/>
                <w:sz w:val="21"/>
                <w:szCs w:val="21"/>
              </w:rPr>
            </w:pPr>
          </w:p>
        </w:tc>
        <w:tc>
          <w:tcPr>
            <w:tcW w:w="233" w:type="pct"/>
            <w:vMerge w:val="continue"/>
            <w:tcBorders>
              <w:tl2br w:val="nil"/>
              <w:tr2bl w:val="nil"/>
            </w:tcBorders>
            <w:vAlign w:val="center"/>
          </w:tcPr>
          <w:p w14:paraId="1517471C">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bCs/>
                <w:color w:val="auto"/>
                <w:spacing w:val="0"/>
                <w:w w:val="100"/>
                <w:kern w:val="21"/>
                <w:position w:val="0"/>
                <w:sz w:val="21"/>
                <w:szCs w:val="21"/>
              </w:rPr>
            </w:pPr>
          </w:p>
        </w:tc>
        <w:tc>
          <w:tcPr>
            <w:tcW w:w="247" w:type="pct"/>
            <w:vMerge w:val="continue"/>
            <w:tcBorders>
              <w:tl2br w:val="nil"/>
              <w:tr2bl w:val="nil"/>
            </w:tcBorders>
            <w:vAlign w:val="center"/>
          </w:tcPr>
          <w:p w14:paraId="3C7C573A">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bCs/>
                <w:color w:val="auto"/>
                <w:spacing w:val="0"/>
                <w:w w:val="100"/>
                <w:kern w:val="21"/>
                <w:position w:val="0"/>
                <w:sz w:val="21"/>
                <w:szCs w:val="21"/>
              </w:rPr>
            </w:pPr>
          </w:p>
        </w:tc>
        <w:tc>
          <w:tcPr>
            <w:tcW w:w="401" w:type="pct"/>
            <w:tcBorders>
              <w:tl2br w:val="nil"/>
              <w:tr2bl w:val="nil"/>
            </w:tcBorders>
            <w:vAlign w:val="center"/>
          </w:tcPr>
          <w:p w14:paraId="799F0626">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bCs/>
                <w:color w:val="auto"/>
                <w:spacing w:val="0"/>
                <w:w w:val="100"/>
                <w:kern w:val="21"/>
                <w:position w:val="0"/>
                <w:sz w:val="21"/>
                <w:szCs w:val="21"/>
              </w:rPr>
            </w:pPr>
            <w:r>
              <w:rPr>
                <w:rFonts w:hint="default" w:ascii="Times New Roman" w:hAnsi="Times New Roman" w:eastAsia="宋体" w:cs="Times New Roman"/>
                <w:b/>
                <w:bCs/>
                <w:color w:val="auto"/>
                <w:spacing w:val="0"/>
                <w:w w:val="100"/>
                <w:kern w:val="21"/>
                <w:position w:val="0"/>
                <w:sz w:val="21"/>
                <w:szCs w:val="21"/>
                <w:lang w:eastAsia="zh-CN"/>
              </w:rPr>
              <w:t>产生速率</w:t>
            </w:r>
            <w:r>
              <w:rPr>
                <w:rFonts w:hint="default" w:ascii="Times New Roman" w:hAnsi="Times New Roman" w:eastAsia="宋体" w:cs="Times New Roman"/>
                <w:b/>
                <w:bCs/>
                <w:color w:val="auto"/>
                <w:spacing w:val="0"/>
                <w:w w:val="100"/>
                <w:kern w:val="21"/>
                <w:position w:val="0"/>
                <w:sz w:val="21"/>
                <w:szCs w:val="21"/>
              </w:rPr>
              <w:t>kg/h</w:t>
            </w:r>
          </w:p>
        </w:tc>
        <w:tc>
          <w:tcPr>
            <w:tcW w:w="717" w:type="pct"/>
            <w:tcBorders>
              <w:tl2br w:val="nil"/>
              <w:tr2bl w:val="nil"/>
            </w:tcBorders>
            <w:vAlign w:val="center"/>
          </w:tcPr>
          <w:p w14:paraId="3244310D">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bCs/>
                <w:color w:val="auto"/>
                <w:spacing w:val="0"/>
                <w:w w:val="100"/>
                <w:kern w:val="21"/>
                <w:position w:val="0"/>
                <w:sz w:val="21"/>
                <w:szCs w:val="21"/>
                <w:lang w:eastAsia="zh-CN"/>
              </w:rPr>
            </w:pPr>
            <w:r>
              <w:rPr>
                <w:rFonts w:hint="default" w:ascii="Times New Roman" w:hAnsi="Times New Roman" w:eastAsia="宋体" w:cs="Times New Roman"/>
                <w:b/>
                <w:bCs/>
                <w:color w:val="auto"/>
                <w:spacing w:val="0"/>
                <w:w w:val="100"/>
                <w:kern w:val="21"/>
                <w:position w:val="0"/>
                <w:sz w:val="21"/>
                <w:szCs w:val="21"/>
                <w:lang w:eastAsia="zh-CN"/>
              </w:rPr>
              <w:t>产生浓度（mg/m</w:t>
            </w:r>
            <w:r>
              <w:rPr>
                <w:rFonts w:hint="default" w:ascii="Times New Roman" w:hAnsi="Times New Roman" w:eastAsia="宋体" w:cs="Times New Roman"/>
                <w:b/>
                <w:bCs/>
                <w:color w:val="auto"/>
                <w:spacing w:val="0"/>
                <w:w w:val="100"/>
                <w:kern w:val="21"/>
                <w:position w:val="0"/>
                <w:sz w:val="21"/>
                <w:szCs w:val="21"/>
                <w:vertAlign w:val="superscript"/>
                <w:lang w:eastAsia="zh-CN"/>
              </w:rPr>
              <w:t>3</w:t>
            </w:r>
            <w:r>
              <w:rPr>
                <w:rFonts w:hint="default" w:ascii="Times New Roman" w:hAnsi="Times New Roman" w:eastAsia="宋体" w:cs="Times New Roman"/>
                <w:b/>
                <w:bCs/>
                <w:color w:val="auto"/>
                <w:spacing w:val="0"/>
                <w:w w:val="100"/>
                <w:kern w:val="21"/>
                <w:position w:val="0"/>
                <w:sz w:val="21"/>
                <w:szCs w:val="21"/>
                <w:lang w:eastAsia="zh-CN"/>
              </w:rPr>
              <w:t>）</w:t>
            </w:r>
          </w:p>
        </w:tc>
        <w:tc>
          <w:tcPr>
            <w:tcW w:w="434" w:type="pct"/>
            <w:tcBorders>
              <w:tl2br w:val="nil"/>
              <w:tr2bl w:val="nil"/>
            </w:tcBorders>
            <w:vAlign w:val="center"/>
          </w:tcPr>
          <w:p w14:paraId="4286F616">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bCs/>
                <w:color w:val="auto"/>
                <w:spacing w:val="0"/>
                <w:w w:val="100"/>
                <w:kern w:val="21"/>
                <w:position w:val="0"/>
                <w:sz w:val="21"/>
                <w:szCs w:val="21"/>
              </w:rPr>
            </w:pPr>
            <w:r>
              <w:rPr>
                <w:rFonts w:hint="default" w:ascii="Times New Roman" w:hAnsi="Times New Roman" w:eastAsia="宋体" w:cs="Times New Roman"/>
                <w:b/>
                <w:bCs/>
                <w:color w:val="auto"/>
                <w:spacing w:val="0"/>
                <w:w w:val="100"/>
                <w:kern w:val="21"/>
                <w:position w:val="0"/>
                <w:sz w:val="21"/>
                <w:szCs w:val="21"/>
                <w:lang w:eastAsia="zh-CN"/>
              </w:rPr>
              <w:t>产生量</w:t>
            </w:r>
            <w:r>
              <w:rPr>
                <w:rFonts w:hint="default" w:ascii="Times New Roman" w:hAnsi="Times New Roman" w:eastAsia="宋体" w:cs="Times New Roman"/>
                <w:b/>
                <w:bCs/>
                <w:color w:val="auto"/>
                <w:spacing w:val="0"/>
                <w:w w:val="100"/>
                <w:kern w:val="21"/>
                <w:position w:val="0"/>
                <w:sz w:val="21"/>
                <w:szCs w:val="21"/>
              </w:rPr>
              <w:t>t/a</w:t>
            </w:r>
          </w:p>
        </w:tc>
        <w:tc>
          <w:tcPr>
            <w:tcW w:w="1209" w:type="pct"/>
            <w:vMerge w:val="continue"/>
            <w:tcBorders>
              <w:tl2br w:val="nil"/>
              <w:tr2bl w:val="nil"/>
            </w:tcBorders>
            <w:vAlign w:val="center"/>
          </w:tcPr>
          <w:p w14:paraId="24BF79D4">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bCs/>
                <w:color w:val="auto"/>
                <w:spacing w:val="0"/>
                <w:w w:val="100"/>
                <w:kern w:val="21"/>
                <w:position w:val="0"/>
                <w:sz w:val="21"/>
                <w:szCs w:val="21"/>
              </w:rPr>
            </w:pPr>
          </w:p>
        </w:tc>
        <w:tc>
          <w:tcPr>
            <w:tcW w:w="401" w:type="pct"/>
            <w:tcBorders>
              <w:tl2br w:val="nil"/>
              <w:tr2bl w:val="nil"/>
            </w:tcBorders>
            <w:vAlign w:val="center"/>
          </w:tcPr>
          <w:p w14:paraId="7D0A6B76">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bCs/>
                <w:color w:val="auto"/>
                <w:spacing w:val="0"/>
                <w:w w:val="100"/>
                <w:kern w:val="21"/>
                <w:position w:val="0"/>
                <w:sz w:val="21"/>
                <w:szCs w:val="21"/>
              </w:rPr>
            </w:pPr>
            <w:r>
              <w:rPr>
                <w:rFonts w:hint="default" w:ascii="Times New Roman" w:hAnsi="Times New Roman" w:eastAsia="宋体" w:cs="Times New Roman"/>
                <w:b/>
                <w:bCs/>
                <w:color w:val="auto"/>
                <w:spacing w:val="0"/>
                <w:w w:val="100"/>
                <w:kern w:val="21"/>
                <w:position w:val="0"/>
                <w:sz w:val="21"/>
                <w:szCs w:val="21"/>
                <w:lang w:eastAsia="zh-CN"/>
              </w:rPr>
              <w:t>排放速率</w:t>
            </w:r>
            <w:r>
              <w:rPr>
                <w:rFonts w:hint="default" w:ascii="Times New Roman" w:hAnsi="Times New Roman" w:eastAsia="宋体" w:cs="Times New Roman"/>
                <w:b/>
                <w:bCs/>
                <w:color w:val="auto"/>
                <w:spacing w:val="0"/>
                <w:w w:val="100"/>
                <w:kern w:val="21"/>
                <w:position w:val="0"/>
                <w:sz w:val="21"/>
                <w:szCs w:val="21"/>
              </w:rPr>
              <w:t>kg/h</w:t>
            </w:r>
          </w:p>
        </w:tc>
        <w:tc>
          <w:tcPr>
            <w:tcW w:w="717" w:type="pct"/>
            <w:tcBorders>
              <w:tl2br w:val="nil"/>
              <w:tr2bl w:val="nil"/>
            </w:tcBorders>
            <w:vAlign w:val="center"/>
          </w:tcPr>
          <w:p w14:paraId="18CD7DE4">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bCs/>
                <w:color w:val="auto"/>
                <w:spacing w:val="0"/>
                <w:w w:val="100"/>
                <w:kern w:val="21"/>
                <w:position w:val="0"/>
                <w:sz w:val="21"/>
                <w:szCs w:val="21"/>
                <w:lang w:eastAsia="zh-CN"/>
              </w:rPr>
            </w:pPr>
            <w:r>
              <w:rPr>
                <w:rFonts w:hint="default" w:ascii="Times New Roman" w:hAnsi="Times New Roman" w:eastAsia="宋体" w:cs="Times New Roman"/>
                <w:b/>
                <w:bCs/>
                <w:color w:val="auto"/>
                <w:spacing w:val="0"/>
                <w:w w:val="100"/>
                <w:kern w:val="21"/>
                <w:position w:val="0"/>
                <w:sz w:val="21"/>
                <w:szCs w:val="21"/>
                <w:lang w:eastAsia="zh-CN"/>
              </w:rPr>
              <w:t>排放浓度（mg/m</w:t>
            </w:r>
            <w:r>
              <w:rPr>
                <w:rFonts w:hint="default" w:ascii="Times New Roman" w:hAnsi="Times New Roman" w:eastAsia="宋体" w:cs="Times New Roman"/>
                <w:b/>
                <w:bCs/>
                <w:color w:val="auto"/>
                <w:spacing w:val="0"/>
                <w:w w:val="100"/>
                <w:kern w:val="21"/>
                <w:position w:val="0"/>
                <w:sz w:val="21"/>
                <w:szCs w:val="21"/>
                <w:vertAlign w:val="superscript"/>
                <w:lang w:eastAsia="zh-CN"/>
              </w:rPr>
              <w:t>3</w:t>
            </w:r>
            <w:r>
              <w:rPr>
                <w:rFonts w:hint="default" w:ascii="Times New Roman" w:hAnsi="Times New Roman" w:eastAsia="宋体" w:cs="Times New Roman"/>
                <w:b/>
                <w:bCs/>
                <w:color w:val="auto"/>
                <w:spacing w:val="0"/>
                <w:w w:val="100"/>
                <w:kern w:val="21"/>
                <w:position w:val="0"/>
                <w:sz w:val="21"/>
                <w:szCs w:val="21"/>
                <w:lang w:eastAsia="zh-CN"/>
              </w:rPr>
              <w:t>）</w:t>
            </w:r>
          </w:p>
        </w:tc>
        <w:tc>
          <w:tcPr>
            <w:tcW w:w="378" w:type="pct"/>
            <w:tcBorders>
              <w:tl2br w:val="nil"/>
              <w:tr2bl w:val="nil"/>
            </w:tcBorders>
            <w:vAlign w:val="center"/>
          </w:tcPr>
          <w:p w14:paraId="3078718C">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b/>
                <w:bCs/>
                <w:color w:val="auto"/>
                <w:spacing w:val="0"/>
                <w:w w:val="100"/>
                <w:kern w:val="21"/>
                <w:position w:val="0"/>
                <w:sz w:val="21"/>
                <w:szCs w:val="21"/>
              </w:rPr>
            </w:pPr>
            <w:r>
              <w:rPr>
                <w:rFonts w:hint="default" w:ascii="Times New Roman" w:hAnsi="Times New Roman" w:eastAsia="宋体" w:cs="Times New Roman"/>
                <w:b/>
                <w:bCs/>
                <w:color w:val="auto"/>
                <w:spacing w:val="0"/>
                <w:w w:val="100"/>
                <w:kern w:val="21"/>
                <w:position w:val="0"/>
                <w:sz w:val="21"/>
                <w:szCs w:val="21"/>
                <w:lang w:eastAsia="zh-CN"/>
              </w:rPr>
              <w:t>排放量</w:t>
            </w:r>
            <w:r>
              <w:rPr>
                <w:rFonts w:hint="default" w:ascii="Times New Roman" w:hAnsi="Times New Roman" w:eastAsia="宋体" w:cs="Times New Roman"/>
                <w:b/>
                <w:bCs/>
                <w:color w:val="auto"/>
                <w:spacing w:val="0"/>
                <w:w w:val="100"/>
                <w:kern w:val="21"/>
                <w:position w:val="0"/>
                <w:sz w:val="21"/>
                <w:szCs w:val="21"/>
              </w:rPr>
              <w:t>t/a</w:t>
            </w:r>
          </w:p>
        </w:tc>
      </w:tr>
      <w:tr w14:paraId="565453B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jc w:val="center"/>
        </w:trPr>
        <w:tc>
          <w:tcPr>
            <w:tcW w:w="259" w:type="pct"/>
            <w:vMerge w:val="restart"/>
            <w:tcBorders>
              <w:tl2br w:val="nil"/>
              <w:tr2bl w:val="nil"/>
            </w:tcBorders>
            <w:vAlign w:val="center"/>
          </w:tcPr>
          <w:p w14:paraId="3482B55D">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color w:val="auto"/>
                <w:spacing w:val="0"/>
                <w:w w:val="100"/>
                <w:kern w:val="21"/>
                <w:position w:val="0"/>
                <w:sz w:val="21"/>
                <w:szCs w:val="21"/>
                <w:lang w:eastAsia="zh-CN"/>
              </w:rPr>
            </w:pPr>
            <w:r>
              <w:rPr>
                <w:rFonts w:hint="eastAsia" w:ascii="Times New Roman" w:hAnsi="Times New Roman" w:eastAsia="宋体" w:cs="Times New Roman"/>
                <w:color w:val="auto"/>
                <w:spacing w:val="0"/>
                <w:w w:val="100"/>
                <w:kern w:val="21"/>
                <w:position w:val="0"/>
                <w:sz w:val="21"/>
                <w:szCs w:val="21"/>
                <w:lang w:val="en-US" w:eastAsia="zh-CN"/>
              </w:rPr>
              <w:t>混料搅拌</w:t>
            </w:r>
            <w:r>
              <w:rPr>
                <w:rFonts w:hint="eastAsia" w:ascii="Times New Roman" w:hAnsi="Times New Roman" w:eastAsia="宋体" w:cs="Times New Roman"/>
                <w:color w:val="auto"/>
                <w:spacing w:val="0"/>
                <w:w w:val="100"/>
                <w:kern w:val="21"/>
                <w:position w:val="0"/>
                <w:sz w:val="21"/>
                <w:szCs w:val="21"/>
                <w:lang w:eastAsia="zh-CN"/>
              </w:rPr>
              <w:t>粉尘</w:t>
            </w:r>
          </w:p>
        </w:tc>
        <w:tc>
          <w:tcPr>
            <w:tcW w:w="233" w:type="pct"/>
            <w:tcBorders>
              <w:tl2br w:val="nil"/>
              <w:tr2bl w:val="nil"/>
            </w:tcBorders>
            <w:vAlign w:val="center"/>
          </w:tcPr>
          <w:p w14:paraId="19089999">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color w:val="auto"/>
                <w:spacing w:val="0"/>
                <w:w w:val="100"/>
                <w:kern w:val="21"/>
                <w:position w:val="0"/>
                <w:sz w:val="21"/>
                <w:szCs w:val="21"/>
                <w:lang w:eastAsia="zh-CN"/>
              </w:rPr>
            </w:pPr>
            <w:r>
              <w:rPr>
                <w:rFonts w:hint="default" w:ascii="Times New Roman" w:hAnsi="Times New Roman" w:eastAsia="宋体" w:cs="Times New Roman"/>
                <w:color w:val="auto"/>
                <w:spacing w:val="0"/>
                <w:w w:val="100"/>
                <w:kern w:val="21"/>
                <w:position w:val="0"/>
                <w:sz w:val="21"/>
                <w:szCs w:val="21"/>
                <w:lang w:eastAsia="zh-CN"/>
              </w:rPr>
              <w:t>有组织</w:t>
            </w:r>
          </w:p>
        </w:tc>
        <w:tc>
          <w:tcPr>
            <w:tcW w:w="247" w:type="pct"/>
            <w:vMerge w:val="restart"/>
            <w:tcBorders>
              <w:tl2br w:val="nil"/>
              <w:tr2bl w:val="nil"/>
            </w:tcBorders>
            <w:vAlign w:val="center"/>
          </w:tcPr>
          <w:p w14:paraId="7434602A">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color w:val="auto"/>
                <w:spacing w:val="0"/>
                <w:w w:val="100"/>
                <w:kern w:val="21"/>
                <w:position w:val="0"/>
                <w:sz w:val="21"/>
                <w:szCs w:val="21"/>
                <w:lang w:eastAsia="zh-CN"/>
              </w:rPr>
            </w:pPr>
            <w:r>
              <w:rPr>
                <w:rFonts w:hint="default" w:ascii="Times New Roman" w:hAnsi="Times New Roman" w:eastAsia="宋体" w:cs="Times New Roman"/>
                <w:color w:val="auto"/>
                <w:spacing w:val="0"/>
                <w:w w:val="100"/>
                <w:kern w:val="21"/>
                <w:position w:val="0"/>
                <w:sz w:val="21"/>
                <w:szCs w:val="21"/>
                <w:lang w:eastAsia="zh-CN"/>
              </w:rPr>
              <w:t>颗粒物</w:t>
            </w:r>
          </w:p>
        </w:tc>
        <w:tc>
          <w:tcPr>
            <w:tcW w:w="401" w:type="pct"/>
            <w:tcBorders>
              <w:tl2br w:val="nil"/>
              <w:tr2bl w:val="nil"/>
            </w:tcBorders>
            <w:vAlign w:val="center"/>
          </w:tcPr>
          <w:p w14:paraId="50ADF0CF">
            <w:pPr>
              <w:keepNext w:val="0"/>
              <w:keepLines w:val="0"/>
              <w:widowControl/>
              <w:suppressLineNumbers w:val="0"/>
              <w:spacing w:before="0" w:beforeAutospacing="0" w:after="0" w:afterAutospacing="0"/>
              <w:ind w:left="0" w:right="0" w:firstLine="0" w:firstLineChars="0"/>
              <w:jc w:val="center"/>
              <w:textAlignment w:val="center"/>
              <w:rPr>
                <w:rFonts w:hint="default"/>
                <w:color w:val="auto"/>
                <w:spacing w:val="0"/>
                <w:w w:val="100"/>
                <w:kern w:val="21"/>
                <w:position w:val="0"/>
                <w:sz w:val="21"/>
                <w:lang w:val="en-US"/>
              </w:rPr>
            </w:pPr>
            <w:r>
              <w:rPr>
                <w:rFonts w:hint="eastAsia" w:cs="Times New Roman"/>
                <w:i w:val="0"/>
                <w:iCs w:val="0"/>
                <w:color w:val="auto"/>
                <w:spacing w:val="0"/>
                <w:kern w:val="0"/>
                <w:sz w:val="21"/>
                <w:szCs w:val="21"/>
                <w:u w:val="none"/>
                <w:lang w:val="en-US" w:eastAsia="zh-CN" w:bidi="ar"/>
              </w:rPr>
              <w:t>5.486</w:t>
            </w:r>
          </w:p>
        </w:tc>
        <w:tc>
          <w:tcPr>
            <w:tcW w:w="717" w:type="pct"/>
            <w:tcBorders>
              <w:tl2br w:val="nil"/>
              <w:tr2bl w:val="nil"/>
            </w:tcBorders>
            <w:vAlign w:val="center"/>
          </w:tcPr>
          <w:p w14:paraId="67725EF6">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default"/>
                <w:color w:val="auto"/>
                <w:spacing w:val="0"/>
                <w:w w:val="100"/>
                <w:kern w:val="21"/>
                <w:position w:val="0"/>
                <w:sz w:val="21"/>
                <w:lang w:val="en-US"/>
              </w:rPr>
            </w:pPr>
            <w:r>
              <w:rPr>
                <w:rFonts w:hint="eastAsia" w:cs="Times New Roman"/>
                <w:i w:val="0"/>
                <w:iCs w:val="0"/>
                <w:color w:val="auto"/>
                <w:spacing w:val="0"/>
                <w:w w:val="100"/>
                <w:kern w:val="0"/>
                <w:position w:val="0"/>
                <w:sz w:val="21"/>
                <w:szCs w:val="21"/>
                <w:u w:val="none"/>
                <w:lang w:val="en-US" w:eastAsia="zh-CN" w:bidi="ar"/>
              </w:rPr>
              <w:t>548.625</w:t>
            </w:r>
          </w:p>
        </w:tc>
        <w:tc>
          <w:tcPr>
            <w:tcW w:w="434" w:type="pct"/>
            <w:tcBorders>
              <w:tl2br w:val="nil"/>
              <w:tr2bl w:val="nil"/>
            </w:tcBorders>
            <w:vAlign w:val="center"/>
          </w:tcPr>
          <w:p w14:paraId="7D00833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eastAsia="宋体"/>
                <w:color w:val="auto"/>
                <w:spacing w:val="0"/>
                <w:w w:val="100"/>
                <w:kern w:val="21"/>
                <w:position w:val="0"/>
                <w:sz w:val="21"/>
                <w:lang w:val="en-US" w:eastAsia="zh-CN"/>
              </w:rPr>
            </w:pPr>
            <w:r>
              <w:rPr>
                <w:rFonts w:hint="eastAsia"/>
                <w:color w:val="auto"/>
                <w:spacing w:val="0"/>
                <w:w w:val="100"/>
                <w:kern w:val="0"/>
                <w:position w:val="0"/>
                <w:sz w:val="21"/>
                <w:lang w:val="en-US" w:eastAsia="zh-CN" w:bidi="ar"/>
              </w:rPr>
              <w:t>26.334</w:t>
            </w:r>
          </w:p>
        </w:tc>
        <w:tc>
          <w:tcPr>
            <w:tcW w:w="1209" w:type="pct"/>
            <w:tcBorders>
              <w:tl2br w:val="nil"/>
              <w:tr2bl w:val="nil"/>
            </w:tcBorders>
            <w:vAlign w:val="center"/>
          </w:tcPr>
          <w:p w14:paraId="26157FEF">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color w:val="auto"/>
                <w:spacing w:val="0"/>
                <w:w w:val="100"/>
                <w:kern w:val="21"/>
                <w:position w:val="0"/>
                <w:sz w:val="21"/>
                <w:szCs w:val="21"/>
                <w:lang w:eastAsia="zh-CN"/>
              </w:rPr>
            </w:pPr>
            <w:r>
              <w:rPr>
                <w:rFonts w:hint="default" w:ascii="Times New Roman" w:hAnsi="Times New Roman" w:eastAsia="宋体" w:cs="Times New Roman"/>
                <w:color w:val="auto"/>
                <w:spacing w:val="0"/>
                <w:w w:val="100"/>
                <w:kern w:val="21"/>
                <w:position w:val="0"/>
                <w:sz w:val="21"/>
                <w:szCs w:val="21"/>
                <w:lang w:eastAsia="zh-CN"/>
              </w:rPr>
              <w:t>密闭管道收集（集气效率9</w:t>
            </w:r>
            <w:r>
              <w:rPr>
                <w:rFonts w:hint="eastAsia" w:ascii="Times New Roman" w:hAnsi="Times New Roman" w:eastAsia="宋体" w:cs="Times New Roman"/>
                <w:color w:val="auto"/>
                <w:spacing w:val="0"/>
                <w:w w:val="100"/>
                <w:kern w:val="21"/>
                <w:position w:val="0"/>
                <w:sz w:val="21"/>
                <w:szCs w:val="21"/>
                <w:lang w:val="en-US" w:eastAsia="zh-CN"/>
              </w:rPr>
              <w:t>5</w:t>
            </w:r>
            <w:r>
              <w:rPr>
                <w:rFonts w:hint="default" w:ascii="Times New Roman" w:hAnsi="Times New Roman" w:eastAsia="宋体" w:cs="Times New Roman"/>
                <w:color w:val="auto"/>
                <w:spacing w:val="0"/>
                <w:w w:val="100"/>
                <w:kern w:val="21"/>
                <w:position w:val="0"/>
                <w:sz w:val="21"/>
                <w:szCs w:val="21"/>
                <w:lang w:eastAsia="zh-CN"/>
              </w:rPr>
              <w:t>%）至布袋除尘器处理（处理效率为99%）</w:t>
            </w:r>
            <w:r>
              <w:rPr>
                <w:rFonts w:hint="eastAsia" w:ascii="Times New Roman" w:hAnsi="Times New Roman" w:eastAsia="宋体" w:cs="Times New Roman"/>
                <w:color w:val="auto"/>
                <w:spacing w:val="0"/>
                <w:w w:val="100"/>
                <w:kern w:val="21"/>
                <w:position w:val="0"/>
                <w:sz w:val="21"/>
                <w:szCs w:val="21"/>
                <w:lang w:val="en-US" w:eastAsia="zh-CN"/>
              </w:rPr>
              <w:t>+</w:t>
            </w:r>
            <w:r>
              <w:rPr>
                <w:rFonts w:hint="default" w:ascii="Times New Roman" w:hAnsi="Times New Roman" w:eastAsia="宋体" w:cs="Times New Roman"/>
                <w:color w:val="auto"/>
                <w:spacing w:val="0"/>
                <w:w w:val="100"/>
                <w:kern w:val="21"/>
                <w:position w:val="0"/>
                <w:sz w:val="21"/>
                <w:szCs w:val="21"/>
                <w:lang w:eastAsia="zh-CN"/>
              </w:rPr>
              <w:t>15m排气筒（DA00</w:t>
            </w:r>
            <w:r>
              <w:rPr>
                <w:rFonts w:hint="eastAsia" w:ascii="Times New Roman" w:hAnsi="Times New Roman" w:eastAsia="宋体" w:cs="Times New Roman"/>
                <w:color w:val="auto"/>
                <w:spacing w:val="0"/>
                <w:w w:val="100"/>
                <w:kern w:val="21"/>
                <w:position w:val="0"/>
                <w:sz w:val="21"/>
                <w:szCs w:val="21"/>
                <w:lang w:val="en-US" w:eastAsia="zh-CN"/>
              </w:rPr>
              <w:t>1</w:t>
            </w:r>
            <w:r>
              <w:rPr>
                <w:rFonts w:hint="default" w:ascii="Times New Roman" w:hAnsi="Times New Roman" w:eastAsia="宋体" w:cs="Times New Roman"/>
                <w:color w:val="auto"/>
                <w:spacing w:val="0"/>
                <w:w w:val="100"/>
                <w:kern w:val="21"/>
                <w:position w:val="0"/>
                <w:sz w:val="21"/>
                <w:szCs w:val="21"/>
                <w:lang w:eastAsia="zh-CN"/>
              </w:rPr>
              <w:t>）排放</w:t>
            </w:r>
          </w:p>
        </w:tc>
        <w:tc>
          <w:tcPr>
            <w:tcW w:w="401" w:type="pct"/>
            <w:tcBorders>
              <w:tl2br w:val="nil"/>
              <w:tr2bl w:val="nil"/>
            </w:tcBorders>
            <w:vAlign w:val="center"/>
          </w:tcPr>
          <w:p w14:paraId="1290EC0F">
            <w:pPr>
              <w:keepNext w:val="0"/>
              <w:keepLines w:val="0"/>
              <w:widowControl/>
              <w:suppressLineNumbers w:val="0"/>
              <w:spacing w:before="0" w:beforeAutospacing="0" w:after="0" w:afterAutospacing="0"/>
              <w:ind w:left="0" w:right="0" w:firstLine="0" w:firstLineChars="0"/>
              <w:jc w:val="center"/>
              <w:textAlignment w:val="center"/>
              <w:rPr>
                <w:rFonts w:hint="default"/>
                <w:color w:val="auto"/>
                <w:spacing w:val="0"/>
                <w:w w:val="100"/>
                <w:kern w:val="21"/>
                <w:position w:val="0"/>
                <w:sz w:val="21"/>
                <w:lang w:val="en-US"/>
              </w:rPr>
            </w:pPr>
            <w:r>
              <w:rPr>
                <w:rFonts w:hint="default" w:ascii="Times New Roman" w:hAnsi="Times New Roman" w:eastAsia="宋体" w:cs="Times New Roman"/>
                <w:i w:val="0"/>
                <w:iCs w:val="0"/>
                <w:color w:val="auto"/>
                <w:spacing w:val="0"/>
                <w:kern w:val="0"/>
                <w:sz w:val="21"/>
                <w:szCs w:val="21"/>
                <w:u w:val="none"/>
                <w:lang w:val="en-US" w:eastAsia="zh-CN" w:bidi="ar"/>
              </w:rPr>
              <w:t>0.0</w:t>
            </w:r>
            <w:r>
              <w:rPr>
                <w:rFonts w:hint="eastAsia" w:cs="Times New Roman"/>
                <w:i w:val="0"/>
                <w:iCs w:val="0"/>
                <w:color w:val="auto"/>
                <w:spacing w:val="0"/>
                <w:kern w:val="0"/>
                <w:sz w:val="21"/>
                <w:szCs w:val="21"/>
                <w:u w:val="none"/>
                <w:lang w:val="en-US" w:eastAsia="zh-CN" w:bidi="ar"/>
              </w:rPr>
              <w:t>55</w:t>
            </w:r>
          </w:p>
        </w:tc>
        <w:tc>
          <w:tcPr>
            <w:tcW w:w="717" w:type="pct"/>
            <w:tcBorders>
              <w:tl2br w:val="nil"/>
              <w:tr2bl w:val="nil"/>
            </w:tcBorders>
            <w:vAlign w:val="center"/>
          </w:tcPr>
          <w:p w14:paraId="07B88044">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default"/>
                <w:color w:val="auto"/>
                <w:spacing w:val="0"/>
                <w:w w:val="100"/>
                <w:kern w:val="21"/>
                <w:position w:val="0"/>
                <w:sz w:val="21"/>
                <w:lang w:val="en-US"/>
              </w:rPr>
            </w:pPr>
            <w:r>
              <w:rPr>
                <w:rFonts w:hint="eastAsia" w:cs="Times New Roman"/>
                <w:i w:val="0"/>
                <w:iCs w:val="0"/>
                <w:color w:val="auto"/>
                <w:spacing w:val="0"/>
                <w:w w:val="100"/>
                <w:kern w:val="0"/>
                <w:position w:val="0"/>
                <w:sz w:val="21"/>
                <w:szCs w:val="21"/>
                <w:u w:val="none"/>
                <w:lang w:val="en-US" w:eastAsia="zh-CN" w:bidi="ar"/>
              </w:rPr>
              <w:t>5.479</w:t>
            </w:r>
          </w:p>
        </w:tc>
        <w:tc>
          <w:tcPr>
            <w:tcW w:w="378" w:type="pct"/>
            <w:tcBorders>
              <w:tl2br w:val="nil"/>
              <w:tr2bl w:val="nil"/>
            </w:tcBorders>
            <w:vAlign w:val="center"/>
          </w:tcPr>
          <w:p w14:paraId="27A1ECD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eastAsia="宋体"/>
                <w:color w:val="auto"/>
                <w:spacing w:val="0"/>
                <w:w w:val="100"/>
                <w:kern w:val="21"/>
                <w:position w:val="0"/>
                <w:sz w:val="21"/>
                <w:lang w:val="en-US" w:eastAsia="zh-CN"/>
              </w:rPr>
            </w:pPr>
            <w:r>
              <w:rPr>
                <w:rFonts w:hint="default"/>
                <w:color w:val="auto"/>
                <w:spacing w:val="0"/>
                <w:w w:val="100"/>
                <w:kern w:val="0"/>
                <w:position w:val="0"/>
                <w:sz w:val="21"/>
                <w:lang w:bidi="ar"/>
              </w:rPr>
              <w:t>0.2</w:t>
            </w:r>
            <w:r>
              <w:rPr>
                <w:rFonts w:hint="eastAsia"/>
                <w:color w:val="auto"/>
                <w:spacing w:val="0"/>
                <w:w w:val="100"/>
                <w:kern w:val="0"/>
                <w:position w:val="0"/>
                <w:sz w:val="21"/>
                <w:lang w:val="en-US" w:eastAsia="zh-CN" w:bidi="ar"/>
              </w:rPr>
              <w:t>63</w:t>
            </w:r>
          </w:p>
        </w:tc>
      </w:tr>
      <w:tr w14:paraId="21175D7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90" w:hRule="atLeast"/>
          <w:jc w:val="center"/>
        </w:trPr>
        <w:tc>
          <w:tcPr>
            <w:tcW w:w="259" w:type="pct"/>
            <w:vMerge w:val="continue"/>
            <w:tcBorders>
              <w:tl2br w:val="nil"/>
              <w:tr2bl w:val="nil"/>
            </w:tcBorders>
            <w:vAlign w:val="center"/>
          </w:tcPr>
          <w:p w14:paraId="4FDC1FD9">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color w:val="auto"/>
                <w:spacing w:val="0"/>
                <w:w w:val="100"/>
                <w:kern w:val="21"/>
                <w:position w:val="0"/>
                <w:sz w:val="21"/>
                <w:szCs w:val="21"/>
                <w:lang w:eastAsia="zh-CN"/>
              </w:rPr>
            </w:pPr>
          </w:p>
        </w:tc>
        <w:tc>
          <w:tcPr>
            <w:tcW w:w="233" w:type="pct"/>
            <w:tcBorders>
              <w:tl2br w:val="nil"/>
              <w:tr2bl w:val="nil"/>
            </w:tcBorders>
            <w:vAlign w:val="center"/>
          </w:tcPr>
          <w:p w14:paraId="356A58D1">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color w:val="auto"/>
                <w:spacing w:val="0"/>
                <w:w w:val="100"/>
                <w:kern w:val="21"/>
                <w:position w:val="0"/>
                <w:sz w:val="21"/>
                <w:szCs w:val="21"/>
                <w:lang w:eastAsia="zh-CN"/>
              </w:rPr>
            </w:pPr>
            <w:r>
              <w:rPr>
                <w:rFonts w:hint="default" w:ascii="Times New Roman" w:hAnsi="Times New Roman" w:eastAsia="宋体" w:cs="Times New Roman"/>
                <w:color w:val="auto"/>
                <w:spacing w:val="0"/>
                <w:w w:val="100"/>
                <w:kern w:val="21"/>
                <w:position w:val="0"/>
                <w:sz w:val="21"/>
                <w:szCs w:val="21"/>
                <w:lang w:eastAsia="zh-CN"/>
              </w:rPr>
              <w:t>无组织</w:t>
            </w:r>
          </w:p>
        </w:tc>
        <w:tc>
          <w:tcPr>
            <w:tcW w:w="247" w:type="pct"/>
            <w:vMerge w:val="continue"/>
            <w:tcBorders>
              <w:tl2br w:val="nil"/>
              <w:tr2bl w:val="nil"/>
            </w:tcBorders>
            <w:vAlign w:val="center"/>
          </w:tcPr>
          <w:p w14:paraId="46B9E967">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color w:val="auto"/>
                <w:spacing w:val="0"/>
                <w:w w:val="100"/>
                <w:kern w:val="21"/>
                <w:position w:val="0"/>
                <w:sz w:val="21"/>
                <w:szCs w:val="21"/>
                <w:lang w:eastAsia="zh-CN"/>
              </w:rPr>
            </w:pPr>
          </w:p>
        </w:tc>
        <w:tc>
          <w:tcPr>
            <w:tcW w:w="401" w:type="pct"/>
            <w:tcBorders>
              <w:tl2br w:val="nil"/>
              <w:tr2bl w:val="nil"/>
            </w:tcBorders>
            <w:vAlign w:val="center"/>
          </w:tcPr>
          <w:p w14:paraId="3FE044FF">
            <w:pPr>
              <w:keepNext w:val="0"/>
              <w:keepLines w:val="0"/>
              <w:widowControl/>
              <w:suppressLineNumbers w:val="0"/>
              <w:spacing w:before="0" w:beforeAutospacing="0" w:after="0" w:afterAutospacing="0"/>
              <w:ind w:left="0" w:right="0" w:firstLine="0" w:firstLineChars="0"/>
              <w:jc w:val="center"/>
              <w:textAlignment w:val="center"/>
              <w:rPr>
                <w:rFonts w:hint="default"/>
                <w:color w:val="auto"/>
                <w:spacing w:val="0"/>
                <w:w w:val="100"/>
                <w:kern w:val="21"/>
                <w:position w:val="0"/>
                <w:sz w:val="21"/>
                <w:lang w:val="en-US"/>
              </w:rPr>
            </w:pPr>
            <w:r>
              <w:rPr>
                <w:rFonts w:hint="default" w:ascii="Times New Roman" w:hAnsi="Times New Roman" w:eastAsia="宋体" w:cs="Times New Roman"/>
                <w:i w:val="0"/>
                <w:iCs w:val="0"/>
                <w:color w:val="auto"/>
                <w:spacing w:val="0"/>
                <w:kern w:val="0"/>
                <w:sz w:val="21"/>
                <w:szCs w:val="21"/>
                <w:u w:val="none"/>
                <w:lang w:val="en-US" w:eastAsia="zh-CN" w:bidi="ar"/>
              </w:rPr>
              <w:t>0.2</w:t>
            </w:r>
            <w:r>
              <w:rPr>
                <w:rFonts w:hint="eastAsia" w:cs="Times New Roman"/>
                <w:i w:val="0"/>
                <w:iCs w:val="0"/>
                <w:color w:val="auto"/>
                <w:spacing w:val="0"/>
                <w:kern w:val="0"/>
                <w:sz w:val="21"/>
                <w:szCs w:val="21"/>
                <w:u w:val="none"/>
                <w:lang w:val="en-US" w:eastAsia="zh-CN" w:bidi="ar"/>
              </w:rPr>
              <w:t>89</w:t>
            </w:r>
          </w:p>
        </w:tc>
        <w:tc>
          <w:tcPr>
            <w:tcW w:w="717" w:type="pct"/>
            <w:tcBorders>
              <w:tl2br w:val="nil"/>
              <w:tr2bl w:val="nil"/>
            </w:tcBorders>
            <w:vAlign w:val="center"/>
          </w:tcPr>
          <w:p w14:paraId="12903EF0">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default"/>
                <w:color w:val="auto"/>
                <w:spacing w:val="0"/>
                <w:w w:val="100"/>
                <w:kern w:val="21"/>
                <w:position w:val="0"/>
                <w:sz w:val="21"/>
              </w:rPr>
            </w:pP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w:t>
            </w:r>
          </w:p>
        </w:tc>
        <w:tc>
          <w:tcPr>
            <w:tcW w:w="434" w:type="pct"/>
            <w:tcBorders>
              <w:tl2br w:val="nil"/>
              <w:tr2bl w:val="nil"/>
            </w:tcBorders>
            <w:vAlign w:val="center"/>
          </w:tcPr>
          <w:p w14:paraId="757A0B3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eastAsia="宋体"/>
                <w:color w:val="auto"/>
                <w:spacing w:val="0"/>
                <w:w w:val="100"/>
                <w:kern w:val="21"/>
                <w:position w:val="0"/>
                <w:sz w:val="21"/>
                <w:lang w:val="en-US" w:eastAsia="zh-CN"/>
              </w:rPr>
            </w:pPr>
            <w:r>
              <w:rPr>
                <w:rFonts w:hint="eastAsia"/>
                <w:color w:val="auto"/>
                <w:spacing w:val="0"/>
                <w:w w:val="100"/>
                <w:kern w:val="0"/>
                <w:position w:val="0"/>
                <w:sz w:val="21"/>
                <w:lang w:val="en-US" w:eastAsia="zh-CN" w:bidi="ar"/>
              </w:rPr>
              <w:t>1.386</w:t>
            </w:r>
          </w:p>
        </w:tc>
        <w:tc>
          <w:tcPr>
            <w:tcW w:w="1209" w:type="pct"/>
            <w:tcBorders>
              <w:tl2br w:val="nil"/>
              <w:tr2bl w:val="nil"/>
            </w:tcBorders>
            <w:vAlign w:val="center"/>
          </w:tcPr>
          <w:p w14:paraId="0A5E5381">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color w:val="auto"/>
                <w:spacing w:val="0"/>
                <w:w w:val="100"/>
                <w:kern w:val="21"/>
                <w:position w:val="0"/>
                <w:sz w:val="21"/>
                <w:szCs w:val="21"/>
                <w:lang w:eastAsia="zh-CN"/>
              </w:rPr>
            </w:pPr>
            <w:r>
              <w:rPr>
                <w:rFonts w:hint="eastAsia" w:ascii="Times New Roman" w:hAnsi="Times New Roman" w:eastAsia="宋体" w:cs="Times New Roman"/>
                <w:color w:val="auto"/>
                <w:spacing w:val="0"/>
                <w:w w:val="100"/>
                <w:kern w:val="21"/>
                <w:position w:val="0"/>
                <w:sz w:val="21"/>
                <w:szCs w:val="21"/>
                <w:lang w:val="en-US" w:eastAsia="zh-CN"/>
              </w:rPr>
              <w:t>/</w:t>
            </w:r>
          </w:p>
        </w:tc>
        <w:tc>
          <w:tcPr>
            <w:tcW w:w="401" w:type="pct"/>
            <w:tcBorders>
              <w:tl2br w:val="nil"/>
              <w:tr2bl w:val="nil"/>
            </w:tcBorders>
            <w:vAlign w:val="center"/>
          </w:tcPr>
          <w:p w14:paraId="28B37930">
            <w:pPr>
              <w:keepNext w:val="0"/>
              <w:keepLines w:val="0"/>
              <w:widowControl/>
              <w:suppressLineNumbers w:val="0"/>
              <w:spacing w:before="0" w:beforeAutospacing="0" w:after="0" w:afterAutospacing="0"/>
              <w:ind w:left="0" w:right="0" w:firstLine="0" w:firstLineChars="0"/>
              <w:jc w:val="center"/>
              <w:textAlignment w:val="center"/>
              <w:rPr>
                <w:rFonts w:hint="default"/>
                <w:color w:val="auto"/>
                <w:spacing w:val="0"/>
                <w:w w:val="100"/>
                <w:kern w:val="21"/>
                <w:position w:val="0"/>
                <w:sz w:val="21"/>
                <w:lang w:val="en-US"/>
              </w:rPr>
            </w:pPr>
            <w:r>
              <w:rPr>
                <w:rFonts w:hint="default" w:ascii="Times New Roman" w:hAnsi="Times New Roman" w:eastAsia="宋体" w:cs="Times New Roman"/>
                <w:i w:val="0"/>
                <w:iCs w:val="0"/>
                <w:color w:val="auto"/>
                <w:spacing w:val="0"/>
                <w:kern w:val="0"/>
                <w:sz w:val="21"/>
                <w:szCs w:val="21"/>
                <w:u w:val="none"/>
                <w:lang w:val="en-US" w:eastAsia="zh-CN" w:bidi="ar"/>
              </w:rPr>
              <w:t>0.2</w:t>
            </w:r>
            <w:r>
              <w:rPr>
                <w:rFonts w:hint="eastAsia" w:cs="Times New Roman"/>
                <w:i w:val="0"/>
                <w:iCs w:val="0"/>
                <w:color w:val="auto"/>
                <w:spacing w:val="0"/>
                <w:kern w:val="0"/>
                <w:sz w:val="21"/>
                <w:szCs w:val="21"/>
                <w:u w:val="none"/>
                <w:lang w:val="en-US" w:eastAsia="zh-CN" w:bidi="ar"/>
              </w:rPr>
              <w:t>89</w:t>
            </w:r>
          </w:p>
        </w:tc>
        <w:tc>
          <w:tcPr>
            <w:tcW w:w="717" w:type="pct"/>
            <w:tcBorders>
              <w:tl2br w:val="nil"/>
              <w:tr2bl w:val="nil"/>
            </w:tcBorders>
            <w:vAlign w:val="center"/>
          </w:tcPr>
          <w:p w14:paraId="48C5F942">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default"/>
                <w:color w:val="auto"/>
                <w:spacing w:val="0"/>
                <w:w w:val="100"/>
                <w:kern w:val="21"/>
                <w:position w:val="0"/>
                <w:sz w:val="21"/>
              </w:rPr>
            </w:pP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w:t>
            </w:r>
          </w:p>
        </w:tc>
        <w:tc>
          <w:tcPr>
            <w:tcW w:w="378" w:type="pct"/>
            <w:tcBorders>
              <w:tl2br w:val="nil"/>
              <w:tr2bl w:val="nil"/>
            </w:tcBorders>
            <w:vAlign w:val="center"/>
          </w:tcPr>
          <w:p w14:paraId="2EAC1EA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eastAsia="宋体"/>
                <w:color w:val="auto"/>
                <w:spacing w:val="0"/>
                <w:w w:val="100"/>
                <w:kern w:val="21"/>
                <w:position w:val="0"/>
                <w:sz w:val="21"/>
                <w:lang w:val="en-US" w:eastAsia="zh-CN"/>
              </w:rPr>
            </w:pPr>
            <w:r>
              <w:rPr>
                <w:rFonts w:hint="eastAsia"/>
                <w:color w:val="auto"/>
                <w:spacing w:val="0"/>
                <w:w w:val="100"/>
                <w:kern w:val="0"/>
                <w:position w:val="0"/>
                <w:sz w:val="21"/>
                <w:lang w:val="en-US" w:eastAsia="zh-CN" w:bidi="ar"/>
              </w:rPr>
              <w:t>1.386</w:t>
            </w:r>
          </w:p>
        </w:tc>
      </w:tr>
      <w:tr w14:paraId="792D6CA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jc w:val="center"/>
        </w:trPr>
        <w:tc>
          <w:tcPr>
            <w:tcW w:w="259" w:type="pct"/>
            <w:vMerge w:val="restart"/>
            <w:tcBorders>
              <w:tl2br w:val="nil"/>
              <w:tr2bl w:val="nil"/>
            </w:tcBorders>
            <w:vAlign w:val="center"/>
          </w:tcPr>
          <w:p w14:paraId="11FE0BB8">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color w:val="auto"/>
                <w:spacing w:val="0"/>
                <w:w w:val="100"/>
                <w:kern w:val="21"/>
                <w:position w:val="0"/>
                <w:sz w:val="21"/>
                <w:szCs w:val="21"/>
                <w:lang w:val="en-US" w:eastAsia="zh-CN"/>
              </w:rPr>
            </w:pPr>
            <w:r>
              <w:rPr>
                <w:rFonts w:hint="eastAsia" w:ascii="Times New Roman" w:hAnsi="Times New Roman" w:eastAsia="宋体" w:cs="Times New Roman"/>
                <w:color w:val="auto"/>
                <w:spacing w:val="0"/>
                <w:w w:val="100"/>
                <w:kern w:val="21"/>
                <w:position w:val="0"/>
                <w:sz w:val="21"/>
                <w:szCs w:val="21"/>
                <w:lang w:val="en-US" w:eastAsia="zh-CN"/>
              </w:rPr>
              <w:t>挤出成型</w:t>
            </w:r>
          </w:p>
        </w:tc>
        <w:tc>
          <w:tcPr>
            <w:tcW w:w="233" w:type="pct"/>
            <w:tcBorders>
              <w:tl2br w:val="nil"/>
              <w:tr2bl w:val="nil"/>
            </w:tcBorders>
            <w:shd w:val="clear" w:color="auto" w:fill="auto"/>
            <w:vAlign w:val="center"/>
          </w:tcPr>
          <w:p w14:paraId="049FC208">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color w:val="auto"/>
                <w:spacing w:val="0"/>
                <w:w w:val="100"/>
                <w:kern w:val="21"/>
                <w:position w:val="0"/>
                <w:sz w:val="21"/>
                <w:szCs w:val="21"/>
                <w:lang w:val="en-US" w:eastAsia="zh-CN" w:bidi="ar-SA"/>
              </w:rPr>
            </w:pPr>
            <w:r>
              <w:rPr>
                <w:rFonts w:hint="default" w:ascii="Times New Roman" w:hAnsi="Times New Roman" w:eastAsia="宋体" w:cs="Times New Roman"/>
                <w:color w:val="auto"/>
                <w:spacing w:val="0"/>
                <w:w w:val="100"/>
                <w:kern w:val="21"/>
                <w:position w:val="0"/>
                <w:sz w:val="21"/>
                <w:szCs w:val="21"/>
                <w:lang w:eastAsia="zh-CN"/>
              </w:rPr>
              <w:t>有组织</w:t>
            </w:r>
          </w:p>
        </w:tc>
        <w:tc>
          <w:tcPr>
            <w:tcW w:w="247" w:type="pct"/>
            <w:vMerge w:val="restart"/>
            <w:tcBorders>
              <w:tl2br w:val="nil"/>
              <w:tr2bl w:val="nil"/>
            </w:tcBorders>
            <w:vAlign w:val="center"/>
          </w:tcPr>
          <w:p w14:paraId="24381B12">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color w:val="auto"/>
                <w:spacing w:val="0"/>
                <w:w w:val="100"/>
                <w:kern w:val="21"/>
                <w:position w:val="0"/>
                <w:sz w:val="21"/>
                <w:szCs w:val="21"/>
                <w:lang w:val="en-US" w:eastAsia="zh-CN"/>
              </w:rPr>
            </w:pPr>
            <w:r>
              <w:rPr>
                <w:rFonts w:hint="eastAsia" w:ascii="Times New Roman" w:hAnsi="Times New Roman" w:eastAsia="宋体" w:cs="Times New Roman"/>
                <w:color w:val="auto"/>
                <w:spacing w:val="0"/>
                <w:w w:val="100"/>
                <w:kern w:val="21"/>
                <w:position w:val="0"/>
                <w:sz w:val="21"/>
                <w:szCs w:val="21"/>
                <w:lang w:val="en-US" w:eastAsia="zh-CN"/>
              </w:rPr>
              <w:t>非甲烷总烃</w:t>
            </w:r>
          </w:p>
        </w:tc>
        <w:tc>
          <w:tcPr>
            <w:tcW w:w="401" w:type="pct"/>
            <w:tcBorders>
              <w:tl2br w:val="nil"/>
              <w:tr2bl w:val="nil"/>
            </w:tcBorders>
            <w:vAlign w:val="center"/>
          </w:tcPr>
          <w:p w14:paraId="4C4CB921">
            <w:pPr>
              <w:keepNext w:val="0"/>
              <w:keepLines w:val="0"/>
              <w:widowControl/>
              <w:suppressLineNumbers w:val="0"/>
              <w:spacing w:before="0" w:beforeAutospacing="0" w:after="0" w:afterAutospacing="0"/>
              <w:ind w:left="0" w:right="0" w:firstLine="0" w:firstLineChars="0"/>
              <w:jc w:val="center"/>
              <w:textAlignment w:val="center"/>
              <w:rPr>
                <w:rFonts w:hint="default"/>
                <w:color w:val="auto"/>
                <w:spacing w:val="0"/>
                <w:w w:val="100"/>
                <w:kern w:val="0"/>
                <w:position w:val="0"/>
                <w:sz w:val="21"/>
                <w:lang w:val="en-US" w:bidi="ar"/>
              </w:rPr>
            </w:pPr>
            <w:r>
              <w:rPr>
                <w:rFonts w:hint="eastAsia" w:cs="Times New Roman"/>
                <w:i w:val="0"/>
                <w:iCs w:val="0"/>
                <w:color w:val="auto"/>
                <w:spacing w:val="0"/>
                <w:kern w:val="0"/>
                <w:sz w:val="21"/>
                <w:szCs w:val="21"/>
                <w:u w:val="none"/>
                <w:lang w:val="en-US" w:eastAsia="zh-CN" w:bidi="ar"/>
              </w:rPr>
              <w:t>1.155</w:t>
            </w:r>
          </w:p>
        </w:tc>
        <w:tc>
          <w:tcPr>
            <w:tcW w:w="717" w:type="pct"/>
            <w:tcBorders>
              <w:tl2br w:val="nil"/>
              <w:tr2bl w:val="nil"/>
            </w:tcBorders>
            <w:vAlign w:val="center"/>
          </w:tcPr>
          <w:p w14:paraId="29214602">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default"/>
                <w:color w:val="auto"/>
                <w:spacing w:val="0"/>
                <w:w w:val="100"/>
                <w:kern w:val="0"/>
                <w:position w:val="0"/>
                <w:sz w:val="21"/>
                <w:lang w:val="en-US" w:bidi="ar"/>
              </w:rPr>
            </w:pPr>
            <w:r>
              <w:rPr>
                <w:rFonts w:hint="eastAsia" w:cs="Times New Roman"/>
                <w:i w:val="0"/>
                <w:iCs w:val="0"/>
                <w:color w:val="auto"/>
                <w:spacing w:val="0"/>
                <w:w w:val="100"/>
                <w:kern w:val="0"/>
                <w:position w:val="0"/>
                <w:sz w:val="21"/>
                <w:szCs w:val="21"/>
                <w:u w:val="none"/>
                <w:lang w:val="en-US" w:eastAsia="zh-CN" w:bidi="ar"/>
              </w:rPr>
              <w:t>77</w:t>
            </w:r>
          </w:p>
        </w:tc>
        <w:tc>
          <w:tcPr>
            <w:tcW w:w="434" w:type="pct"/>
            <w:tcBorders>
              <w:tl2br w:val="nil"/>
              <w:tr2bl w:val="nil"/>
            </w:tcBorders>
            <w:vAlign w:val="center"/>
          </w:tcPr>
          <w:p w14:paraId="6782039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eastAsia="宋体"/>
                <w:color w:val="auto"/>
                <w:spacing w:val="0"/>
                <w:w w:val="100"/>
                <w:kern w:val="0"/>
                <w:position w:val="0"/>
                <w:sz w:val="21"/>
                <w:lang w:val="en-US" w:eastAsia="zh-CN" w:bidi="ar"/>
              </w:rPr>
            </w:pPr>
            <w:r>
              <w:rPr>
                <w:rFonts w:hint="eastAsia"/>
                <w:color w:val="auto"/>
                <w:spacing w:val="0"/>
                <w:w w:val="100"/>
                <w:kern w:val="0"/>
                <w:position w:val="0"/>
                <w:sz w:val="21"/>
                <w:lang w:val="en-US" w:eastAsia="zh-CN" w:bidi="ar"/>
              </w:rPr>
              <w:t>5.544</w:t>
            </w:r>
          </w:p>
        </w:tc>
        <w:tc>
          <w:tcPr>
            <w:tcW w:w="1209" w:type="pct"/>
            <w:tcBorders>
              <w:tl2br w:val="nil"/>
              <w:tr2bl w:val="nil"/>
            </w:tcBorders>
            <w:vAlign w:val="center"/>
          </w:tcPr>
          <w:p w14:paraId="2074155C">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color w:val="auto"/>
                <w:spacing w:val="0"/>
                <w:w w:val="100"/>
                <w:kern w:val="21"/>
                <w:position w:val="0"/>
                <w:sz w:val="21"/>
                <w:szCs w:val="21"/>
                <w:lang w:val="en-US" w:eastAsia="zh-CN"/>
              </w:rPr>
            </w:pPr>
            <w:r>
              <w:rPr>
                <w:rFonts w:hint="eastAsia" w:ascii="Times New Roman" w:hAnsi="Times New Roman" w:eastAsia="宋体" w:cs="Times New Roman"/>
                <w:color w:val="auto"/>
                <w:spacing w:val="0"/>
                <w:w w:val="100"/>
                <w:kern w:val="21"/>
                <w:position w:val="0"/>
                <w:sz w:val="21"/>
                <w:szCs w:val="21"/>
                <w:highlight w:val="none"/>
                <w:lang w:val="en-US" w:eastAsia="zh-CN"/>
              </w:rPr>
              <w:t>集气罩</w:t>
            </w:r>
            <w:r>
              <w:rPr>
                <w:rFonts w:hint="default" w:ascii="Times New Roman" w:hAnsi="Times New Roman" w:eastAsia="宋体" w:cs="Times New Roman"/>
                <w:color w:val="auto"/>
                <w:spacing w:val="0"/>
                <w:w w:val="100"/>
                <w:kern w:val="21"/>
                <w:position w:val="0"/>
                <w:sz w:val="21"/>
                <w:szCs w:val="21"/>
                <w:highlight w:val="none"/>
                <w:lang w:eastAsia="zh-CN"/>
              </w:rPr>
              <w:t>（集气效率</w:t>
            </w:r>
            <w:r>
              <w:rPr>
                <w:rFonts w:hint="eastAsia" w:ascii="Times New Roman" w:hAnsi="Times New Roman" w:eastAsia="宋体" w:cs="Times New Roman"/>
                <w:color w:val="auto"/>
                <w:spacing w:val="0"/>
                <w:w w:val="100"/>
                <w:kern w:val="21"/>
                <w:position w:val="0"/>
                <w:sz w:val="21"/>
                <w:szCs w:val="21"/>
                <w:highlight w:val="none"/>
                <w:lang w:val="en-US" w:eastAsia="zh-CN"/>
              </w:rPr>
              <w:t>80</w:t>
            </w:r>
            <w:r>
              <w:rPr>
                <w:rFonts w:hint="default" w:ascii="Times New Roman" w:hAnsi="Times New Roman" w:eastAsia="宋体" w:cs="Times New Roman"/>
                <w:color w:val="auto"/>
                <w:spacing w:val="0"/>
                <w:w w:val="100"/>
                <w:kern w:val="21"/>
                <w:position w:val="0"/>
                <w:sz w:val="21"/>
                <w:szCs w:val="21"/>
                <w:highlight w:val="none"/>
                <w:lang w:eastAsia="zh-CN"/>
              </w:rPr>
              <w:t>%）</w:t>
            </w:r>
            <w:r>
              <w:rPr>
                <w:rFonts w:hint="eastAsia" w:ascii="Times New Roman" w:hAnsi="Times New Roman" w:eastAsia="宋体" w:cs="Times New Roman"/>
                <w:color w:val="auto"/>
                <w:spacing w:val="0"/>
                <w:w w:val="100"/>
                <w:kern w:val="21"/>
                <w:position w:val="0"/>
                <w:sz w:val="21"/>
                <w:szCs w:val="21"/>
                <w:highlight w:val="none"/>
                <w:lang w:val="en-US" w:eastAsia="zh-CN"/>
              </w:rPr>
              <w:t>+</w:t>
            </w:r>
            <w:r>
              <w:rPr>
                <w:rFonts w:hint="eastAsia" w:ascii="Times New Roman" w:hAnsi="Times New Roman" w:eastAsia="宋体" w:cs="Times New Roman"/>
                <w:color w:val="auto"/>
                <w:spacing w:val="0"/>
                <w:w w:val="100"/>
                <w:kern w:val="21"/>
                <w:position w:val="0"/>
                <w:sz w:val="21"/>
                <w:szCs w:val="21"/>
                <w:lang w:val="en-US" w:eastAsia="zh-CN"/>
              </w:rPr>
              <w:t>“活性炭吸附脱附+催化燃烧装置”处理（处理效率为60%）+15m排气筒（DA002）排放</w:t>
            </w:r>
          </w:p>
        </w:tc>
        <w:tc>
          <w:tcPr>
            <w:tcW w:w="401" w:type="pct"/>
            <w:tcBorders>
              <w:tl2br w:val="nil"/>
              <w:tr2bl w:val="nil"/>
            </w:tcBorders>
            <w:vAlign w:val="center"/>
          </w:tcPr>
          <w:p w14:paraId="0F0E1069">
            <w:pPr>
              <w:keepNext w:val="0"/>
              <w:keepLines w:val="0"/>
              <w:widowControl/>
              <w:suppressLineNumbers w:val="0"/>
              <w:spacing w:before="0" w:beforeAutospacing="0" w:after="0" w:afterAutospacing="0"/>
              <w:ind w:left="0" w:right="0" w:firstLine="0" w:firstLineChars="0"/>
              <w:jc w:val="center"/>
              <w:textAlignment w:val="center"/>
              <w:rPr>
                <w:rFonts w:hint="default"/>
                <w:color w:val="auto"/>
                <w:spacing w:val="0"/>
                <w:w w:val="100"/>
                <w:kern w:val="0"/>
                <w:position w:val="0"/>
                <w:sz w:val="21"/>
                <w:lang w:val="en-US" w:bidi="ar"/>
              </w:rPr>
            </w:pPr>
            <w:r>
              <w:rPr>
                <w:rFonts w:hint="default" w:ascii="Times New Roman" w:hAnsi="Times New Roman" w:eastAsia="宋体" w:cs="Times New Roman"/>
                <w:i w:val="0"/>
                <w:iCs w:val="0"/>
                <w:color w:val="auto"/>
                <w:spacing w:val="0"/>
                <w:kern w:val="0"/>
                <w:sz w:val="21"/>
                <w:szCs w:val="21"/>
                <w:u w:val="none"/>
                <w:lang w:val="en-US" w:eastAsia="zh-CN" w:bidi="ar"/>
              </w:rPr>
              <w:t>0.</w:t>
            </w:r>
            <w:r>
              <w:rPr>
                <w:rFonts w:hint="eastAsia" w:cs="Times New Roman"/>
                <w:i w:val="0"/>
                <w:iCs w:val="0"/>
                <w:color w:val="auto"/>
                <w:spacing w:val="0"/>
                <w:kern w:val="0"/>
                <w:sz w:val="21"/>
                <w:szCs w:val="21"/>
                <w:u w:val="none"/>
                <w:lang w:val="en-US" w:eastAsia="zh-CN" w:bidi="ar"/>
              </w:rPr>
              <w:t>462</w:t>
            </w:r>
          </w:p>
        </w:tc>
        <w:tc>
          <w:tcPr>
            <w:tcW w:w="717" w:type="pct"/>
            <w:tcBorders>
              <w:tl2br w:val="nil"/>
              <w:tr2bl w:val="nil"/>
            </w:tcBorders>
            <w:vAlign w:val="center"/>
          </w:tcPr>
          <w:p w14:paraId="51457AF4">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default"/>
                <w:color w:val="auto"/>
                <w:spacing w:val="0"/>
                <w:w w:val="100"/>
                <w:kern w:val="0"/>
                <w:position w:val="0"/>
                <w:sz w:val="21"/>
                <w:lang w:val="en-US" w:bidi="ar"/>
              </w:rPr>
            </w:pPr>
            <w:r>
              <w:rPr>
                <w:rFonts w:hint="eastAsia" w:cs="Times New Roman"/>
                <w:i w:val="0"/>
                <w:iCs w:val="0"/>
                <w:color w:val="auto"/>
                <w:spacing w:val="0"/>
                <w:w w:val="100"/>
                <w:kern w:val="0"/>
                <w:position w:val="0"/>
                <w:sz w:val="21"/>
                <w:szCs w:val="21"/>
                <w:u w:val="none"/>
                <w:lang w:val="en-US" w:eastAsia="zh-CN" w:bidi="ar"/>
              </w:rPr>
              <w:t>30.806</w:t>
            </w:r>
          </w:p>
        </w:tc>
        <w:tc>
          <w:tcPr>
            <w:tcW w:w="378" w:type="pct"/>
            <w:tcBorders>
              <w:tl2br w:val="nil"/>
              <w:tr2bl w:val="nil"/>
            </w:tcBorders>
            <w:vAlign w:val="center"/>
          </w:tcPr>
          <w:p w14:paraId="5053697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eastAsia="宋体"/>
                <w:color w:val="auto"/>
                <w:spacing w:val="0"/>
                <w:w w:val="100"/>
                <w:kern w:val="0"/>
                <w:position w:val="0"/>
                <w:sz w:val="21"/>
                <w:lang w:val="en-US" w:eastAsia="zh-CN" w:bidi="ar"/>
              </w:rPr>
            </w:pPr>
            <w:r>
              <w:rPr>
                <w:rFonts w:hint="eastAsia"/>
                <w:color w:val="auto"/>
                <w:spacing w:val="0"/>
                <w:w w:val="100"/>
                <w:kern w:val="0"/>
                <w:position w:val="0"/>
                <w:sz w:val="21"/>
                <w:lang w:val="en-US" w:eastAsia="zh-CN" w:bidi="ar"/>
              </w:rPr>
              <w:t>2.218</w:t>
            </w:r>
          </w:p>
        </w:tc>
      </w:tr>
      <w:tr w14:paraId="494B843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jc w:val="center"/>
        </w:trPr>
        <w:tc>
          <w:tcPr>
            <w:tcW w:w="259" w:type="pct"/>
            <w:vMerge w:val="continue"/>
            <w:tcBorders>
              <w:tl2br w:val="nil"/>
              <w:tr2bl w:val="nil"/>
            </w:tcBorders>
            <w:vAlign w:val="center"/>
          </w:tcPr>
          <w:p w14:paraId="0CC3D251">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color w:val="auto"/>
                <w:spacing w:val="0"/>
                <w:w w:val="100"/>
                <w:kern w:val="21"/>
                <w:position w:val="0"/>
                <w:sz w:val="21"/>
                <w:szCs w:val="21"/>
                <w:lang w:eastAsia="zh-CN"/>
              </w:rPr>
            </w:pPr>
          </w:p>
        </w:tc>
        <w:tc>
          <w:tcPr>
            <w:tcW w:w="233" w:type="pct"/>
            <w:tcBorders>
              <w:tl2br w:val="nil"/>
              <w:tr2bl w:val="nil"/>
            </w:tcBorders>
            <w:shd w:val="clear" w:color="auto" w:fill="auto"/>
            <w:vAlign w:val="center"/>
          </w:tcPr>
          <w:p w14:paraId="04A3BD18">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color w:val="auto"/>
                <w:spacing w:val="0"/>
                <w:w w:val="100"/>
                <w:kern w:val="21"/>
                <w:position w:val="0"/>
                <w:sz w:val="21"/>
                <w:szCs w:val="21"/>
                <w:lang w:val="en-US" w:eastAsia="zh-CN" w:bidi="ar-SA"/>
              </w:rPr>
            </w:pPr>
            <w:r>
              <w:rPr>
                <w:rFonts w:hint="default" w:ascii="Times New Roman" w:hAnsi="Times New Roman" w:eastAsia="宋体" w:cs="Times New Roman"/>
                <w:color w:val="auto"/>
                <w:spacing w:val="0"/>
                <w:w w:val="100"/>
                <w:kern w:val="21"/>
                <w:position w:val="0"/>
                <w:sz w:val="21"/>
                <w:szCs w:val="21"/>
                <w:lang w:eastAsia="zh-CN"/>
              </w:rPr>
              <w:t>无组织</w:t>
            </w:r>
          </w:p>
        </w:tc>
        <w:tc>
          <w:tcPr>
            <w:tcW w:w="247" w:type="pct"/>
            <w:vMerge w:val="continue"/>
            <w:tcBorders>
              <w:tl2br w:val="nil"/>
              <w:tr2bl w:val="nil"/>
            </w:tcBorders>
            <w:vAlign w:val="center"/>
          </w:tcPr>
          <w:p w14:paraId="5F9B3264">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color w:val="auto"/>
                <w:spacing w:val="0"/>
                <w:w w:val="100"/>
                <w:kern w:val="21"/>
                <w:position w:val="0"/>
                <w:sz w:val="21"/>
                <w:szCs w:val="21"/>
                <w:lang w:eastAsia="zh-CN"/>
              </w:rPr>
            </w:pPr>
          </w:p>
        </w:tc>
        <w:tc>
          <w:tcPr>
            <w:tcW w:w="401" w:type="pct"/>
            <w:tcBorders>
              <w:tl2br w:val="nil"/>
              <w:tr2bl w:val="nil"/>
            </w:tcBorders>
            <w:vAlign w:val="center"/>
          </w:tcPr>
          <w:p w14:paraId="1AA857C3">
            <w:pPr>
              <w:keepNext w:val="0"/>
              <w:keepLines w:val="0"/>
              <w:widowControl/>
              <w:suppressLineNumbers w:val="0"/>
              <w:spacing w:before="0" w:beforeAutospacing="0" w:after="0" w:afterAutospacing="0"/>
              <w:ind w:left="0" w:right="0" w:firstLine="0" w:firstLineChars="0"/>
              <w:jc w:val="center"/>
              <w:textAlignment w:val="center"/>
              <w:rPr>
                <w:rFonts w:hint="default"/>
                <w:color w:val="auto"/>
                <w:spacing w:val="0"/>
                <w:w w:val="100"/>
                <w:kern w:val="0"/>
                <w:position w:val="0"/>
                <w:sz w:val="21"/>
                <w:lang w:val="en-US" w:bidi="ar"/>
              </w:rPr>
            </w:pPr>
            <w:r>
              <w:rPr>
                <w:rFonts w:hint="default" w:ascii="Times New Roman" w:hAnsi="Times New Roman" w:eastAsia="宋体" w:cs="Times New Roman"/>
                <w:i w:val="0"/>
                <w:iCs w:val="0"/>
                <w:color w:val="auto"/>
                <w:spacing w:val="0"/>
                <w:kern w:val="0"/>
                <w:sz w:val="21"/>
                <w:szCs w:val="21"/>
                <w:u w:val="none"/>
                <w:lang w:val="en-US" w:eastAsia="zh-CN" w:bidi="ar"/>
              </w:rPr>
              <w:t>0.2</w:t>
            </w:r>
            <w:r>
              <w:rPr>
                <w:rFonts w:hint="eastAsia" w:cs="Times New Roman"/>
                <w:i w:val="0"/>
                <w:iCs w:val="0"/>
                <w:color w:val="auto"/>
                <w:spacing w:val="0"/>
                <w:kern w:val="0"/>
                <w:sz w:val="21"/>
                <w:szCs w:val="21"/>
                <w:u w:val="none"/>
                <w:lang w:val="en-US" w:eastAsia="zh-CN" w:bidi="ar"/>
              </w:rPr>
              <w:t>89</w:t>
            </w:r>
          </w:p>
        </w:tc>
        <w:tc>
          <w:tcPr>
            <w:tcW w:w="717" w:type="pct"/>
            <w:tcBorders>
              <w:tl2br w:val="nil"/>
              <w:tr2bl w:val="nil"/>
            </w:tcBorders>
            <w:vAlign w:val="center"/>
          </w:tcPr>
          <w:p w14:paraId="1B09C394">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default"/>
                <w:color w:val="auto"/>
                <w:spacing w:val="0"/>
                <w:w w:val="100"/>
                <w:kern w:val="0"/>
                <w:position w:val="0"/>
                <w:sz w:val="21"/>
                <w:lang w:bidi="ar"/>
              </w:rPr>
            </w:pP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w:t>
            </w:r>
          </w:p>
        </w:tc>
        <w:tc>
          <w:tcPr>
            <w:tcW w:w="434" w:type="pct"/>
            <w:tcBorders>
              <w:tl2br w:val="nil"/>
              <w:tr2bl w:val="nil"/>
            </w:tcBorders>
            <w:vAlign w:val="center"/>
          </w:tcPr>
          <w:p w14:paraId="71F54E1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eastAsia="宋体"/>
                <w:color w:val="auto"/>
                <w:spacing w:val="0"/>
                <w:w w:val="100"/>
                <w:kern w:val="0"/>
                <w:position w:val="0"/>
                <w:sz w:val="21"/>
                <w:lang w:val="en-US" w:eastAsia="zh-CN" w:bidi="ar"/>
              </w:rPr>
            </w:pPr>
            <w:r>
              <w:rPr>
                <w:rFonts w:hint="eastAsia"/>
                <w:color w:val="auto"/>
                <w:spacing w:val="0"/>
                <w:w w:val="100"/>
                <w:kern w:val="0"/>
                <w:position w:val="0"/>
                <w:sz w:val="21"/>
                <w:lang w:val="en-US" w:eastAsia="zh-CN" w:bidi="ar"/>
              </w:rPr>
              <w:t>1.386</w:t>
            </w:r>
          </w:p>
        </w:tc>
        <w:tc>
          <w:tcPr>
            <w:tcW w:w="1209" w:type="pct"/>
            <w:tcBorders>
              <w:tl2br w:val="nil"/>
              <w:tr2bl w:val="nil"/>
            </w:tcBorders>
            <w:vAlign w:val="center"/>
          </w:tcPr>
          <w:p w14:paraId="6885B254">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color w:val="auto"/>
                <w:spacing w:val="0"/>
                <w:w w:val="100"/>
                <w:kern w:val="21"/>
                <w:position w:val="0"/>
                <w:sz w:val="21"/>
                <w:szCs w:val="21"/>
                <w:lang w:val="en-US" w:eastAsia="zh-CN"/>
              </w:rPr>
            </w:pPr>
            <w:r>
              <w:rPr>
                <w:rFonts w:hint="eastAsia" w:ascii="Times New Roman" w:hAnsi="Times New Roman" w:eastAsia="宋体" w:cs="Times New Roman"/>
                <w:color w:val="auto"/>
                <w:spacing w:val="0"/>
                <w:w w:val="100"/>
                <w:kern w:val="21"/>
                <w:position w:val="0"/>
                <w:sz w:val="21"/>
                <w:szCs w:val="21"/>
                <w:lang w:val="en-US" w:eastAsia="zh-CN"/>
              </w:rPr>
              <w:t>/</w:t>
            </w:r>
          </w:p>
        </w:tc>
        <w:tc>
          <w:tcPr>
            <w:tcW w:w="401" w:type="pct"/>
            <w:tcBorders>
              <w:tl2br w:val="nil"/>
              <w:tr2bl w:val="nil"/>
            </w:tcBorders>
            <w:vAlign w:val="center"/>
          </w:tcPr>
          <w:p w14:paraId="346738A7">
            <w:pPr>
              <w:keepNext w:val="0"/>
              <w:keepLines w:val="0"/>
              <w:widowControl/>
              <w:suppressLineNumbers w:val="0"/>
              <w:spacing w:before="0" w:beforeAutospacing="0" w:after="0" w:afterAutospacing="0"/>
              <w:ind w:left="0" w:right="0" w:firstLine="0" w:firstLineChars="0"/>
              <w:jc w:val="center"/>
              <w:textAlignment w:val="center"/>
              <w:rPr>
                <w:rFonts w:hint="default"/>
                <w:color w:val="auto"/>
                <w:spacing w:val="0"/>
                <w:w w:val="100"/>
                <w:kern w:val="0"/>
                <w:position w:val="0"/>
                <w:sz w:val="21"/>
                <w:lang w:val="en-US" w:bidi="ar"/>
              </w:rPr>
            </w:pPr>
            <w:r>
              <w:rPr>
                <w:rFonts w:hint="default" w:ascii="Times New Roman" w:hAnsi="Times New Roman" w:eastAsia="宋体" w:cs="Times New Roman"/>
                <w:i w:val="0"/>
                <w:iCs w:val="0"/>
                <w:color w:val="auto"/>
                <w:spacing w:val="0"/>
                <w:kern w:val="0"/>
                <w:sz w:val="21"/>
                <w:szCs w:val="21"/>
                <w:u w:val="none"/>
                <w:lang w:val="en-US" w:eastAsia="zh-CN" w:bidi="ar"/>
              </w:rPr>
              <w:t>0.2</w:t>
            </w:r>
            <w:r>
              <w:rPr>
                <w:rFonts w:hint="eastAsia" w:cs="Times New Roman"/>
                <w:i w:val="0"/>
                <w:iCs w:val="0"/>
                <w:color w:val="auto"/>
                <w:spacing w:val="0"/>
                <w:kern w:val="0"/>
                <w:sz w:val="21"/>
                <w:szCs w:val="21"/>
                <w:u w:val="none"/>
                <w:lang w:val="en-US" w:eastAsia="zh-CN" w:bidi="ar"/>
              </w:rPr>
              <w:t>89</w:t>
            </w:r>
          </w:p>
        </w:tc>
        <w:tc>
          <w:tcPr>
            <w:tcW w:w="717" w:type="pct"/>
            <w:tcBorders>
              <w:tl2br w:val="nil"/>
              <w:tr2bl w:val="nil"/>
            </w:tcBorders>
            <w:vAlign w:val="center"/>
          </w:tcPr>
          <w:p w14:paraId="04D24771">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default"/>
                <w:color w:val="auto"/>
                <w:spacing w:val="0"/>
                <w:w w:val="100"/>
                <w:kern w:val="0"/>
                <w:position w:val="0"/>
                <w:sz w:val="21"/>
                <w:lang w:bidi="ar"/>
              </w:rPr>
            </w:pP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w:t>
            </w:r>
          </w:p>
        </w:tc>
        <w:tc>
          <w:tcPr>
            <w:tcW w:w="378" w:type="pct"/>
            <w:tcBorders>
              <w:tl2br w:val="nil"/>
              <w:tr2bl w:val="nil"/>
            </w:tcBorders>
            <w:vAlign w:val="center"/>
          </w:tcPr>
          <w:p w14:paraId="3593D0F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eastAsia="宋体"/>
                <w:color w:val="auto"/>
                <w:spacing w:val="0"/>
                <w:w w:val="100"/>
                <w:kern w:val="0"/>
                <w:position w:val="0"/>
                <w:sz w:val="21"/>
                <w:lang w:val="en-US" w:eastAsia="zh-CN" w:bidi="ar"/>
              </w:rPr>
            </w:pPr>
            <w:r>
              <w:rPr>
                <w:rFonts w:hint="eastAsia"/>
                <w:color w:val="auto"/>
                <w:spacing w:val="0"/>
                <w:w w:val="100"/>
                <w:kern w:val="0"/>
                <w:position w:val="0"/>
                <w:sz w:val="21"/>
                <w:lang w:val="en-US" w:eastAsia="zh-CN" w:bidi="ar"/>
              </w:rPr>
              <w:t>1.386</w:t>
            </w:r>
          </w:p>
        </w:tc>
      </w:tr>
    </w:tbl>
    <w:p w14:paraId="0EDCE0BC">
      <w:pPr>
        <w:pStyle w:val="32"/>
        <w:keepNext w:val="0"/>
        <w:keepLines w:val="0"/>
        <w:pageBreakBefore w:val="0"/>
        <w:widowControl w:val="0"/>
        <w:kinsoku/>
        <w:wordWrap/>
        <w:overflowPunct/>
        <w:topLinePunct w:val="0"/>
        <w:autoSpaceDE/>
        <w:autoSpaceDN/>
        <w:bidi w:val="0"/>
        <w:adjustRightInd/>
        <w:snapToGrid/>
        <w:textAlignment w:val="auto"/>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（2）热压复合废气（G3）、修边保温废气（G4）</w:t>
      </w:r>
    </w:p>
    <w:p w14:paraId="449634C9">
      <w:pPr>
        <w:pStyle w:val="32"/>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本项目铝塑板生产挤出成型、热压复合、修边保温、热压工段过程为连续生产过程，热压复合、修边保温、热压工段进行时间较短，有机废气主要产生于塑料板芯挤出过程，故本次评价不单独核算热压复合、修边保温、热压工段生产环节废气。</w:t>
      </w:r>
    </w:p>
    <w:p w14:paraId="10ECA30E">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cs="Times New Roman"/>
          <w:caps w:val="0"/>
          <w:snapToGrid/>
          <w:color w:val="auto"/>
          <w:spacing w:val="0"/>
          <w:w w:val="100"/>
          <w:kern w:val="21"/>
          <w:position w:val="0"/>
          <w:sz w:val="24"/>
          <w:szCs w:val="24"/>
          <w:highlight w:val="none"/>
          <w:lang w:val="en-US" w:eastAsia="zh-CN"/>
        </w:rPr>
      </w:pPr>
      <w:r>
        <w:rPr>
          <w:rFonts w:hint="eastAsia" w:cs="Times New Roman"/>
          <w:caps w:val="0"/>
          <w:snapToGrid/>
          <w:color w:val="auto"/>
          <w:spacing w:val="0"/>
          <w:w w:val="100"/>
          <w:kern w:val="21"/>
          <w:position w:val="0"/>
          <w:sz w:val="24"/>
          <w:szCs w:val="24"/>
          <w:highlight w:val="none"/>
          <w:lang w:val="en-US" w:eastAsia="zh-CN"/>
        </w:rPr>
        <w:t>（3）整平贴膜废气（G6）</w:t>
      </w:r>
    </w:p>
    <w:p w14:paraId="533EB91D">
      <w:pPr>
        <w:pStyle w:val="17"/>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cs="Times New Roman"/>
          <w:caps w:val="0"/>
          <w:snapToGrid/>
          <w:color w:val="auto"/>
          <w:spacing w:val="0"/>
          <w:w w:val="100"/>
          <w:kern w:val="21"/>
          <w:position w:val="0"/>
          <w:sz w:val="24"/>
          <w:szCs w:val="24"/>
          <w:highlight w:val="none"/>
          <w:lang w:val="en-US" w:eastAsia="zh-CN"/>
        </w:rPr>
      </w:pPr>
      <w:r>
        <w:rPr>
          <w:rFonts w:hint="eastAsia" w:cs="Times New Roman"/>
          <w:caps w:val="0"/>
          <w:snapToGrid/>
          <w:color w:val="auto"/>
          <w:spacing w:val="0"/>
          <w:w w:val="100"/>
          <w:kern w:val="21"/>
          <w:position w:val="0"/>
          <w:sz w:val="24"/>
          <w:szCs w:val="24"/>
          <w:highlight w:val="none"/>
          <w:lang w:val="en-US" w:eastAsia="zh-CN"/>
        </w:rPr>
        <w:t>本项目整平贴膜工段保护膜自带粘性，会挥发出有少量有机废气，该工序在常温下进行，不进行加热，保护膜会挥发出的有机气体产生量极低，本次不再量化计算。</w:t>
      </w:r>
    </w:p>
    <w:p w14:paraId="69BFA46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caps w:val="0"/>
          <w:snapToGrid/>
          <w:color w:val="auto"/>
          <w:spacing w:val="0"/>
          <w:w w:val="100"/>
          <w:kern w:val="21"/>
          <w:position w:val="0"/>
          <w:sz w:val="24"/>
          <w:szCs w:val="24"/>
          <w:highlight w:val="none"/>
          <w:lang w:val="en-US" w:eastAsia="zh-CN"/>
        </w:rPr>
      </w:pPr>
      <w:r>
        <w:rPr>
          <w:rFonts w:hint="eastAsia" w:cs="Times New Roman"/>
          <w:caps w:val="0"/>
          <w:snapToGrid/>
          <w:color w:val="auto"/>
          <w:spacing w:val="0"/>
          <w:w w:val="100"/>
          <w:kern w:val="21"/>
          <w:position w:val="0"/>
          <w:sz w:val="24"/>
          <w:szCs w:val="24"/>
          <w:highlight w:val="none"/>
          <w:lang w:val="en-US" w:eastAsia="zh-CN"/>
        </w:rPr>
        <w:t>（4）修边剪切废</w:t>
      </w:r>
      <w:r>
        <w:rPr>
          <w:rFonts w:hint="eastAsia" w:ascii="Times New Roman" w:hAnsi="Times New Roman" w:eastAsia="宋体" w:cs="Times New Roman"/>
          <w:caps w:val="0"/>
          <w:snapToGrid/>
          <w:color w:val="auto"/>
          <w:spacing w:val="0"/>
          <w:w w:val="100"/>
          <w:kern w:val="21"/>
          <w:position w:val="0"/>
          <w:sz w:val="24"/>
          <w:szCs w:val="24"/>
          <w:highlight w:val="none"/>
          <w:lang w:val="en-US" w:eastAsia="zh-CN"/>
        </w:rPr>
        <w:t>气（G4、G7）</w:t>
      </w:r>
    </w:p>
    <w:p w14:paraId="47E1E82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color w:val="auto"/>
          <w:lang w:val="en-US" w:eastAsia="zh-CN"/>
        </w:rPr>
      </w:pPr>
      <w:r>
        <w:rPr>
          <w:rFonts w:hint="eastAsia"/>
          <w:color w:val="auto"/>
          <w:lang w:val="en-US" w:eastAsia="zh-CN"/>
        </w:rPr>
        <w:t>本项目修边剪切过程</w:t>
      </w:r>
      <w:r>
        <w:rPr>
          <w:rFonts w:hint="eastAsia"/>
          <w:color w:val="auto"/>
          <w:spacing w:val="0"/>
          <w:w w:val="100"/>
          <w:position w:val="0"/>
          <w:highlight w:val="none"/>
          <w:lang w:val="en-US" w:eastAsia="zh-CN"/>
        </w:rPr>
        <w:t>每张板需裁切的面积约为0.074m</w:t>
      </w:r>
      <w:r>
        <w:rPr>
          <w:rFonts w:hint="eastAsia"/>
          <w:color w:val="auto"/>
          <w:spacing w:val="0"/>
          <w:w w:val="100"/>
          <w:position w:val="0"/>
          <w:highlight w:val="none"/>
          <w:vertAlign w:val="superscript"/>
          <w:lang w:val="en-US" w:eastAsia="zh-CN"/>
        </w:rPr>
        <w:t>2</w:t>
      </w:r>
      <w:r>
        <w:rPr>
          <w:rFonts w:hint="eastAsia"/>
          <w:color w:val="auto"/>
          <w:spacing w:val="0"/>
          <w:w w:val="100"/>
          <w:position w:val="0"/>
          <w:highlight w:val="none"/>
          <w:vertAlign w:val="baseline"/>
          <w:lang w:val="en-US" w:eastAsia="zh-CN"/>
        </w:rPr>
        <w:t>，经计算，占总物料的2.4%，</w:t>
      </w:r>
      <w:r>
        <w:rPr>
          <w:rFonts w:hint="eastAsia"/>
          <w:color w:val="auto"/>
          <w:lang w:val="en-US" w:eastAsia="zh-CN"/>
        </w:rPr>
        <w:t>根据行业经验，机械加工粉尘排放系数通常取加工物料重量的0.1%~0.5%，本次取中间值0.25%，以不消耗计，本项目物料总重量约为7090t/a，需修边剪切部分为170.16t，则修边工序的年颗粒物产生量约为0.425t/a。该部分</w:t>
      </w:r>
      <w:r>
        <w:rPr>
          <w:rFonts w:hint="eastAsia" w:cs="Times New Roman"/>
          <w:caps w:val="0"/>
          <w:snapToGrid/>
          <w:color w:val="auto"/>
          <w:spacing w:val="0"/>
          <w:w w:val="100"/>
          <w:kern w:val="0"/>
          <w:position w:val="0"/>
          <w:sz w:val="24"/>
          <w:szCs w:val="24"/>
          <w:highlight w:val="none"/>
          <w:lang w:val="en-US" w:eastAsia="zh-CN"/>
        </w:rPr>
        <w:t>粉尘粒径较大，</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t>于车间内沉降，沉降率约</w:t>
      </w:r>
      <w:r>
        <w:rPr>
          <w:rFonts w:hint="eastAsia" w:eastAsia="宋体" w:cs="Times New Roman"/>
          <w:caps w:val="0"/>
          <w:snapToGrid/>
          <w:color w:val="auto"/>
          <w:spacing w:val="0"/>
          <w:w w:val="100"/>
          <w:kern w:val="0"/>
          <w:position w:val="0"/>
          <w:sz w:val="24"/>
          <w:szCs w:val="24"/>
          <w:highlight w:val="none"/>
          <w:lang w:val="en-US" w:eastAsia="zh-CN" w:bidi="ar-SA"/>
        </w:rPr>
        <w:t>8</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t>0%，沉降</w:t>
      </w:r>
      <w:r>
        <w:rPr>
          <w:rFonts w:hint="eastAsia" w:cs="Times New Roman"/>
          <w:caps w:val="0"/>
          <w:snapToGrid/>
          <w:color w:val="auto"/>
          <w:spacing w:val="0"/>
          <w:w w:val="100"/>
          <w:kern w:val="0"/>
          <w:position w:val="0"/>
          <w:sz w:val="24"/>
          <w:szCs w:val="24"/>
          <w:highlight w:val="none"/>
          <w:lang w:val="en-US" w:eastAsia="zh-CN" w:bidi="ar-SA"/>
        </w:rPr>
        <w:t>粉尘</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t>量为</w:t>
      </w:r>
      <w:r>
        <w:rPr>
          <w:rFonts w:hint="eastAsia" w:cs="Times New Roman"/>
          <w:caps w:val="0"/>
          <w:snapToGrid/>
          <w:color w:val="auto"/>
          <w:spacing w:val="0"/>
          <w:w w:val="100"/>
          <w:kern w:val="0"/>
          <w:position w:val="0"/>
          <w:sz w:val="24"/>
          <w:szCs w:val="24"/>
          <w:highlight w:val="none"/>
          <w:lang w:val="en-US" w:eastAsia="zh-CN" w:bidi="ar-SA"/>
        </w:rPr>
        <w:t>0.34</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t>t/a</w:t>
      </w:r>
      <w:r>
        <w:rPr>
          <w:rFonts w:hint="eastAsia" w:eastAsia="宋体" w:cs="Times New Roman"/>
          <w:caps w:val="0"/>
          <w:snapToGrid/>
          <w:color w:val="auto"/>
          <w:spacing w:val="0"/>
          <w:w w:val="100"/>
          <w:kern w:val="0"/>
          <w:position w:val="0"/>
          <w:sz w:val="24"/>
          <w:szCs w:val="24"/>
          <w:highlight w:val="none"/>
          <w:lang w:val="en-US" w:eastAsia="zh-CN" w:bidi="ar-SA"/>
        </w:rPr>
        <w:t>，剩余20%无组织排放，排放量为0.085t/a。</w:t>
      </w:r>
    </w:p>
    <w:p w14:paraId="5120229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rPr>
        <w:t>项目建</w:t>
      </w:r>
      <w:r>
        <w:rPr>
          <w:rFonts w:hint="eastAsia" w:cs="Times New Roman"/>
          <w:caps w:val="0"/>
          <w:snapToGrid/>
          <w:color w:val="auto"/>
          <w:spacing w:val="0"/>
          <w:w w:val="100"/>
          <w:kern w:val="21"/>
          <w:position w:val="0"/>
          <w:sz w:val="24"/>
          <w:szCs w:val="24"/>
          <w:highlight w:val="none"/>
          <w:lang w:val="en-US" w:eastAsia="zh-CN"/>
        </w:rPr>
        <w:t>成</w:t>
      </w:r>
      <w:r>
        <w:rPr>
          <w:rFonts w:hint="default" w:ascii="Times New Roman" w:hAnsi="Times New Roman" w:eastAsia="宋体" w:cs="Times New Roman"/>
          <w:caps w:val="0"/>
          <w:snapToGrid/>
          <w:color w:val="auto"/>
          <w:spacing w:val="0"/>
          <w:w w:val="100"/>
          <w:kern w:val="21"/>
          <w:position w:val="0"/>
          <w:sz w:val="24"/>
          <w:szCs w:val="24"/>
          <w:highlight w:val="none"/>
          <w:lang w:val="en-US" w:eastAsia="zh-CN"/>
        </w:rPr>
        <w:t>后</w:t>
      </w:r>
      <w:r>
        <w:rPr>
          <w:rFonts w:hint="default" w:ascii="Times New Roman" w:hAnsi="Times New Roman" w:eastAsia="宋体" w:cs="Times New Roman"/>
          <w:caps w:val="0"/>
          <w:snapToGrid/>
          <w:color w:val="auto"/>
          <w:spacing w:val="0"/>
          <w:w w:val="100"/>
          <w:kern w:val="21"/>
          <w:position w:val="0"/>
          <w:sz w:val="24"/>
          <w:szCs w:val="24"/>
          <w:highlight w:val="none"/>
        </w:rPr>
        <w:t>废气产生排放情况见表3</w:t>
      </w:r>
      <w:r>
        <w:rPr>
          <w:rFonts w:hint="eastAsia" w:cs="Times New Roman"/>
          <w:caps w:val="0"/>
          <w:snapToGrid/>
          <w:color w:val="auto"/>
          <w:spacing w:val="0"/>
          <w:w w:val="100"/>
          <w:kern w:val="21"/>
          <w:position w:val="0"/>
          <w:sz w:val="24"/>
          <w:szCs w:val="24"/>
          <w:highlight w:val="none"/>
          <w:lang w:val="en-US" w:eastAsia="zh-CN"/>
        </w:rPr>
        <w:t>.4.1-3</w:t>
      </w:r>
      <w:r>
        <w:rPr>
          <w:rFonts w:hint="default" w:ascii="Times New Roman" w:hAnsi="Times New Roman" w:eastAsia="宋体" w:cs="Times New Roman"/>
          <w:caps w:val="0"/>
          <w:snapToGrid/>
          <w:color w:val="auto"/>
          <w:spacing w:val="0"/>
          <w:w w:val="100"/>
          <w:kern w:val="21"/>
          <w:position w:val="0"/>
          <w:sz w:val="24"/>
          <w:szCs w:val="24"/>
          <w:highlight w:val="none"/>
        </w:rPr>
        <w:t>。</w:t>
      </w:r>
    </w:p>
    <w:p w14:paraId="299182AB">
      <w:pPr>
        <w:keepNext w:val="0"/>
        <w:keepLines w:val="0"/>
        <w:pageBreakBefore w:val="0"/>
        <w:widowControl w:val="0"/>
        <w:shd w:val="clear" w:color="auto" w:fill="auto"/>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rPr>
      </w:pPr>
      <w:r>
        <w:rPr>
          <w:rFonts w:hint="default" w:ascii="Times New Roman" w:hAnsi="Times New Roman" w:cs="Times New Roman"/>
          <w:b/>
          <w:bCs/>
          <w:color w:val="auto"/>
          <w:spacing w:val="0"/>
          <w:w w:val="100"/>
          <w:position w:val="0"/>
          <w:sz w:val="21"/>
          <w:szCs w:val="21"/>
          <w:highlight w:val="none"/>
        </w:rPr>
        <w:t>表</w:t>
      </w:r>
      <w:r>
        <w:rPr>
          <w:rFonts w:hint="default" w:ascii="Times New Roman" w:hAnsi="Times New Roman" w:cs="Times New Roman"/>
          <w:b/>
          <w:bCs/>
          <w:color w:val="auto"/>
          <w:spacing w:val="0"/>
          <w:w w:val="100"/>
          <w:position w:val="0"/>
          <w:sz w:val="21"/>
          <w:szCs w:val="21"/>
          <w:highlight w:val="none"/>
          <w:lang w:val="en-US" w:eastAsia="zh-CN"/>
        </w:rPr>
        <w:t>3.</w:t>
      </w:r>
      <w:r>
        <w:rPr>
          <w:rFonts w:hint="eastAsia" w:cs="Times New Roman"/>
          <w:b/>
          <w:bCs/>
          <w:color w:val="auto"/>
          <w:spacing w:val="0"/>
          <w:w w:val="100"/>
          <w:position w:val="0"/>
          <w:sz w:val="21"/>
          <w:szCs w:val="21"/>
          <w:highlight w:val="none"/>
          <w:lang w:val="en-US" w:eastAsia="zh-CN"/>
        </w:rPr>
        <w:t>4.1-3</w:t>
      </w:r>
      <w:r>
        <w:rPr>
          <w:rFonts w:hint="default" w:ascii="Times New Roman" w:hAnsi="Times New Roman" w:cs="Times New Roman"/>
          <w:b/>
          <w:bCs/>
          <w:color w:val="auto"/>
          <w:spacing w:val="0"/>
          <w:w w:val="100"/>
          <w:position w:val="0"/>
          <w:sz w:val="21"/>
          <w:szCs w:val="21"/>
          <w:highlight w:val="none"/>
          <w:lang w:val="en-US" w:eastAsia="zh-CN"/>
        </w:rPr>
        <w:t xml:space="preserve">  </w:t>
      </w:r>
      <w:r>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rPr>
        <w:t>项目</w:t>
      </w:r>
      <w:r>
        <w:rPr>
          <w:rFonts w:hint="default" w:ascii="Times New Roman" w:hAnsi="Times New Roman" w:cs="Times New Roman"/>
          <w:b/>
          <w:bCs/>
          <w:caps w:val="0"/>
          <w:snapToGrid/>
          <w:color w:val="auto"/>
          <w:spacing w:val="0"/>
          <w:w w:val="100"/>
          <w:kern w:val="21"/>
          <w:position w:val="0"/>
          <w:sz w:val="21"/>
          <w:szCs w:val="21"/>
          <w:highlight w:val="none"/>
          <w:lang w:val="en-US" w:eastAsia="zh-CN"/>
        </w:rPr>
        <w:t>运营期</w:t>
      </w:r>
      <w:r>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rPr>
        <w:t>废气产生及排放情况一览表</w:t>
      </w:r>
    </w:p>
    <w:tbl>
      <w:tblPr>
        <w:tblStyle w:val="2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1016"/>
        <w:gridCol w:w="577"/>
        <w:gridCol w:w="510"/>
        <w:gridCol w:w="510"/>
        <w:gridCol w:w="811"/>
        <w:gridCol w:w="1185"/>
        <w:gridCol w:w="1368"/>
        <w:gridCol w:w="966"/>
        <w:gridCol w:w="3601"/>
        <w:gridCol w:w="597"/>
        <w:gridCol w:w="831"/>
        <w:gridCol w:w="1371"/>
        <w:gridCol w:w="729"/>
      </w:tblGrid>
      <w:tr w14:paraId="244F77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361" w:type="pct"/>
            <w:vMerge w:val="restart"/>
            <w:tcBorders>
              <w:tl2br w:val="nil"/>
              <w:tr2bl w:val="nil"/>
            </w:tcBorders>
            <w:noWrap w:val="0"/>
            <w:vAlign w:val="center"/>
          </w:tcPr>
          <w:p w14:paraId="4ABD38CE">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b/>
                <w:bCs/>
                <w:caps w:val="0"/>
                <w:snapToGrid/>
                <w:color w:val="auto"/>
                <w:spacing w:val="0"/>
                <w:w w:val="100"/>
                <w:kern w:val="21"/>
                <w:position w:val="0"/>
                <w:sz w:val="21"/>
                <w:szCs w:val="21"/>
                <w:highlight w:val="none"/>
                <w:lang w:bidi="ar"/>
              </w:rPr>
              <w:t>产生</w:t>
            </w:r>
            <w:r>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bidi="ar"/>
              </w:rPr>
              <w:t>工序</w:t>
            </w:r>
          </w:p>
        </w:tc>
        <w:tc>
          <w:tcPr>
            <w:tcW w:w="205" w:type="pct"/>
            <w:vMerge w:val="restart"/>
            <w:tcBorders>
              <w:tl2br w:val="nil"/>
              <w:tr2bl w:val="nil"/>
            </w:tcBorders>
            <w:noWrap w:val="0"/>
            <w:vAlign w:val="center"/>
          </w:tcPr>
          <w:p w14:paraId="6D99A2C5">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lang w:bidi="ar"/>
              </w:rPr>
              <w:t>污染物</w:t>
            </w:r>
          </w:p>
        </w:tc>
        <w:tc>
          <w:tcPr>
            <w:tcW w:w="181" w:type="pct"/>
            <w:vMerge w:val="restart"/>
            <w:tcBorders>
              <w:tl2br w:val="nil"/>
              <w:tr2bl w:val="nil"/>
            </w:tcBorders>
            <w:noWrap w:val="0"/>
            <w:vAlign w:val="center"/>
          </w:tcPr>
          <w:p w14:paraId="1CB96357">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bidi="ar"/>
              </w:rPr>
            </w:pPr>
            <w:r>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bidi="ar"/>
              </w:rPr>
              <w:t>排放形式</w:t>
            </w:r>
          </w:p>
        </w:tc>
        <w:tc>
          <w:tcPr>
            <w:tcW w:w="181" w:type="pct"/>
            <w:vMerge w:val="restart"/>
            <w:tcBorders>
              <w:tl2br w:val="nil"/>
              <w:tr2bl w:val="nil"/>
            </w:tcBorders>
            <w:noWrap w:val="0"/>
            <w:vAlign w:val="center"/>
          </w:tcPr>
          <w:p w14:paraId="5112A411">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bidi="ar"/>
              </w:rPr>
            </w:pPr>
            <w:r>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bidi="ar"/>
              </w:rPr>
              <w:t>核算方法</w:t>
            </w:r>
          </w:p>
        </w:tc>
        <w:tc>
          <w:tcPr>
            <w:tcW w:w="288" w:type="pct"/>
            <w:vMerge w:val="restart"/>
            <w:tcBorders>
              <w:tl2br w:val="nil"/>
              <w:tr2bl w:val="nil"/>
            </w:tcBorders>
            <w:noWrap w:val="0"/>
            <w:vAlign w:val="center"/>
          </w:tcPr>
          <w:p w14:paraId="36178728">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bidi="ar"/>
              </w:rPr>
              <w:t>废气</w:t>
            </w:r>
            <w:r>
              <w:rPr>
                <w:rFonts w:hint="default" w:ascii="Times New Roman" w:hAnsi="Times New Roman" w:eastAsia="宋体" w:cs="Times New Roman"/>
                <w:b/>
                <w:bCs/>
                <w:caps w:val="0"/>
                <w:snapToGrid/>
                <w:color w:val="auto"/>
                <w:spacing w:val="0"/>
                <w:w w:val="100"/>
                <w:kern w:val="21"/>
                <w:position w:val="0"/>
                <w:sz w:val="21"/>
                <w:szCs w:val="21"/>
                <w:highlight w:val="none"/>
                <w:lang w:bidi="ar"/>
              </w:rPr>
              <w:t>量m³/h</w:t>
            </w:r>
          </w:p>
        </w:tc>
        <w:tc>
          <w:tcPr>
            <w:tcW w:w="1250" w:type="pct"/>
            <w:gridSpan w:val="3"/>
            <w:tcBorders>
              <w:tl2br w:val="nil"/>
              <w:tr2bl w:val="nil"/>
            </w:tcBorders>
            <w:noWrap w:val="0"/>
            <w:vAlign w:val="center"/>
          </w:tcPr>
          <w:p w14:paraId="3677FACC">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b/>
                <w:bCs/>
                <w:caps w:val="0"/>
                <w:snapToGrid/>
                <w:color w:val="auto"/>
                <w:spacing w:val="0"/>
                <w:w w:val="100"/>
                <w:kern w:val="21"/>
                <w:position w:val="0"/>
                <w:sz w:val="21"/>
                <w:szCs w:val="21"/>
                <w:highlight w:val="none"/>
                <w:lang w:bidi="ar"/>
              </w:rPr>
            </w:pPr>
            <w:r>
              <w:rPr>
                <w:rFonts w:hint="default" w:ascii="Times New Roman" w:hAnsi="Times New Roman" w:eastAsia="宋体" w:cs="Times New Roman"/>
                <w:b/>
                <w:bCs/>
                <w:caps w:val="0"/>
                <w:snapToGrid/>
                <w:color w:val="auto"/>
                <w:spacing w:val="0"/>
                <w:w w:val="100"/>
                <w:kern w:val="21"/>
                <w:position w:val="0"/>
                <w:sz w:val="21"/>
                <w:szCs w:val="21"/>
                <w:highlight w:val="none"/>
                <w:lang w:bidi="ar"/>
              </w:rPr>
              <w:t>产生情况</w:t>
            </w:r>
          </w:p>
        </w:tc>
        <w:tc>
          <w:tcPr>
            <w:tcW w:w="1491" w:type="pct"/>
            <w:gridSpan w:val="2"/>
            <w:tcBorders>
              <w:tl2br w:val="nil"/>
              <w:tr2bl w:val="nil"/>
            </w:tcBorders>
            <w:noWrap w:val="0"/>
            <w:vAlign w:val="center"/>
          </w:tcPr>
          <w:p w14:paraId="5F641DA7">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rPr>
              <w:t>治理措施</w:t>
            </w:r>
          </w:p>
        </w:tc>
        <w:tc>
          <w:tcPr>
            <w:tcW w:w="1041" w:type="pct"/>
            <w:gridSpan w:val="3"/>
            <w:tcBorders>
              <w:tl2br w:val="nil"/>
              <w:tr2bl w:val="nil"/>
            </w:tcBorders>
            <w:noWrap w:val="0"/>
            <w:vAlign w:val="center"/>
          </w:tcPr>
          <w:p w14:paraId="2C50534B">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lang w:bidi="ar"/>
              </w:rPr>
              <w:t>排放情况</w:t>
            </w:r>
          </w:p>
        </w:tc>
      </w:tr>
      <w:tr w14:paraId="259EFF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361" w:type="pct"/>
            <w:vMerge w:val="continue"/>
            <w:tcBorders>
              <w:tl2br w:val="nil"/>
              <w:tr2bl w:val="nil"/>
            </w:tcBorders>
            <w:noWrap w:val="0"/>
            <w:vAlign w:val="center"/>
          </w:tcPr>
          <w:p w14:paraId="2D435331">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p>
        </w:tc>
        <w:tc>
          <w:tcPr>
            <w:tcW w:w="205" w:type="pct"/>
            <w:vMerge w:val="continue"/>
            <w:tcBorders>
              <w:tl2br w:val="nil"/>
              <w:tr2bl w:val="nil"/>
            </w:tcBorders>
            <w:noWrap w:val="0"/>
            <w:vAlign w:val="center"/>
          </w:tcPr>
          <w:p w14:paraId="0DED6365">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p>
        </w:tc>
        <w:tc>
          <w:tcPr>
            <w:tcW w:w="181" w:type="pct"/>
            <w:vMerge w:val="continue"/>
            <w:tcBorders>
              <w:tl2br w:val="nil"/>
              <w:tr2bl w:val="nil"/>
            </w:tcBorders>
            <w:noWrap w:val="0"/>
            <w:vAlign w:val="center"/>
          </w:tcPr>
          <w:p w14:paraId="52988D63">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p>
        </w:tc>
        <w:tc>
          <w:tcPr>
            <w:tcW w:w="181" w:type="pct"/>
            <w:vMerge w:val="continue"/>
            <w:tcBorders>
              <w:tl2br w:val="nil"/>
              <w:tr2bl w:val="nil"/>
            </w:tcBorders>
            <w:noWrap w:val="0"/>
            <w:vAlign w:val="center"/>
          </w:tcPr>
          <w:p w14:paraId="0F823F45">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p>
        </w:tc>
        <w:tc>
          <w:tcPr>
            <w:tcW w:w="288" w:type="pct"/>
            <w:vMerge w:val="continue"/>
            <w:tcBorders>
              <w:tl2br w:val="nil"/>
              <w:tr2bl w:val="nil"/>
            </w:tcBorders>
            <w:noWrap w:val="0"/>
            <w:vAlign w:val="center"/>
          </w:tcPr>
          <w:p w14:paraId="4FB9E00F">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p>
        </w:tc>
        <w:tc>
          <w:tcPr>
            <w:tcW w:w="421" w:type="pct"/>
            <w:tcBorders>
              <w:tl2br w:val="nil"/>
              <w:tr2bl w:val="nil"/>
            </w:tcBorders>
            <w:shd w:val="clear" w:color="auto" w:fill="auto"/>
            <w:noWrap w:val="0"/>
            <w:vAlign w:val="center"/>
          </w:tcPr>
          <w:p w14:paraId="24073CC3">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bidi="ar-SA"/>
              </w:rPr>
            </w:pPr>
            <w:r>
              <w:rPr>
                <w:rFonts w:hint="default" w:ascii="Times New Roman" w:hAnsi="Times New Roman" w:eastAsia="宋体" w:cs="Times New Roman"/>
                <w:b/>
                <w:bCs/>
                <w:caps w:val="0"/>
                <w:snapToGrid/>
                <w:color w:val="auto"/>
                <w:spacing w:val="0"/>
                <w:w w:val="100"/>
                <w:kern w:val="21"/>
                <w:position w:val="0"/>
                <w:sz w:val="21"/>
                <w:szCs w:val="21"/>
                <w:highlight w:val="none"/>
                <w:lang w:bidi="ar"/>
              </w:rPr>
              <w:t>产生速率</w:t>
            </w:r>
            <w:r>
              <w:rPr>
                <w:rFonts w:hint="default" w:ascii="Times New Roman" w:hAnsi="Times New Roman" w:eastAsia="宋体" w:cs="Times New Roman"/>
                <w:b/>
                <w:bCs/>
                <w:caps w:val="0"/>
                <w:snapToGrid/>
                <w:color w:val="auto"/>
                <w:spacing w:val="0"/>
                <w:w w:val="100"/>
                <w:kern w:val="21"/>
                <w:position w:val="0"/>
                <w:sz w:val="21"/>
                <w:szCs w:val="21"/>
                <w:highlight w:val="none"/>
                <w:lang w:eastAsia="zh-CN" w:bidi="ar"/>
              </w:rPr>
              <w:t>（</w:t>
            </w:r>
            <w:r>
              <w:rPr>
                <w:rFonts w:hint="default" w:ascii="Times New Roman" w:hAnsi="Times New Roman" w:eastAsia="宋体" w:cs="Times New Roman"/>
                <w:b/>
                <w:bCs/>
                <w:caps w:val="0"/>
                <w:snapToGrid/>
                <w:color w:val="auto"/>
                <w:spacing w:val="0"/>
                <w:w w:val="100"/>
                <w:kern w:val="21"/>
                <w:position w:val="0"/>
                <w:sz w:val="21"/>
                <w:szCs w:val="21"/>
                <w:highlight w:val="none"/>
                <w:lang w:bidi="ar"/>
              </w:rPr>
              <w:t>kg/h</w:t>
            </w:r>
            <w:r>
              <w:rPr>
                <w:rFonts w:hint="default" w:ascii="Times New Roman" w:hAnsi="Times New Roman" w:eastAsia="宋体" w:cs="Times New Roman"/>
                <w:b/>
                <w:bCs/>
                <w:caps w:val="0"/>
                <w:snapToGrid/>
                <w:color w:val="auto"/>
                <w:spacing w:val="0"/>
                <w:w w:val="100"/>
                <w:kern w:val="21"/>
                <w:position w:val="0"/>
                <w:sz w:val="21"/>
                <w:szCs w:val="21"/>
                <w:highlight w:val="none"/>
                <w:lang w:eastAsia="zh-CN" w:bidi="ar"/>
              </w:rPr>
              <w:t>）</w:t>
            </w:r>
          </w:p>
        </w:tc>
        <w:tc>
          <w:tcPr>
            <w:tcW w:w="486" w:type="pct"/>
            <w:tcBorders>
              <w:tl2br w:val="nil"/>
              <w:tr2bl w:val="nil"/>
            </w:tcBorders>
            <w:shd w:val="clear" w:color="auto" w:fill="auto"/>
            <w:noWrap w:val="0"/>
            <w:vAlign w:val="center"/>
          </w:tcPr>
          <w:p w14:paraId="6764DCCE">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bidi="ar-SA"/>
              </w:rPr>
            </w:pPr>
            <w:r>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rPr>
              <w:t>产生浓度（mg/m</w:t>
            </w:r>
            <w:r>
              <w:rPr>
                <w:rFonts w:hint="default" w:ascii="Times New Roman" w:hAnsi="Times New Roman" w:eastAsia="宋体" w:cs="Times New Roman"/>
                <w:b/>
                <w:bCs/>
                <w:caps w:val="0"/>
                <w:snapToGrid/>
                <w:color w:val="auto"/>
                <w:spacing w:val="0"/>
                <w:w w:val="100"/>
                <w:kern w:val="21"/>
                <w:position w:val="0"/>
                <w:sz w:val="21"/>
                <w:szCs w:val="21"/>
                <w:highlight w:val="none"/>
                <w:vertAlign w:val="superscript"/>
                <w:lang w:val="en-US" w:eastAsia="zh-CN"/>
              </w:rPr>
              <w:t>3</w:t>
            </w:r>
            <w:r>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rPr>
              <w:t>）</w:t>
            </w:r>
          </w:p>
        </w:tc>
        <w:tc>
          <w:tcPr>
            <w:tcW w:w="343" w:type="pct"/>
            <w:tcBorders>
              <w:tl2br w:val="nil"/>
              <w:tr2bl w:val="nil"/>
            </w:tcBorders>
            <w:noWrap w:val="0"/>
            <w:vAlign w:val="center"/>
          </w:tcPr>
          <w:p w14:paraId="5EFCC58A">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b/>
                <w:bCs/>
                <w:caps w:val="0"/>
                <w:snapToGrid/>
                <w:color w:val="auto"/>
                <w:spacing w:val="0"/>
                <w:w w:val="100"/>
                <w:kern w:val="21"/>
                <w:position w:val="0"/>
                <w:sz w:val="21"/>
                <w:szCs w:val="21"/>
                <w:highlight w:val="none"/>
                <w:lang w:bidi="ar"/>
              </w:rPr>
              <w:t>产生量</w:t>
            </w:r>
            <w:r>
              <w:rPr>
                <w:rFonts w:hint="default" w:ascii="Times New Roman" w:hAnsi="Times New Roman" w:eastAsia="宋体" w:cs="Times New Roman"/>
                <w:b/>
                <w:bCs/>
                <w:caps w:val="0"/>
                <w:snapToGrid/>
                <w:color w:val="auto"/>
                <w:spacing w:val="0"/>
                <w:w w:val="100"/>
                <w:kern w:val="21"/>
                <w:position w:val="0"/>
                <w:sz w:val="21"/>
                <w:szCs w:val="21"/>
                <w:highlight w:val="none"/>
                <w:lang w:eastAsia="zh-CN" w:bidi="ar"/>
              </w:rPr>
              <w:t>（</w:t>
            </w:r>
            <w:r>
              <w:rPr>
                <w:rFonts w:hint="default" w:ascii="Times New Roman" w:hAnsi="Times New Roman" w:eastAsia="宋体" w:cs="Times New Roman"/>
                <w:b/>
                <w:bCs/>
                <w:caps w:val="0"/>
                <w:snapToGrid/>
                <w:color w:val="auto"/>
                <w:spacing w:val="0"/>
                <w:w w:val="100"/>
                <w:kern w:val="21"/>
                <w:position w:val="0"/>
                <w:sz w:val="21"/>
                <w:szCs w:val="21"/>
                <w:highlight w:val="none"/>
                <w:lang w:bidi="ar"/>
              </w:rPr>
              <w:t>t/a</w:t>
            </w:r>
            <w:r>
              <w:rPr>
                <w:rFonts w:hint="default" w:ascii="Times New Roman" w:hAnsi="Times New Roman" w:eastAsia="宋体" w:cs="Times New Roman"/>
                <w:b/>
                <w:bCs/>
                <w:caps w:val="0"/>
                <w:snapToGrid/>
                <w:color w:val="auto"/>
                <w:spacing w:val="0"/>
                <w:w w:val="100"/>
                <w:kern w:val="21"/>
                <w:position w:val="0"/>
                <w:sz w:val="21"/>
                <w:szCs w:val="21"/>
                <w:highlight w:val="none"/>
                <w:lang w:eastAsia="zh-CN" w:bidi="ar"/>
              </w:rPr>
              <w:t>）</w:t>
            </w:r>
          </w:p>
        </w:tc>
        <w:tc>
          <w:tcPr>
            <w:tcW w:w="1279" w:type="pct"/>
            <w:tcBorders>
              <w:tl2br w:val="nil"/>
              <w:tr2bl w:val="nil"/>
            </w:tcBorders>
            <w:noWrap w:val="0"/>
            <w:vAlign w:val="center"/>
          </w:tcPr>
          <w:p w14:paraId="653DD645">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bidi="ar"/>
              </w:rPr>
              <w:t>治理</w:t>
            </w:r>
            <w:r>
              <w:rPr>
                <w:rFonts w:hint="default" w:ascii="Times New Roman" w:hAnsi="Times New Roman" w:eastAsia="宋体" w:cs="Times New Roman"/>
                <w:b/>
                <w:bCs/>
                <w:caps w:val="0"/>
                <w:snapToGrid/>
                <w:color w:val="auto"/>
                <w:spacing w:val="0"/>
                <w:w w:val="100"/>
                <w:kern w:val="21"/>
                <w:position w:val="0"/>
                <w:sz w:val="21"/>
                <w:szCs w:val="21"/>
                <w:highlight w:val="none"/>
                <w:lang w:bidi="ar"/>
              </w:rPr>
              <w:t>方法</w:t>
            </w:r>
          </w:p>
        </w:tc>
        <w:tc>
          <w:tcPr>
            <w:tcW w:w="212" w:type="pct"/>
            <w:tcBorders>
              <w:tl2br w:val="nil"/>
              <w:tr2bl w:val="nil"/>
            </w:tcBorders>
            <w:noWrap w:val="0"/>
            <w:vAlign w:val="center"/>
          </w:tcPr>
          <w:p w14:paraId="697E9FE5">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b/>
                <w:bCs/>
                <w:caps w:val="0"/>
                <w:snapToGrid/>
                <w:color w:val="auto"/>
                <w:spacing w:val="0"/>
                <w:w w:val="100"/>
                <w:kern w:val="21"/>
                <w:position w:val="0"/>
                <w:sz w:val="21"/>
                <w:szCs w:val="21"/>
                <w:highlight w:val="none"/>
                <w:lang w:bidi="ar"/>
              </w:rPr>
            </w:pPr>
            <w:r>
              <w:rPr>
                <w:rFonts w:hint="default" w:ascii="Times New Roman" w:hAnsi="Times New Roman" w:eastAsia="宋体" w:cs="Times New Roman"/>
                <w:b/>
                <w:bCs/>
                <w:caps w:val="0"/>
                <w:snapToGrid/>
                <w:color w:val="auto"/>
                <w:spacing w:val="0"/>
                <w:w w:val="100"/>
                <w:kern w:val="21"/>
                <w:position w:val="0"/>
                <w:sz w:val="21"/>
                <w:szCs w:val="21"/>
                <w:highlight w:val="none"/>
                <w:lang w:bidi="ar"/>
              </w:rPr>
              <w:t>处理</w:t>
            </w:r>
          </w:p>
          <w:p w14:paraId="57530B20">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b/>
                <w:bCs/>
                <w:caps w:val="0"/>
                <w:snapToGrid/>
                <w:color w:val="auto"/>
                <w:spacing w:val="0"/>
                <w:w w:val="100"/>
                <w:kern w:val="21"/>
                <w:position w:val="0"/>
                <w:sz w:val="21"/>
                <w:szCs w:val="21"/>
                <w:highlight w:val="none"/>
                <w:lang w:bidi="ar"/>
              </w:rPr>
              <w:t>效率</w:t>
            </w:r>
            <w:r>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bidi="ar"/>
              </w:rPr>
              <w:t>%</w:t>
            </w:r>
          </w:p>
        </w:tc>
        <w:tc>
          <w:tcPr>
            <w:tcW w:w="295" w:type="pct"/>
            <w:tcBorders>
              <w:tl2br w:val="nil"/>
              <w:tr2bl w:val="nil"/>
            </w:tcBorders>
            <w:noWrap w:val="0"/>
            <w:vAlign w:val="center"/>
          </w:tcPr>
          <w:p w14:paraId="621389CE">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baseline"/>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snapToGrid/>
                <w:color w:val="auto"/>
                <w:spacing w:val="0"/>
                <w:w w:val="100"/>
                <w:kern w:val="21"/>
                <w:position w:val="0"/>
                <w:sz w:val="21"/>
                <w:szCs w:val="21"/>
                <w:highlight w:val="none"/>
                <w:lang w:val="en-US" w:eastAsia="zh-CN"/>
              </w:rPr>
              <w:t>排放速率</w:t>
            </w:r>
            <w:r>
              <w:rPr>
                <w:rFonts w:hint="default" w:ascii="Times New Roman" w:hAnsi="Times New Roman" w:eastAsia="宋体" w:cs="Times New Roman"/>
                <w:b/>
                <w:bCs/>
                <w:snapToGrid/>
                <w:color w:val="auto"/>
                <w:spacing w:val="0"/>
                <w:w w:val="100"/>
                <w:kern w:val="21"/>
                <w:position w:val="0"/>
                <w:sz w:val="21"/>
                <w:szCs w:val="21"/>
                <w:highlight w:val="none"/>
              </w:rPr>
              <w:t>kg/h</w:t>
            </w:r>
          </w:p>
        </w:tc>
        <w:tc>
          <w:tcPr>
            <w:tcW w:w="487" w:type="pct"/>
            <w:tcBorders>
              <w:tl2br w:val="nil"/>
              <w:tr2bl w:val="nil"/>
            </w:tcBorders>
            <w:noWrap w:val="0"/>
            <w:vAlign w:val="center"/>
          </w:tcPr>
          <w:p w14:paraId="0086CA1B">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baseline"/>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snapToGrid/>
                <w:color w:val="auto"/>
                <w:spacing w:val="0"/>
                <w:w w:val="100"/>
                <w:kern w:val="21"/>
                <w:position w:val="0"/>
                <w:sz w:val="21"/>
                <w:szCs w:val="21"/>
                <w:highlight w:val="none"/>
                <w:lang w:val="en-US" w:eastAsia="zh-CN"/>
              </w:rPr>
              <w:t>排放浓度（mg/m</w:t>
            </w:r>
            <w:r>
              <w:rPr>
                <w:rFonts w:hint="default" w:ascii="Times New Roman" w:hAnsi="Times New Roman" w:eastAsia="宋体" w:cs="Times New Roman"/>
                <w:b/>
                <w:bCs/>
                <w:snapToGrid/>
                <w:color w:val="auto"/>
                <w:spacing w:val="0"/>
                <w:w w:val="100"/>
                <w:kern w:val="21"/>
                <w:position w:val="0"/>
                <w:sz w:val="21"/>
                <w:szCs w:val="21"/>
                <w:highlight w:val="none"/>
                <w:vertAlign w:val="superscript"/>
                <w:lang w:val="en-US" w:eastAsia="zh-CN"/>
              </w:rPr>
              <w:t>3</w:t>
            </w:r>
            <w:r>
              <w:rPr>
                <w:rFonts w:hint="default" w:ascii="Times New Roman" w:hAnsi="Times New Roman" w:eastAsia="宋体" w:cs="Times New Roman"/>
                <w:b/>
                <w:bCs/>
                <w:snapToGrid/>
                <w:color w:val="auto"/>
                <w:spacing w:val="0"/>
                <w:w w:val="100"/>
                <w:kern w:val="21"/>
                <w:position w:val="0"/>
                <w:sz w:val="21"/>
                <w:szCs w:val="21"/>
                <w:highlight w:val="none"/>
                <w:lang w:val="en-US" w:eastAsia="zh-CN"/>
              </w:rPr>
              <w:t>）</w:t>
            </w:r>
          </w:p>
        </w:tc>
        <w:tc>
          <w:tcPr>
            <w:tcW w:w="259" w:type="pct"/>
            <w:tcBorders>
              <w:tl2br w:val="nil"/>
              <w:tr2bl w:val="nil"/>
            </w:tcBorders>
            <w:noWrap w:val="0"/>
            <w:vAlign w:val="center"/>
          </w:tcPr>
          <w:p w14:paraId="6B4F3E9D">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baseline"/>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snapToGrid/>
                <w:color w:val="auto"/>
                <w:spacing w:val="0"/>
                <w:w w:val="100"/>
                <w:kern w:val="21"/>
                <w:position w:val="0"/>
                <w:sz w:val="21"/>
                <w:szCs w:val="21"/>
                <w:highlight w:val="none"/>
                <w:lang w:val="en-US" w:eastAsia="zh-CN"/>
              </w:rPr>
              <w:t>排放量</w:t>
            </w:r>
            <w:r>
              <w:rPr>
                <w:rFonts w:hint="default" w:ascii="Times New Roman" w:hAnsi="Times New Roman" w:eastAsia="宋体" w:cs="Times New Roman"/>
                <w:b/>
                <w:bCs/>
                <w:snapToGrid/>
                <w:color w:val="auto"/>
                <w:spacing w:val="0"/>
                <w:w w:val="100"/>
                <w:kern w:val="21"/>
                <w:position w:val="0"/>
                <w:sz w:val="21"/>
                <w:szCs w:val="21"/>
                <w:highlight w:val="none"/>
              </w:rPr>
              <w:t>t/a</w:t>
            </w:r>
          </w:p>
        </w:tc>
      </w:tr>
      <w:tr w14:paraId="3317B7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361" w:type="pct"/>
            <w:vMerge w:val="restart"/>
            <w:tcBorders>
              <w:tl2br w:val="nil"/>
              <w:tr2bl w:val="nil"/>
            </w:tcBorders>
            <w:noWrap w:val="0"/>
            <w:vAlign w:val="center"/>
          </w:tcPr>
          <w:p w14:paraId="3343A335">
            <w:pPr>
              <w:pStyle w:val="9"/>
              <w:keepNext w:val="0"/>
              <w:keepLines w:val="0"/>
              <w:pageBreakBefore w:val="0"/>
              <w:widowControl w:val="0"/>
              <w:numPr>
                <w:ilvl w:val="0"/>
                <w:numId w:val="0"/>
              </w:numPr>
              <w:suppressLineNumbers w:val="0"/>
              <w:shd w:val="clear" w:color="auto" w:fill="auto"/>
              <w:tabs>
                <w:tab w:val="left" w:pos="780"/>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混料搅拌</w:t>
            </w:r>
          </w:p>
        </w:tc>
        <w:tc>
          <w:tcPr>
            <w:tcW w:w="205" w:type="pct"/>
            <w:vMerge w:val="restart"/>
            <w:tcBorders>
              <w:tl2br w:val="nil"/>
              <w:tr2bl w:val="nil"/>
            </w:tcBorders>
            <w:noWrap w:val="0"/>
            <w:vAlign w:val="center"/>
          </w:tcPr>
          <w:p w14:paraId="5BDFCE71">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eastAsia" w:ascii="Times New Roman" w:hAnsi="Times New Roman" w:eastAsia="宋体" w:cs="Times New Roman"/>
                <w:i w:val="0"/>
                <w:iCs w:val="0"/>
                <w:color w:val="auto"/>
                <w:spacing w:val="0"/>
                <w:w w:val="100"/>
                <w:kern w:val="0"/>
                <w:position w:val="0"/>
                <w:sz w:val="21"/>
                <w:szCs w:val="21"/>
                <w:u w:val="none"/>
                <w:lang w:val="en-US" w:eastAsia="zh-CN" w:bidi="ar"/>
              </w:rPr>
            </w:pPr>
            <w:r>
              <w:rPr>
                <w:rFonts w:hint="eastAsia" w:ascii="Times New Roman" w:hAnsi="Times New Roman" w:eastAsia="宋体" w:cs="Times New Roman"/>
                <w:i w:val="0"/>
                <w:iCs w:val="0"/>
                <w:color w:val="auto"/>
                <w:spacing w:val="0"/>
                <w:w w:val="100"/>
                <w:kern w:val="0"/>
                <w:position w:val="0"/>
                <w:sz w:val="21"/>
                <w:szCs w:val="21"/>
                <w:u w:val="none"/>
                <w:lang w:val="en-US" w:eastAsia="zh-CN" w:bidi="ar"/>
              </w:rPr>
              <w:t>颗粒物</w:t>
            </w:r>
          </w:p>
        </w:tc>
        <w:tc>
          <w:tcPr>
            <w:tcW w:w="181" w:type="pct"/>
            <w:tcBorders>
              <w:tl2br w:val="nil"/>
              <w:tr2bl w:val="nil"/>
            </w:tcBorders>
            <w:noWrap w:val="0"/>
            <w:vAlign w:val="center"/>
          </w:tcPr>
          <w:p w14:paraId="1ACFE82C">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有组织</w:t>
            </w:r>
          </w:p>
        </w:tc>
        <w:tc>
          <w:tcPr>
            <w:tcW w:w="181" w:type="pct"/>
            <w:vMerge w:val="restart"/>
            <w:tcBorders>
              <w:tl2br w:val="nil"/>
              <w:tr2bl w:val="nil"/>
            </w:tcBorders>
            <w:noWrap w:val="0"/>
            <w:vAlign w:val="center"/>
          </w:tcPr>
          <w:p w14:paraId="13F426A2">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eastAsia" w:ascii="Times New Roman" w:hAnsi="Times New Roman" w:eastAsia="宋体" w:cs="Times New Roman"/>
                <w:i w:val="0"/>
                <w:iCs w:val="0"/>
                <w:color w:val="auto"/>
                <w:spacing w:val="0"/>
                <w:w w:val="100"/>
                <w:kern w:val="0"/>
                <w:position w:val="0"/>
                <w:sz w:val="21"/>
                <w:szCs w:val="21"/>
                <w:u w:val="none"/>
                <w:lang w:val="en-US" w:eastAsia="zh-CN" w:bidi="ar"/>
              </w:rPr>
            </w:pPr>
            <w:r>
              <w:rPr>
                <w:rFonts w:hint="eastAsia" w:ascii="Times New Roman" w:hAnsi="Times New Roman" w:eastAsia="宋体" w:cs="Times New Roman"/>
                <w:i w:val="0"/>
                <w:iCs w:val="0"/>
                <w:color w:val="auto"/>
                <w:spacing w:val="0"/>
                <w:w w:val="100"/>
                <w:kern w:val="0"/>
                <w:position w:val="0"/>
                <w:sz w:val="21"/>
                <w:szCs w:val="21"/>
                <w:u w:val="none"/>
                <w:lang w:val="en-US" w:eastAsia="zh-CN" w:bidi="ar"/>
              </w:rPr>
              <w:t>系数法</w:t>
            </w:r>
          </w:p>
        </w:tc>
        <w:tc>
          <w:tcPr>
            <w:tcW w:w="288" w:type="pct"/>
            <w:tcBorders>
              <w:tl2br w:val="nil"/>
              <w:tr2bl w:val="nil"/>
            </w:tcBorders>
            <w:noWrap w:val="0"/>
            <w:vAlign w:val="center"/>
          </w:tcPr>
          <w:p w14:paraId="754A6B88">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eastAsia" w:ascii="Times New Roman" w:hAnsi="Times New Roman" w:eastAsia="宋体" w:cs="Times New Roman"/>
                <w:i w:val="0"/>
                <w:iCs w:val="0"/>
                <w:color w:val="auto"/>
                <w:spacing w:val="0"/>
                <w:w w:val="100"/>
                <w:kern w:val="0"/>
                <w:position w:val="0"/>
                <w:sz w:val="21"/>
                <w:szCs w:val="21"/>
                <w:u w:val="none"/>
                <w:lang w:val="en-US" w:eastAsia="zh-CN" w:bidi="ar"/>
              </w:rPr>
              <w:t>10000</w:t>
            </w:r>
          </w:p>
        </w:tc>
        <w:tc>
          <w:tcPr>
            <w:tcW w:w="421" w:type="pct"/>
            <w:tcBorders>
              <w:tl2br w:val="nil"/>
              <w:tr2bl w:val="nil"/>
            </w:tcBorders>
            <w:shd w:val="clear" w:color="auto" w:fill="auto"/>
            <w:noWrap w:val="0"/>
            <w:vAlign w:val="center"/>
          </w:tcPr>
          <w:p w14:paraId="77AEECFA">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eastAsia" w:cs="Times New Roman"/>
                <w:i w:val="0"/>
                <w:iCs w:val="0"/>
                <w:color w:val="auto"/>
                <w:spacing w:val="0"/>
                <w:kern w:val="0"/>
                <w:sz w:val="21"/>
                <w:szCs w:val="21"/>
                <w:u w:val="none"/>
                <w:lang w:val="en-US" w:eastAsia="zh-CN" w:bidi="ar"/>
              </w:rPr>
              <w:t>5.486</w:t>
            </w:r>
          </w:p>
        </w:tc>
        <w:tc>
          <w:tcPr>
            <w:tcW w:w="486" w:type="pct"/>
            <w:tcBorders>
              <w:tl2br w:val="nil"/>
              <w:tr2bl w:val="nil"/>
            </w:tcBorders>
            <w:shd w:val="clear" w:color="auto" w:fill="auto"/>
            <w:noWrap w:val="0"/>
            <w:vAlign w:val="center"/>
          </w:tcPr>
          <w:p w14:paraId="34E17160">
            <w:pPr>
              <w:keepNext w:val="0"/>
              <w:keepLines w:val="0"/>
              <w:pageBreakBefore w:val="0"/>
              <w:widowControl w:val="0"/>
              <w:suppressLineNumbers w:val="0"/>
              <w:kinsoku/>
              <w:wordWrap/>
              <w:overflowPunct/>
              <w:topLinePunct w:val="0"/>
              <w:autoSpaceDE/>
              <w:autoSpaceDN/>
              <w:bidi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eastAsia" w:cs="Times New Roman"/>
                <w:i w:val="0"/>
                <w:iCs w:val="0"/>
                <w:color w:val="auto"/>
                <w:spacing w:val="0"/>
                <w:w w:val="100"/>
                <w:kern w:val="0"/>
                <w:position w:val="0"/>
                <w:sz w:val="21"/>
                <w:szCs w:val="21"/>
                <w:u w:val="none"/>
                <w:lang w:val="en-US" w:eastAsia="zh-CN" w:bidi="ar"/>
              </w:rPr>
              <w:t>548.625</w:t>
            </w:r>
          </w:p>
        </w:tc>
        <w:tc>
          <w:tcPr>
            <w:tcW w:w="343" w:type="pct"/>
            <w:tcBorders>
              <w:tl2br w:val="nil"/>
              <w:tr2bl w:val="nil"/>
            </w:tcBorders>
            <w:shd w:val="clear" w:color="auto" w:fill="auto"/>
            <w:noWrap w:val="0"/>
            <w:vAlign w:val="center"/>
          </w:tcPr>
          <w:p w14:paraId="2CF3CA3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eastAsia"/>
                <w:color w:val="auto"/>
                <w:spacing w:val="0"/>
                <w:w w:val="100"/>
                <w:kern w:val="0"/>
                <w:position w:val="0"/>
                <w:sz w:val="21"/>
                <w:lang w:val="en-US" w:eastAsia="zh-CN" w:bidi="ar"/>
              </w:rPr>
              <w:t>26.334</w:t>
            </w:r>
          </w:p>
        </w:tc>
        <w:tc>
          <w:tcPr>
            <w:tcW w:w="1279" w:type="pct"/>
            <w:tcBorders>
              <w:tl2br w:val="nil"/>
              <w:tr2bl w:val="nil"/>
            </w:tcBorders>
            <w:shd w:val="clear" w:color="auto" w:fill="auto"/>
            <w:noWrap w:val="0"/>
            <w:vAlign w:val="center"/>
          </w:tcPr>
          <w:p w14:paraId="66744A01">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密闭管道收集（集气效率9</w:t>
            </w:r>
            <w:r>
              <w:rPr>
                <w:rFonts w:hint="eastAsia" w:ascii="Times New Roman" w:hAnsi="Times New Roman" w:eastAsia="宋体" w:cs="Times New Roman"/>
                <w:i w:val="0"/>
                <w:iCs w:val="0"/>
                <w:color w:val="auto"/>
                <w:spacing w:val="0"/>
                <w:w w:val="100"/>
                <w:kern w:val="0"/>
                <w:position w:val="0"/>
                <w:sz w:val="21"/>
                <w:szCs w:val="21"/>
                <w:u w:val="none"/>
                <w:lang w:val="en-US" w:eastAsia="zh-CN" w:bidi="ar"/>
              </w:rPr>
              <w:t>5</w:t>
            </w: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%）至布袋除尘器处理（处理效率为99%）</w:t>
            </w:r>
            <w:r>
              <w:rPr>
                <w:rFonts w:hint="eastAsia" w:ascii="Times New Roman" w:hAnsi="Times New Roman" w:eastAsia="宋体" w:cs="Times New Roman"/>
                <w:i w:val="0"/>
                <w:iCs w:val="0"/>
                <w:color w:val="auto"/>
                <w:spacing w:val="0"/>
                <w:w w:val="100"/>
                <w:kern w:val="0"/>
                <w:position w:val="0"/>
                <w:sz w:val="21"/>
                <w:szCs w:val="21"/>
                <w:u w:val="none"/>
                <w:lang w:val="en-US" w:eastAsia="zh-CN" w:bidi="ar"/>
              </w:rPr>
              <w:t>+</w:t>
            </w: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15m排气筒（DA00</w:t>
            </w:r>
            <w:r>
              <w:rPr>
                <w:rFonts w:hint="eastAsia" w:ascii="Times New Roman" w:hAnsi="Times New Roman" w:eastAsia="宋体" w:cs="Times New Roman"/>
                <w:i w:val="0"/>
                <w:iCs w:val="0"/>
                <w:color w:val="auto"/>
                <w:spacing w:val="0"/>
                <w:w w:val="100"/>
                <w:kern w:val="0"/>
                <w:position w:val="0"/>
                <w:sz w:val="21"/>
                <w:szCs w:val="21"/>
                <w:u w:val="none"/>
                <w:lang w:val="en-US" w:eastAsia="zh-CN" w:bidi="ar"/>
              </w:rPr>
              <w:t>1</w:t>
            </w: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）排放</w:t>
            </w:r>
          </w:p>
        </w:tc>
        <w:tc>
          <w:tcPr>
            <w:tcW w:w="212" w:type="pct"/>
            <w:tcBorders>
              <w:tl2br w:val="nil"/>
              <w:tr2bl w:val="nil"/>
            </w:tcBorders>
            <w:noWrap w:val="0"/>
            <w:vAlign w:val="center"/>
          </w:tcPr>
          <w:p w14:paraId="64177A7B">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eastAsia" w:ascii="Times New Roman" w:hAnsi="Times New Roman" w:eastAsia="宋体" w:cs="Times New Roman"/>
                <w:i w:val="0"/>
                <w:iCs w:val="0"/>
                <w:color w:val="auto"/>
                <w:spacing w:val="0"/>
                <w:w w:val="100"/>
                <w:kern w:val="0"/>
                <w:position w:val="0"/>
                <w:sz w:val="21"/>
                <w:szCs w:val="21"/>
                <w:u w:val="none"/>
                <w:lang w:val="en-US" w:eastAsia="zh-CN" w:bidi="ar"/>
              </w:rPr>
              <w:t>99</w:t>
            </w:r>
          </w:p>
        </w:tc>
        <w:tc>
          <w:tcPr>
            <w:tcW w:w="295" w:type="pct"/>
            <w:tcBorders>
              <w:tl2br w:val="nil"/>
              <w:tr2bl w:val="nil"/>
            </w:tcBorders>
            <w:shd w:val="clear" w:color="auto" w:fill="auto"/>
            <w:noWrap w:val="0"/>
            <w:vAlign w:val="center"/>
          </w:tcPr>
          <w:p w14:paraId="5520E159">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default" w:ascii="Times New Roman" w:hAnsi="Times New Roman" w:eastAsia="宋体" w:cs="Times New Roman"/>
                <w:i w:val="0"/>
                <w:iCs w:val="0"/>
                <w:color w:val="auto"/>
                <w:spacing w:val="0"/>
                <w:kern w:val="0"/>
                <w:sz w:val="21"/>
                <w:szCs w:val="21"/>
                <w:u w:val="none"/>
                <w:lang w:val="en-US" w:eastAsia="zh-CN" w:bidi="ar"/>
              </w:rPr>
              <w:t>0.0</w:t>
            </w:r>
            <w:r>
              <w:rPr>
                <w:rFonts w:hint="eastAsia" w:cs="Times New Roman"/>
                <w:i w:val="0"/>
                <w:iCs w:val="0"/>
                <w:color w:val="auto"/>
                <w:spacing w:val="0"/>
                <w:kern w:val="0"/>
                <w:sz w:val="21"/>
                <w:szCs w:val="21"/>
                <w:u w:val="none"/>
                <w:lang w:val="en-US" w:eastAsia="zh-CN" w:bidi="ar"/>
              </w:rPr>
              <w:t>55</w:t>
            </w:r>
          </w:p>
        </w:tc>
        <w:tc>
          <w:tcPr>
            <w:tcW w:w="487" w:type="pct"/>
            <w:tcBorders>
              <w:tl2br w:val="nil"/>
              <w:tr2bl w:val="nil"/>
            </w:tcBorders>
            <w:shd w:val="clear" w:color="auto" w:fill="auto"/>
            <w:noWrap w:val="0"/>
            <w:vAlign w:val="center"/>
          </w:tcPr>
          <w:p w14:paraId="0913EA8B">
            <w:pPr>
              <w:keepNext w:val="0"/>
              <w:keepLines w:val="0"/>
              <w:pageBreakBefore w:val="0"/>
              <w:widowControl w:val="0"/>
              <w:suppressLineNumbers w:val="0"/>
              <w:kinsoku/>
              <w:wordWrap/>
              <w:overflowPunct/>
              <w:topLinePunct w:val="0"/>
              <w:autoSpaceDE/>
              <w:autoSpaceDN/>
              <w:bidi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eastAsia" w:cs="Times New Roman"/>
                <w:i w:val="0"/>
                <w:iCs w:val="0"/>
                <w:color w:val="auto"/>
                <w:spacing w:val="0"/>
                <w:w w:val="100"/>
                <w:kern w:val="0"/>
                <w:position w:val="0"/>
                <w:sz w:val="21"/>
                <w:szCs w:val="21"/>
                <w:u w:val="none"/>
                <w:lang w:val="en-US" w:eastAsia="zh-CN" w:bidi="ar"/>
              </w:rPr>
              <w:t>5.479</w:t>
            </w:r>
          </w:p>
        </w:tc>
        <w:tc>
          <w:tcPr>
            <w:tcW w:w="259" w:type="pct"/>
            <w:tcBorders>
              <w:tl2br w:val="nil"/>
              <w:tr2bl w:val="nil"/>
            </w:tcBorders>
            <w:shd w:val="clear" w:color="auto" w:fill="auto"/>
            <w:noWrap w:val="0"/>
            <w:vAlign w:val="center"/>
          </w:tcPr>
          <w:p w14:paraId="4947370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default"/>
                <w:color w:val="auto"/>
                <w:spacing w:val="0"/>
                <w:w w:val="100"/>
                <w:kern w:val="0"/>
                <w:position w:val="0"/>
                <w:sz w:val="21"/>
                <w:lang w:bidi="ar"/>
              </w:rPr>
              <w:t>0.2</w:t>
            </w:r>
            <w:r>
              <w:rPr>
                <w:rFonts w:hint="eastAsia"/>
                <w:color w:val="auto"/>
                <w:spacing w:val="0"/>
                <w:w w:val="100"/>
                <w:kern w:val="0"/>
                <w:position w:val="0"/>
                <w:sz w:val="21"/>
                <w:lang w:val="en-US" w:eastAsia="zh-CN" w:bidi="ar"/>
              </w:rPr>
              <w:t>63</w:t>
            </w:r>
          </w:p>
        </w:tc>
      </w:tr>
      <w:tr w14:paraId="6D48D9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361" w:type="pct"/>
            <w:vMerge w:val="continue"/>
            <w:tcBorders>
              <w:tl2br w:val="nil"/>
              <w:tr2bl w:val="nil"/>
            </w:tcBorders>
            <w:noWrap w:val="0"/>
            <w:vAlign w:val="center"/>
          </w:tcPr>
          <w:p w14:paraId="0A1FD490">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p>
        </w:tc>
        <w:tc>
          <w:tcPr>
            <w:tcW w:w="205" w:type="pct"/>
            <w:vMerge w:val="continue"/>
            <w:tcBorders>
              <w:tl2br w:val="nil"/>
              <w:tr2bl w:val="nil"/>
            </w:tcBorders>
            <w:noWrap w:val="0"/>
            <w:vAlign w:val="center"/>
          </w:tcPr>
          <w:p w14:paraId="151B2A43">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p>
        </w:tc>
        <w:tc>
          <w:tcPr>
            <w:tcW w:w="181" w:type="pct"/>
            <w:tcBorders>
              <w:tl2br w:val="nil"/>
              <w:tr2bl w:val="nil"/>
            </w:tcBorders>
            <w:noWrap w:val="0"/>
            <w:vAlign w:val="center"/>
          </w:tcPr>
          <w:p w14:paraId="19698D0B">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无组织</w:t>
            </w:r>
          </w:p>
        </w:tc>
        <w:tc>
          <w:tcPr>
            <w:tcW w:w="181" w:type="pct"/>
            <w:vMerge w:val="continue"/>
            <w:tcBorders>
              <w:tl2br w:val="nil"/>
              <w:tr2bl w:val="nil"/>
            </w:tcBorders>
            <w:noWrap w:val="0"/>
            <w:vAlign w:val="center"/>
          </w:tcPr>
          <w:p w14:paraId="77A29CD7">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p>
        </w:tc>
        <w:tc>
          <w:tcPr>
            <w:tcW w:w="288" w:type="pct"/>
            <w:tcBorders>
              <w:tl2br w:val="nil"/>
              <w:tr2bl w:val="nil"/>
            </w:tcBorders>
            <w:noWrap w:val="0"/>
            <w:vAlign w:val="center"/>
          </w:tcPr>
          <w:p w14:paraId="780AC843">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eastAsia" w:ascii="Times New Roman" w:hAnsi="Times New Roman" w:eastAsia="宋体" w:cs="Times New Roman"/>
                <w:i w:val="0"/>
                <w:iCs w:val="0"/>
                <w:color w:val="auto"/>
                <w:spacing w:val="0"/>
                <w:w w:val="100"/>
                <w:kern w:val="0"/>
                <w:position w:val="0"/>
                <w:sz w:val="21"/>
                <w:szCs w:val="21"/>
                <w:u w:val="none"/>
                <w:lang w:val="en-US" w:eastAsia="zh-CN" w:bidi="ar"/>
              </w:rPr>
            </w:pPr>
            <w:r>
              <w:rPr>
                <w:rFonts w:hint="eastAsia" w:ascii="Times New Roman" w:hAnsi="Times New Roman" w:eastAsia="宋体" w:cs="Times New Roman"/>
                <w:i w:val="0"/>
                <w:iCs w:val="0"/>
                <w:color w:val="auto"/>
                <w:spacing w:val="0"/>
                <w:w w:val="100"/>
                <w:kern w:val="0"/>
                <w:position w:val="0"/>
                <w:sz w:val="21"/>
                <w:szCs w:val="21"/>
                <w:u w:val="none"/>
                <w:lang w:val="en-US" w:eastAsia="zh-CN" w:bidi="ar"/>
              </w:rPr>
              <w:t>/</w:t>
            </w:r>
          </w:p>
        </w:tc>
        <w:tc>
          <w:tcPr>
            <w:tcW w:w="421" w:type="pct"/>
            <w:tcBorders>
              <w:tl2br w:val="nil"/>
              <w:tr2bl w:val="nil"/>
            </w:tcBorders>
            <w:shd w:val="clear" w:color="auto" w:fill="auto"/>
            <w:noWrap w:val="0"/>
            <w:vAlign w:val="center"/>
          </w:tcPr>
          <w:p w14:paraId="67AA5441">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default" w:ascii="Times New Roman" w:hAnsi="Times New Roman" w:eastAsia="宋体" w:cs="Times New Roman"/>
                <w:i w:val="0"/>
                <w:iCs w:val="0"/>
                <w:color w:val="auto"/>
                <w:spacing w:val="0"/>
                <w:kern w:val="0"/>
                <w:sz w:val="21"/>
                <w:szCs w:val="21"/>
                <w:u w:val="none"/>
                <w:lang w:val="en-US" w:eastAsia="zh-CN" w:bidi="ar"/>
              </w:rPr>
              <w:t>0.2</w:t>
            </w:r>
            <w:r>
              <w:rPr>
                <w:rFonts w:hint="eastAsia" w:cs="Times New Roman"/>
                <w:i w:val="0"/>
                <w:iCs w:val="0"/>
                <w:color w:val="auto"/>
                <w:spacing w:val="0"/>
                <w:kern w:val="0"/>
                <w:sz w:val="21"/>
                <w:szCs w:val="21"/>
                <w:u w:val="none"/>
                <w:lang w:val="en-US" w:eastAsia="zh-CN" w:bidi="ar"/>
              </w:rPr>
              <w:t>89</w:t>
            </w:r>
          </w:p>
        </w:tc>
        <w:tc>
          <w:tcPr>
            <w:tcW w:w="486" w:type="pct"/>
            <w:tcBorders>
              <w:tl2br w:val="nil"/>
              <w:tr2bl w:val="nil"/>
            </w:tcBorders>
            <w:shd w:val="clear" w:color="auto" w:fill="auto"/>
            <w:noWrap w:val="0"/>
            <w:vAlign w:val="center"/>
          </w:tcPr>
          <w:p w14:paraId="3B13F0E0">
            <w:pPr>
              <w:keepNext w:val="0"/>
              <w:keepLines w:val="0"/>
              <w:pageBreakBefore w:val="0"/>
              <w:widowControl w:val="0"/>
              <w:suppressLineNumbers w:val="0"/>
              <w:kinsoku/>
              <w:wordWrap/>
              <w:overflowPunct/>
              <w:topLinePunct w:val="0"/>
              <w:autoSpaceDE/>
              <w:autoSpaceDN/>
              <w:bidi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w:t>
            </w:r>
          </w:p>
        </w:tc>
        <w:tc>
          <w:tcPr>
            <w:tcW w:w="343" w:type="pct"/>
            <w:tcBorders>
              <w:tl2br w:val="nil"/>
              <w:tr2bl w:val="nil"/>
            </w:tcBorders>
            <w:shd w:val="clear" w:color="auto" w:fill="auto"/>
            <w:noWrap w:val="0"/>
            <w:vAlign w:val="center"/>
          </w:tcPr>
          <w:p w14:paraId="7FB79F5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eastAsia"/>
                <w:color w:val="auto"/>
                <w:spacing w:val="0"/>
                <w:w w:val="100"/>
                <w:kern w:val="0"/>
                <w:position w:val="0"/>
                <w:sz w:val="21"/>
                <w:lang w:val="en-US" w:eastAsia="zh-CN" w:bidi="ar"/>
              </w:rPr>
              <w:t>1.386</w:t>
            </w:r>
          </w:p>
        </w:tc>
        <w:tc>
          <w:tcPr>
            <w:tcW w:w="1279" w:type="pct"/>
            <w:tcBorders>
              <w:tl2br w:val="nil"/>
              <w:tr2bl w:val="nil"/>
            </w:tcBorders>
            <w:shd w:val="clear" w:color="auto" w:fill="auto"/>
            <w:noWrap w:val="0"/>
            <w:vAlign w:val="center"/>
          </w:tcPr>
          <w:p w14:paraId="420186AF">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eastAsia" w:ascii="Times New Roman" w:hAnsi="Times New Roman" w:eastAsia="宋体" w:cs="Times New Roman"/>
                <w:i w:val="0"/>
                <w:iCs w:val="0"/>
                <w:color w:val="auto"/>
                <w:spacing w:val="0"/>
                <w:w w:val="100"/>
                <w:kern w:val="0"/>
                <w:position w:val="0"/>
                <w:sz w:val="21"/>
                <w:szCs w:val="21"/>
                <w:u w:val="none"/>
                <w:lang w:val="en-US" w:eastAsia="zh-CN" w:bidi="ar"/>
              </w:rPr>
              <w:t>/</w:t>
            </w:r>
          </w:p>
        </w:tc>
        <w:tc>
          <w:tcPr>
            <w:tcW w:w="212" w:type="pct"/>
            <w:tcBorders>
              <w:tl2br w:val="nil"/>
              <w:tr2bl w:val="nil"/>
            </w:tcBorders>
            <w:noWrap w:val="0"/>
            <w:vAlign w:val="center"/>
          </w:tcPr>
          <w:p w14:paraId="6C9248E4">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eastAsia" w:ascii="Times New Roman" w:hAnsi="Times New Roman" w:eastAsia="宋体" w:cs="Times New Roman"/>
                <w:i w:val="0"/>
                <w:iCs w:val="0"/>
                <w:color w:val="auto"/>
                <w:spacing w:val="0"/>
                <w:w w:val="100"/>
                <w:kern w:val="0"/>
                <w:position w:val="0"/>
                <w:sz w:val="21"/>
                <w:szCs w:val="21"/>
                <w:u w:val="none"/>
                <w:lang w:val="en-US" w:eastAsia="zh-CN" w:bidi="ar"/>
              </w:rPr>
            </w:pPr>
            <w:r>
              <w:rPr>
                <w:rFonts w:hint="eastAsia" w:ascii="Times New Roman" w:hAnsi="Times New Roman" w:eastAsia="宋体" w:cs="Times New Roman"/>
                <w:i w:val="0"/>
                <w:iCs w:val="0"/>
                <w:color w:val="auto"/>
                <w:spacing w:val="0"/>
                <w:w w:val="100"/>
                <w:kern w:val="0"/>
                <w:position w:val="0"/>
                <w:sz w:val="21"/>
                <w:szCs w:val="21"/>
                <w:u w:val="none"/>
                <w:lang w:val="en-US" w:eastAsia="zh-CN" w:bidi="ar"/>
              </w:rPr>
              <w:t>/</w:t>
            </w:r>
          </w:p>
        </w:tc>
        <w:tc>
          <w:tcPr>
            <w:tcW w:w="295" w:type="pct"/>
            <w:tcBorders>
              <w:tl2br w:val="nil"/>
              <w:tr2bl w:val="nil"/>
            </w:tcBorders>
            <w:shd w:val="clear" w:color="auto" w:fill="auto"/>
            <w:noWrap w:val="0"/>
            <w:vAlign w:val="center"/>
          </w:tcPr>
          <w:p w14:paraId="57651277">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default" w:ascii="Times New Roman" w:hAnsi="Times New Roman" w:eastAsia="宋体" w:cs="Times New Roman"/>
                <w:i w:val="0"/>
                <w:iCs w:val="0"/>
                <w:color w:val="auto"/>
                <w:spacing w:val="0"/>
                <w:kern w:val="0"/>
                <w:sz w:val="21"/>
                <w:szCs w:val="21"/>
                <w:u w:val="none"/>
                <w:lang w:val="en-US" w:eastAsia="zh-CN" w:bidi="ar"/>
              </w:rPr>
              <w:t>0.2</w:t>
            </w:r>
            <w:r>
              <w:rPr>
                <w:rFonts w:hint="eastAsia" w:cs="Times New Roman"/>
                <w:i w:val="0"/>
                <w:iCs w:val="0"/>
                <w:color w:val="auto"/>
                <w:spacing w:val="0"/>
                <w:kern w:val="0"/>
                <w:sz w:val="21"/>
                <w:szCs w:val="21"/>
                <w:u w:val="none"/>
                <w:lang w:val="en-US" w:eastAsia="zh-CN" w:bidi="ar"/>
              </w:rPr>
              <w:t>89</w:t>
            </w:r>
          </w:p>
        </w:tc>
        <w:tc>
          <w:tcPr>
            <w:tcW w:w="487" w:type="pct"/>
            <w:tcBorders>
              <w:tl2br w:val="nil"/>
              <w:tr2bl w:val="nil"/>
            </w:tcBorders>
            <w:shd w:val="clear" w:color="auto" w:fill="auto"/>
            <w:noWrap w:val="0"/>
            <w:vAlign w:val="center"/>
          </w:tcPr>
          <w:p w14:paraId="7B51A022">
            <w:pPr>
              <w:keepNext w:val="0"/>
              <w:keepLines w:val="0"/>
              <w:pageBreakBefore w:val="0"/>
              <w:widowControl w:val="0"/>
              <w:suppressLineNumbers w:val="0"/>
              <w:kinsoku/>
              <w:wordWrap/>
              <w:overflowPunct/>
              <w:topLinePunct w:val="0"/>
              <w:autoSpaceDE/>
              <w:autoSpaceDN/>
              <w:bidi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w:t>
            </w:r>
          </w:p>
        </w:tc>
        <w:tc>
          <w:tcPr>
            <w:tcW w:w="259" w:type="pct"/>
            <w:tcBorders>
              <w:tl2br w:val="nil"/>
              <w:tr2bl w:val="nil"/>
            </w:tcBorders>
            <w:shd w:val="clear" w:color="auto" w:fill="auto"/>
            <w:noWrap w:val="0"/>
            <w:vAlign w:val="center"/>
          </w:tcPr>
          <w:p w14:paraId="3249545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eastAsia"/>
                <w:color w:val="auto"/>
                <w:spacing w:val="0"/>
                <w:w w:val="100"/>
                <w:kern w:val="0"/>
                <w:position w:val="0"/>
                <w:sz w:val="21"/>
                <w:lang w:val="en-US" w:eastAsia="zh-CN" w:bidi="ar"/>
              </w:rPr>
              <w:t>1.386</w:t>
            </w:r>
          </w:p>
        </w:tc>
      </w:tr>
      <w:tr w14:paraId="6B4E1C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361" w:type="pct"/>
            <w:vMerge w:val="restart"/>
            <w:tcBorders>
              <w:tl2br w:val="nil"/>
              <w:tr2bl w:val="nil"/>
            </w:tcBorders>
            <w:noWrap w:val="0"/>
            <w:vAlign w:val="center"/>
          </w:tcPr>
          <w:p w14:paraId="660C5D65">
            <w:pPr>
              <w:pStyle w:val="9"/>
              <w:keepNext w:val="0"/>
              <w:keepLines w:val="0"/>
              <w:pageBreakBefore w:val="0"/>
              <w:widowControl w:val="0"/>
              <w:numPr>
                <w:ilvl w:val="0"/>
                <w:numId w:val="0"/>
              </w:numPr>
              <w:suppressLineNumbers w:val="0"/>
              <w:shd w:val="clear" w:color="auto" w:fill="auto"/>
              <w:tabs>
                <w:tab w:val="left" w:pos="780"/>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挤出、热压复合、修边保温废气</w:t>
            </w:r>
          </w:p>
        </w:tc>
        <w:tc>
          <w:tcPr>
            <w:tcW w:w="205" w:type="pct"/>
            <w:vMerge w:val="restart"/>
            <w:tcBorders>
              <w:tl2br w:val="nil"/>
              <w:tr2bl w:val="nil"/>
            </w:tcBorders>
            <w:noWrap w:val="0"/>
            <w:vAlign w:val="center"/>
          </w:tcPr>
          <w:p w14:paraId="2CE69079">
            <w:pPr>
              <w:pStyle w:val="9"/>
              <w:keepNext w:val="0"/>
              <w:keepLines w:val="0"/>
              <w:pageBreakBefore w:val="0"/>
              <w:widowControl w:val="0"/>
              <w:numPr>
                <w:ilvl w:val="0"/>
                <w:numId w:val="0"/>
              </w:numPr>
              <w:suppressLineNumbers w:val="0"/>
              <w:shd w:val="clear" w:color="auto" w:fill="auto"/>
              <w:tabs>
                <w:tab w:val="left" w:pos="780"/>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rPr>
              <w:t>非甲烷总烃</w:t>
            </w:r>
          </w:p>
        </w:tc>
        <w:tc>
          <w:tcPr>
            <w:tcW w:w="181" w:type="pct"/>
            <w:tcBorders>
              <w:tl2br w:val="nil"/>
              <w:tr2bl w:val="nil"/>
            </w:tcBorders>
            <w:shd w:val="clear" w:color="auto" w:fill="auto"/>
            <w:noWrap w:val="0"/>
            <w:vAlign w:val="center"/>
          </w:tcPr>
          <w:p w14:paraId="4AE92011">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baseline"/>
              <w:outlineLvl w:val="9"/>
              <w:rPr>
                <w:rFonts w:hint="default" w:ascii="Times New Roman" w:hAnsi="Times New Roman" w:eastAsia="宋体" w:cs="Times New Roman"/>
                <w:snapToGrid/>
                <w:color w:val="auto"/>
                <w:spacing w:val="0"/>
                <w:w w:val="100"/>
                <w:kern w:val="21"/>
                <w:position w:val="0"/>
                <w:sz w:val="21"/>
                <w:szCs w:val="21"/>
                <w:highlight w:val="none"/>
                <w:lang w:val="en-US" w:eastAsia="zh-CN" w:bidi="ar-SA"/>
              </w:rPr>
            </w:pPr>
            <w:r>
              <w:rPr>
                <w:rFonts w:hint="default" w:ascii="Times New Roman" w:hAnsi="Times New Roman" w:eastAsia="宋体" w:cs="Times New Roman"/>
                <w:snapToGrid/>
                <w:color w:val="auto"/>
                <w:spacing w:val="0"/>
                <w:w w:val="100"/>
                <w:kern w:val="21"/>
                <w:position w:val="0"/>
                <w:sz w:val="21"/>
                <w:szCs w:val="21"/>
                <w:highlight w:val="none"/>
                <w:lang w:val="en-US" w:eastAsia="zh-CN"/>
              </w:rPr>
              <w:t>有组织</w:t>
            </w:r>
          </w:p>
        </w:tc>
        <w:tc>
          <w:tcPr>
            <w:tcW w:w="181" w:type="pct"/>
            <w:vMerge w:val="restart"/>
            <w:tcBorders>
              <w:tl2br w:val="nil"/>
              <w:tr2bl w:val="nil"/>
            </w:tcBorders>
            <w:noWrap w:val="0"/>
            <w:vAlign w:val="center"/>
          </w:tcPr>
          <w:p w14:paraId="53872965">
            <w:pPr>
              <w:pStyle w:val="9"/>
              <w:keepNext w:val="0"/>
              <w:keepLines w:val="0"/>
              <w:pageBreakBefore w:val="0"/>
              <w:widowControl w:val="0"/>
              <w:numPr>
                <w:ilvl w:val="0"/>
                <w:numId w:val="0"/>
              </w:numPr>
              <w:suppressLineNumbers w:val="0"/>
              <w:shd w:val="clear" w:color="auto" w:fill="auto"/>
              <w:tabs>
                <w:tab w:val="left" w:pos="780"/>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rPr>
              <w:t>系数法</w:t>
            </w:r>
          </w:p>
        </w:tc>
        <w:tc>
          <w:tcPr>
            <w:tcW w:w="288" w:type="pct"/>
            <w:tcBorders>
              <w:tl2br w:val="nil"/>
              <w:tr2bl w:val="nil"/>
            </w:tcBorders>
            <w:noWrap w:val="0"/>
            <w:vAlign w:val="center"/>
          </w:tcPr>
          <w:p w14:paraId="130128EB">
            <w:pPr>
              <w:pStyle w:val="9"/>
              <w:keepNext w:val="0"/>
              <w:keepLines w:val="0"/>
              <w:pageBreakBefore w:val="0"/>
              <w:widowControl w:val="0"/>
              <w:numPr>
                <w:ilvl w:val="0"/>
                <w:numId w:val="0"/>
              </w:numPr>
              <w:suppressLineNumbers w:val="0"/>
              <w:shd w:val="clear" w:color="auto" w:fill="auto"/>
              <w:tabs>
                <w:tab w:val="left" w:pos="780"/>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eastAsia"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15</w:t>
            </w:r>
            <w:r>
              <w:rPr>
                <w:rFonts w:hint="default" w:ascii="Times New Roman" w:hAnsi="Times New Roman" w:eastAsia="宋体" w:cs="Times New Roman"/>
                <w:caps w:val="0"/>
                <w:snapToGrid/>
                <w:color w:val="auto"/>
                <w:spacing w:val="0"/>
                <w:w w:val="100"/>
                <w:kern w:val="21"/>
                <w:position w:val="0"/>
                <w:sz w:val="21"/>
                <w:szCs w:val="21"/>
                <w:highlight w:val="none"/>
              </w:rPr>
              <w:t>00</w:t>
            </w:r>
            <w:r>
              <w:rPr>
                <w:rFonts w:hint="eastAsia" w:cs="Times New Roman"/>
                <w:caps w:val="0"/>
                <w:snapToGrid/>
                <w:color w:val="auto"/>
                <w:spacing w:val="0"/>
                <w:w w:val="100"/>
                <w:kern w:val="21"/>
                <w:position w:val="0"/>
                <w:sz w:val="21"/>
                <w:szCs w:val="21"/>
                <w:highlight w:val="none"/>
                <w:lang w:val="en-US" w:eastAsia="zh-CN"/>
              </w:rPr>
              <w:t>0</w:t>
            </w:r>
          </w:p>
        </w:tc>
        <w:tc>
          <w:tcPr>
            <w:tcW w:w="421" w:type="pct"/>
            <w:tcBorders>
              <w:tl2br w:val="nil"/>
              <w:tr2bl w:val="nil"/>
            </w:tcBorders>
            <w:shd w:val="clear" w:color="auto" w:fill="auto"/>
            <w:noWrap w:val="0"/>
            <w:vAlign w:val="center"/>
          </w:tcPr>
          <w:p w14:paraId="74C5669A">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Times New Roman" w:hAnsi="Times New Roman" w:eastAsia="宋体" w:cstheme="minorBidi"/>
                <w:color w:val="auto"/>
                <w:spacing w:val="0"/>
                <w:w w:val="100"/>
                <w:kern w:val="0"/>
                <w:position w:val="0"/>
                <w:sz w:val="21"/>
                <w:szCs w:val="24"/>
                <w:lang w:val="en-US" w:eastAsia="zh-CN" w:bidi="ar"/>
              </w:rPr>
            </w:pPr>
            <w:r>
              <w:rPr>
                <w:rFonts w:hint="eastAsia" w:cs="Times New Roman"/>
                <w:i w:val="0"/>
                <w:iCs w:val="0"/>
                <w:color w:val="auto"/>
                <w:spacing w:val="0"/>
                <w:kern w:val="0"/>
                <w:sz w:val="21"/>
                <w:szCs w:val="21"/>
                <w:u w:val="none"/>
                <w:lang w:val="en-US" w:eastAsia="zh-CN" w:bidi="ar"/>
              </w:rPr>
              <w:t>1.155</w:t>
            </w:r>
          </w:p>
        </w:tc>
        <w:tc>
          <w:tcPr>
            <w:tcW w:w="486" w:type="pct"/>
            <w:tcBorders>
              <w:tl2br w:val="nil"/>
              <w:tr2bl w:val="nil"/>
            </w:tcBorders>
            <w:shd w:val="clear" w:color="auto" w:fill="auto"/>
            <w:noWrap w:val="0"/>
            <w:vAlign w:val="center"/>
          </w:tcPr>
          <w:p w14:paraId="38DBB4F9">
            <w:pPr>
              <w:keepNext w:val="0"/>
              <w:keepLines w:val="0"/>
              <w:pageBreakBefore w:val="0"/>
              <w:widowControl w:val="0"/>
              <w:suppressLineNumbers w:val="0"/>
              <w:kinsoku/>
              <w:wordWrap/>
              <w:overflowPunct/>
              <w:topLinePunct w:val="0"/>
              <w:autoSpaceDE/>
              <w:autoSpaceDN/>
              <w:bidi w:val="0"/>
              <w:spacing w:before="0" w:beforeAutospacing="0" w:after="0" w:afterAutospacing="0"/>
              <w:ind w:left="0" w:leftChars="0" w:right="0" w:rightChars="0" w:firstLine="0" w:firstLineChars="0"/>
              <w:jc w:val="center"/>
              <w:textAlignment w:val="center"/>
              <w:rPr>
                <w:rFonts w:hint="default" w:ascii="Times New Roman" w:hAnsi="Times New Roman" w:eastAsia="宋体" w:cstheme="minorBidi"/>
                <w:color w:val="auto"/>
                <w:spacing w:val="0"/>
                <w:w w:val="100"/>
                <w:kern w:val="0"/>
                <w:position w:val="0"/>
                <w:sz w:val="21"/>
                <w:szCs w:val="24"/>
                <w:lang w:val="en-US" w:eastAsia="zh-CN" w:bidi="ar"/>
              </w:rPr>
            </w:pPr>
            <w:r>
              <w:rPr>
                <w:rFonts w:hint="eastAsia" w:cs="Times New Roman"/>
                <w:i w:val="0"/>
                <w:iCs w:val="0"/>
                <w:color w:val="auto"/>
                <w:spacing w:val="0"/>
                <w:w w:val="100"/>
                <w:kern w:val="0"/>
                <w:position w:val="0"/>
                <w:sz w:val="21"/>
                <w:szCs w:val="21"/>
                <w:u w:val="none"/>
                <w:lang w:val="en-US" w:eastAsia="zh-CN" w:bidi="ar"/>
              </w:rPr>
              <w:t>77</w:t>
            </w:r>
          </w:p>
        </w:tc>
        <w:tc>
          <w:tcPr>
            <w:tcW w:w="343" w:type="pct"/>
            <w:tcBorders>
              <w:tl2br w:val="nil"/>
              <w:tr2bl w:val="nil"/>
            </w:tcBorders>
            <w:shd w:val="clear" w:color="auto" w:fill="auto"/>
            <w:noWrap w:val="0"/>
            <w:vAlign w:val="center"/>
          </w:tcPr>
          <w:p w14:paraId="25073AF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spacing w:val="0"/>
                <w:w w:val="100"/>
                <w:kern w:val="0"/>
                <w:position w:val="0"/>
                <w:sz w:val="21"/>
                <w:szCs w:val="24"/>
                <w:lang w:val="en-US" w:eastAsia="zh-CN" w:bidi="ar"/>
              </w:rPr>
            </w:pPr>
            <w:r>
              <w:rPr>
                <w:rFonts w:hint="eastAsia"/>
                <w:color w:val="auto"/>
                <w:spacing w:val="0"/>
                <w:w w:val="100"/>
                <w:kern w:val="0"/>
                <w:position w:val="0"/>
                <w:sz w:val="21"/>
                <w:lang w:val="en-US" w:eastAsia="zh-CN" w:bidi="ar"/>
              </w:rPr>
              <w:t>5.544</w:t>
            </w:r>
          </w:p>
        </w:tc>
        <w:tc>
          <w:tcPr>
            <w:tcW w:w="1279" w:type="pct"/>
            <w:tcBorders>
              <w:tl2br w:val="nil"/>
              <w:tr2bl w:val="nil"/>
            </w:tcBorders>
            <w:shd w:val="clear" w:color="auto" w:fill="auto"/>
            <w:noWrap w:val="0"/>
            <w:vAlign w:val="center"/>
          </w:tcPr>
          <w:p w14:paraId="1B8A1688">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color w:val="auto"/>
                <w:spacing w:val="0"/>
                <w:w w:val="100"/>
                <w:kern w:val="21"/>
                <w:position w:val="0"/>
                <w:sz w:val="21"/>
                <w:szCs w:val="21"/>
                <w:lang w:val="en-US" w:eastAsia="zh-CN" w:bidi="ar-SA"/>
              </w:rPr>
            </w:pPr>
            <w:r>
              <w:rPr>
                <w:rFonts w:hint="eastAsia" w:ascii="Times New Roman" w:hAnsi="Times New Roman" w:eastAsia="宋体" w:cs="Times New Roman"/>
                <w:color w:val="auto"/>
                <w:spacing w:val="0"/>
                <w:w w:val="100"/>
                <w:kern w:val="21"/>
                <w:position w:val="0"/>
                <w:sz w:val="21"/>
                <w:szCs w:val="21"/>
                <w:highlight w:val="none"/>
                <w:lang w:val="en-US" w:eastAsia="zh-CN"/>
              </w:rPr>
              <w:t>集气罩</w:t>
            </w:r>
            <w:r>
              <w:rPr>
                <w:rFonts w:hint="default" w:ascii="Times New Roman" w:hAnsi="Times New Roman" w:eastAsia="宋体" w:cs="Times New Roman"/>
                <w:color w:val="auto"/>
                <w:spacing w:val="0"/>
                <w:w w:val="100"/>
                <w:kern w:val="21"/>
                <w:position w:val="0"/>
                <w:sz w:val="21"/>
                <w:szCs w:val="21"/>
                <w:highlight w:val="none"/>
                <w:lang w:eastAsia="zh-CN"/>
              </w:rPr>
              <w:t>（集气效率</w:t>
            </w:r>
            <w:r>
              <w:rPr>
                <w:rFonts w:hint="eastAsia" w:ascii="Times New Roman" w:hAnsi="Times New Roman" w:eastAsia="宋体" w:cs="Times New Roman"/>
                <w:color w:val="auto"/>
                <w:spacing w:val="0"/>
                <w:w w:val="100"/>
                <w:kern w:val="21"/>
                <w:position w:val="0"/>
                <w:sz w:val="21"/>
                <w:szCs w:val="21"/>
                <w:highlight w:val="none"/>
                <w:lang w:val="en-US" w:eastAsia="zh-CN"/>
              </w:rPr>
              <w:t>80</w:t>
            </w:r>
            <w:r>
              <w:rPr>
                <w:rFonts w:hint="default" w:ascii="Times New Roman" w:hAnsi="Times New Roman" w:eastAsia="宋体" w:cs="Times New Roman"/>
                <w:color w:val="auto"/>
                <w:spacing w:val="0"/>
                <w:w w:val="100"/>
                <w:kern w:val="21"/>
                <w:position w:val="0"/>
                <w:sz w:val="21"/>
                <w:szCs w:val="21"/>
                <w:highlight w:val="none"/>
                <w:lang w:eastAsia="zh-CN"/>
              </w:rPr>
              <w:t>%）</w:t>
            </w:r>
            <w:r>
              <w:rPr>
                <w:rFonts w:hint="eastAsia" w:ascii="Times New Roman" w:hAnsi="Times New Roman" w:eastAsia="宋体" w:cs="Times New Roman"/>
                <w:color w:val="auto"/>
                <w:spacing w:val="0"/>
                <w:w w:val="100"/>
                <w:kern w:val="21"/>
                <w:position w:val="0"/>
                <w:sz w:val="21"/>
                <w:szCs w:val="21"/>
                <w:lang w:val="en-US" w:eastAsia="zh-CN"/>
              </w:rPr>
              <w:t>+“活性炭吸附脱附+催化燃烧装置”处理（处理效率为60%）+15m排气筒（DA002）排放</w:t>
            </w:r>
          </w:p>
        </w:tc>
        <w:tc>
          <w:tcPr>
            <w:tcW w:w="212" w:type="pct"/>
            <w:tcBorders>
              <w:tl2br w:val="nil"/>
              <w:tr2bl w:val="nil"/>
            </w:tcBorders>
            <w:noWrap w:val="0"/>
            <w:vAlign w:val="center"/>
          </w:tcPr>
          <w:p w14:paraId="6C27517F">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baseline"/>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rPr>
              <w:t>60</w:t>
            </w:r>
          </w:p>
        </w:tc>
        <w:tc>
          <w:tcPr>
            <w:tcW w:w="295" w:type="pct"/>
            <w:tcBorders>
              <w:tl2br w:val="nil"/>
              <w:tr2bl w:val="nil"/>
            </w:tcBorders>
            <w:shd w:val="clear" w:color="auto" w:fill="auto"/>
            <w:noWrap w:val="0"/>
            <w:vAlign w:val="center"/>
          </w:tcPr>
          <w:p w14:paraId="202241F0">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Times New Roman" w:hAnsi="Times New Roman" w:eastAsia="宋体" w:cstheme="minorBidi"/>
                <w:color w:val="auto"/>
                <w:spacing w:val="0"/>
                <w:w w:val="100"/>
                <w:kern w:val="0"/>
                <w:position w:val="0"/>
                <w:sz w:val="21"/>
                <w:szCs w:val="24"/>
                <w:lang w:val="en-US" w:eastAsia="zh-CN" w:bidi="ar"/>
              </w:rPr>
            </w:pPr>
            <w:r>
              <w:rPr>
                <w:rFonts w:hint="default" w:ascii="Times New Roman" w:hAnsi="Times New Roman" w:eastAsia="宋体" w:cs="Times New Roman"/>
                <w:i w:val="0"/>
                <w:iCs w:val="0"/>
                <w:color w:val="auto"/>
                <w:spacing w:val="0"/>
                <w:kern w:val="0"/>
                <w:sz w:val="21"/>
                <w:szCs w:val="21"/>
                <w:u w:val="none"/>
                <w:lang w:val="en-US" w:eastAsia="zh-CN" w:bidi="ar"/>
              </w:rPr>
              <w:t>0.</w:t>
            </w:r>
            <w:r>
              <w:rPr>
                <w:rFonts w:hint="eastAsia" w:cs="Times New Roman"/>
                <w:i w:val="0"/>
                <w:iCs w:val="0"/>
                <w:color w:val="auto"/>
                <w:spacing w:val="0"/>
                <w:kern w:val="0"/>
                <w:sz w:val="21"/>
                <w:szCs w:val="21"/>
                <w:u w:val="none"/>
                <w:lang w:val="en-US" w:eastAsia="zh-CN" w:bidi="ar"/>
              </w:rPr>
              <w:t>462</w:t>
            </w:r>
          </w:p>
        </w:tc>
        <w:tc>
          <w:tcPr>
            <w:tcW w:w="487" w:type="pct"/>
            <w:tcBorders>
              <w:tl2br w:val="nil"/>
              <w:tr2bl w:val="nil"/>
            </w:tcBorders>
            <w:shd w:val="clear" w:color="auto" w:fill="auto"/>
            <w:noWrap w:val="0"/>
            <w:vAlign w:val="center"/>
          </w:tcPr>
          <w:p w14:paraId="7FEC75AC">
            <w:pPr>
              <w:keepNext w:val="0"/>
              <w:keepLines w:val="0"/>
              <w:pageBreakBefore w:val="0"/>
              <w:widowControl w:val="0"/>
              <w:suppressLineNumbers w:val="0"/>
              <w:kinsoku/>
              <w:wordWrap/>
              <w:overflowPunct/>
              <w:topLinePunct w:val="0"/>
              <w:autoSpaceDE/>
              <w:autoSpaceDN/>
              <w:bidi w:val="0"/>
              <w:spacing w:before="0" w:beforeAutospacing="0" w:after="0" w:afterAutospacing="0"/>
              <w:ind w:left="0" w:leftChars="0" w:right="0" w:rightChars="0" w:firstLine="0" w:firstLineChars="0"/>
              <w:jc w:val="center"/>
              <w:textAlignment w:val="center"/>
              <w:rPr>
                <w:rFonts w:hint="default" w:ascii="Times New Roman" w:hAnsi="Times New Roman" w:eastAsia="宋体" w:cstheme="minorBidi"/>
                <w:color w:val="auto"/>
                <w:spacing w:val="0"/>
                <w:w w:val="100"/>
                <w:kern w:val="0"/>
                <w:position w:val="0"/>
                <w:sz w:val="21"/>
                <w:szCs w:val="24"/>
                <w:lang w:val="en-US" w:eastAsia="zh-CN" w:bidi="ar"/>
              </w:rPr>
            </w:pPr>
            <w:r>
              <w:rPr>
                <w:rFonts w:hint="eastAsia" w:cs="Times New Roman"/>
                <w:i w:val="0"/>
                <w:iCs w:val="0"/>
                <w:color w:val="auto"/>
                <w:spacing w:val="0"/>
                <w:w w:val="100"/>
                <w:kern w:val="0"/>
                <w:position w:val="0"/>
                <w:sz w:val="21"/>
                <w:szCs w:val="21"/>
                <w:u w:val="none"/>
                <w:lang w:val="en-US" w:eastAsia="zh-CN" w:bidi="ar"/>
              </w:rPr>
              <w:t>30.806</w:t>
            </w:r>
          </w:p>
        </w:tc>
        <w:tc>
          <w:tcPr>
            <w:tcW w:w="259" w:type="pct"/>
            <w:tcBorders>
              <w:tl2br w:val="nil"/>
              <w:tr2bl w:val="nil"/>
            </w:tcBorders>
            <w:shd w:val="clear" w:color="auto" w:fill="auto"/>
            <w:noWrap w:val="0"/>
            <w:vAlign w:val="center"/>
          </w:tcPr>
          <w:p w14:paraId="0B1FAFA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spacing w:val="0"/>
                <w:w w:val="100"/>
                <w:kern w:val="0"/>
                <w:position w:val="0"/>
                <w:sz w:val="21"/>
                <w:szCs w:val="24"/>
                <w:lang w:val="en-US" w:eastAsia="zh-CN" w:bidi="ar"/>
              </w:rPr>
            </w:pPr>
            <w:r>
              <w:rPr>
                <w:rFonts w:hint="eastAsia"/>
                <w:color w:val="auto"/>
                <w:spacing w:val="0"/>
                <w:w w:val="100"/>
                <w:kern w:val="0"/>
                <w:position w:val="0"/>
                <w:sz w:val="21"/>
                <w:lang w:val="en-US" w:eastAsia="zh-CN" w:bidi="ar"/>
              </w:rPr>
              <w:t>2.218</w:t>
            </w:r>
          </w:p>
        </w:tc>
      </w:tr>
      <w:tr w14:paraId="2D9287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361" w:type="pct"/>
            <w:vMerge w:val="continue"/>
            <w:tcBorders>
              <w:tl2br w:val="nil"/>
              <w:tr2bl w:val="nil"/>
            </w:tcBorders>
            <w:noWrap w:val="0"/>
            <w:vAlign w:val="center"/>
          </w:tcPr>
          <w:p w14:paraId="437E44B4">
            <w:pPr>
              <w:pStyle w:val="9"/>
              <w:keepNext w:val="0"/>
              <w:keepLines w:val="0"/>
              <w:pageBreakBefore w:val="0"/>
              <w:widowControl w:val="0"/>
              <w:numPr>
                <w:ilvl w:val="0"/>
                <w:numId w:val="0"/>
              </w:numPr>
              <w:suppressLineNumbers w:val="0"/>
              <w:shd w:val="clear" w:color="auto" w:fill="auto"/>
              <w:tabs>
                <w:tab w:val="left" w:pos="780"/>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p>
        </w:tc>
        <w:tc>
          <w:tcPr>
            <w:tcW w:w="205" w:type="pct"/>
            <w:vMerge w:val="continue"/>
            <w:tcBorders>
              <w:tl2br w:val="nil"/>
              <w:tr2bl w:val="nil"/>
            </w:tcBorders>
            <w:noWrap w:val="0"/>
            <w:vAlign w:val="center"/>
          </w:tcPr>
          <w:p w14:paraId="54ECB13A">
            <w:pPr>
              <w:pStyle w:val="9"/>
              <w:keepNext w:val="0"/>
              <w:keepLines w:val="0"/>
              <w:pageBreakBefore w:val="0"/>
              <w:widowControl w:val="0"/>
              <w:numPr>
                <w:ilvl w:val="0"/>
                <w:numId w:val="0"/>
              </w:numPr>
              <w:suppressLineNumbers w:val="0"/>
              <w:shd w:val="clear" w:color="auto" w:fill="auto"/>
              <w:tabs>
                <w:tab w:val="left" w:pos="780"/>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p>
        </w:tc>
        <w:tc>
          <w:tcPr>
            <w:tcW w:w="181" w:type="pct"/>
            <w:tcBorders>
              <w:tl2br w:val="nil"/>
              <w:tr2bl w:val="nil"/>
            </w:tcBorders>
            <w:shd w:val="clear" w:color="auto" w:fill="auto"/>
            <w:noWrap w:val="0"/>
            <w:vAlign w:val="center"/>
          </w:tcPr>
          <w:p w14:paraId="376DA82A">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baseline"/>
              <w:outlineLvl w:val="9"/>
              <w:rPr>
                <w:rFonts w:hint="default" w:ascii="Times New Roman" w:hAnsi="Times New Roman" w:eastAsia="宋体" w:cs="Times New Roman"/>
                <w:snapToGrid/>
                <w:color w:val="auto"/>
                <w:spacing w:val="0"/>
                <w:w w:val="100"/>
                <w:kern w:val="21"/>
                <w:position w:val="0"/>
                <w:sz w:val="21"/>
                <w:szCs w:val="21"/>
                <w:highlight w:val="none"/>
                <w:lang w:val="en-US" w:eastAsia="zh-CN" w:bidi="ar-SA"/>
              </w:rPr>
            </w:pPr>
            <w:r>
              <w:rPr>
                <w:rFonts w:hint="default" w:ascii="Times New Roman" w:hAnsi="Times New Roman" w:eastAsia="宋体" w:cs="Times New Roman"/>
                <w:snapToGrid/>
                <w:color w:val="auto"/>
                <w:spacing w:val="0"/>
                <w:w w:val="100"/>
                <w:kern w:val="21"/>
                <w:position w:val="0"/>
                <w:sz w:val="21"/>
                <w:szCs w:val="21"/>
                <w:highlight w:val="none"/>
                <w:lang w:val="en-US" w:eastAsia="zh-CN"/>
              </w:rPr>
              <w:t>无组织</w:t>
            </w:r>
          </w:p>
        </w:tc>
        <w:tc>
          <w:tcPr>
            <w:tcW w:w="181" w:type="pct"/>
            <w:vMerge w:val="continue"/>
            <w:tcBorders>
              <w:tl2br w:val="nil"/>
              <w:tr2bl w:val="nil"/>
            </w:tcBorders>
            <w:noWrap w:val="0"/>
            <w:vAlign w:val="center"/>
          </w:tcPr>
          <w:p w14:paraId="72D00DD5">
            <w:pPr>
              <w:pStyle w:val="9"/>
              <w:keepNext w:val="0"/>
              <w:keepLines w:val="0"/>
              <w:pageBreakBefore w:val="0"/>
              <w:widowControl w:val="0"/>
              <w:numPr>
                <w:ilvl w:val="0"/>
                <w:numId w:val="0"/>
              </w:numPr>
              <w:suppressLineNumbers w:val="0"/>
              <w:shd w:val="clear" w:color="auto" w:fill="auto"/>
              <w:tabs>
                <w:tab w:val="left" w:pos="780"/>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p>
        </w:tc>
        <w:tc>
          <w:tcPr>
            <w:tcW w:w="288" w:type="pct"/>
            <w:tcBorders>
              <w:tl2br w:val="nil"/>
              <w:tr2bl w:val="nil"/>
            </w:tcBorders>
            <w:noWrap w:val="0"/>
            <w:vAlign w:val="center"/>
          </w:tcPr>
          <w:p w14:paraId="51BDF7BB">
            <w:pPr>
              <w:pStyle w:val="9"/>
              <w:keepNext w:val="0"/>
              <w:keepLines w:val="0"/>
              <w:pageBreakBefore w:val="0"/>
              <w:widowControl w:val="0"/>
              <w:numPr>
                <w:ilvl w:val="0"/>
                <w:numId w:val="0"/>
              </w:numPr>
              <w:suppressLineNumbers w:val="0"/>
              <w:shd w:val="clear" w:color="auto" w:fill="auto"/>
              <w:tabs>
                <w:tab w:val="left" w:pos="780"/>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w:t>
            </w:r>
          </w:p>
        </w:tc>
        <w:tc>
          <w:tcPr>
            <w:tcW w:w="421" w:type="pct"/>
            <w:tcBorders>
              <w:tl2br w:val="nil"/>
              <w:tr2bl w:val="nil"/>
            </w:tcBorders>
            <w:shd w:val="clear" w:color="auto" w:fill="auto"/>
            <w:noWrap w:val="0"/>
            <w:vAlign w:val="center"/>
          </w:tcPr>
          <w:p w14:paraId="47652DC6">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Times New Roman" w:hAnsi="Times New Roman" w:eastAsia="宋体" w:cstheme="minorBidi"/>
                <w:color w:val="auto"/>
                <w:spacing w:val="0"/>
                <w:w w:val="100"/>
                <w:kern w:val="0"/>
                <w:position w:val="0"/>
                <w:sz w:val="21"/>
                <w:szCs w:val="24"/>
                <w:lang w:val="en-US" w:eastAsia="zh-CN" w:bidi="ar"/>
              </w:rPr>
            </w:pPr>
            <w:r>
              <w:rPr>
                <w:rFonts w:hint="default" w:ascii="Times New Roman" w:hAnsi="Times New Roman" w:eastAsia="宋体" w:cs="Times New Roman"/>
                <w:i w:val="0"/>
                <w:iCs w:val="0"/>
                <w:color w:val="auto"/>
                <w:spacing w:val="0"/>
                <w:kern w:val="0"/>
                <w:sz w:val="21"/>
                <w:szCs w:val="21"/>
                <w:u w:val="none"/>
                <w:lang w:val="en-US" w:eastAsia="zh-CN" w:bidi="ar"/>
              </w:rPr>
              <w:t>0.2</w:t>
            </w:r>
            <w:r>
              <w:rPr>
                <w:rFonts w:hint="eastAsia" w:cs="Times New Roman"/>
                <w:i w:val="0"/>
                <w:iCs w:val="0"/>
                <w:color w:val="auto"/>
                <w:spacing w:val="0"/>
                <w:kern w:val="0"/>
                <w:sz w:val="21"/>
                <w:szCs w:val="21"/>
                <w:u w:val="none"/>
                <w:lang w:val="en-US" w:eastAsia="zh-CN" w:bidi="ar"/>
              </w:rPr>
              <w:t>89</w:t>
            </w:r>
          </w:p>
        </w:tc>
        <w:tc>
          <w:tcPr>
            <w:tcW w:w="486" w:type="pct"/>
            <w:tcBorders>
              <w:tl2br w:val="nil"/>
              <w:tr2bl w:val="nil"/>
            </w:tcBorders>
            <w:shd w:val="clear" w:color="auto" w:fill="auto"/>
            <w:noWrap w:val="0"/>
            <w:vAlign w:val="center"/>
          </w:tcPr>
          <w:p w14:paraId="79258E4E">
            <w:pPr>
              <w:keepNext w:val="0"/>
              <w:keepLines w:val="0"/>
              <w:pageBreakBefore w:val="0"/>
              <w:widowControl w:val="0"/>
              <w:suppressLineNumbers w:val="0"/>
              <w:kinsoku/>
              <w:wordWrap/>
              <w:overflowPunct/>
              <w:topLinePunct w:val="0"/>
              <w:autoSpaceDE/>
              <w:autoSpaceDN/>
              <w:bidi w:val="0"/>
              <w:spacing w:before="0" w:beforeAutospacing="0" w:after="0" w:afterAutospacing="0"/>
              <w:ind w:left="0" w:leftChars="0" w:right="0" w:rightChars="0" w:firstLine="0" w:firstLineChars="0"/>
              <w:jc w:val="center"/>
              <w:textAlignment w:val="center"/>
              <w:rPr>
                <w:rFonts w:hint="default" w:ascii="Times New Roman" w:hAnsi="Times New Roman" w:eastAsia="宋体" w:cstheme="minorBidi"/>
                <w:color w:val="auto"/>
                <w:spacing w:val="0"/>
                <w:w w:val="100"/>
                <w:kern w:val="0"/>
                <w:position w:val="0"/>
                <w:sz w:val="21"/>
                <w:szCs w:val="24"/>
                <w:lang w:val="en-US" w:eastAsia="zh-CN" w:bidi="ar"/>
              </w:rPr>
            </w:pP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w:t>
            </w:r>
          </w:p>
        </w:tc>
        <w:tc>
          <w:tcPr>
            <w:tcW w:w="343" w:type="pct"/>
            <w:tcBorders>
              <w:tl2br w:val="nil"/>
              <w:tr2bl w:val="nil"/>
            </w:tcBorders>
            <w:shd w:val="clear" w:color="auto" w:fill="auto"/>
            <w:noWrap w:val="0"/>
            <w:vAlign w:val="center"/>
          </w:tcPr>
          <w:p w14:paraId="5301F5F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spacing w:val="0"/>
                <w:w w:val="100"/>
                <w:kern w:val="0"/>
                <w:position w:val="0"/>
                <w:sz w:val="21"/>
                <w:szCs w:val="24"/>
                <w:lang w:val="en-US" w:eastAsia="zh-CN" w:bidi="ar"/>
              </w:rPr>
            </w:pPr>
            <w:r>
              <w:rPr>
                <w:rFonts w:hint="eastAsia"/>
                <w:color w:val="auto"/>
                <w:spacing w:val="0"/>
                <w:w w:val="100"/>
                <w:kern w:val="0"/>
                <w:position w:val="0"/>
                <w:sz w:val="21"/>
                <w:lang w:val="en-US" w:eastAsia="zh-CN" w:bidi="ar"/>
              </w:rPr>
              <w:t>1.386</w:t>
            </w:r>
          </w:p>
        </w:tc>
        <w:tc>
          <w:tcPr>
            <w:tcW w:w="1279" w:type="pct"/>
            <w:tcBorders>
              <w:tl2br w:val="nil"/>
              <w:tr2bl w:val="nil"/>
            </w:tcBorders>
            <w:shd w:val="clear" w:color="auto" w:fill="auto"/>
            <w:noWrap w:val="0"/>
            <w:vAlign w:val="center"/>
          </w:tcPr>
          <w:p w14:paraId="5CC6F386">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color w:val="auto"/>
                <w:spacing w:val="0"/>
                <w:w w:val="100"/>
                <w:kern w:val="21"/>
                <w:position w:val="0"/>
                <w:sz w:val="21"/>
                <w:szCs w:val="21"/>
                <w:lang w:val="en-US" w:eastAsia="zh-CN" w:bidi="ar-SA"/>
              </w:rPr>
            </w:pPr>
            <w:r>
              <w:rPr>
                <w:rFonts w:hint="eastAsia" w:ascii="Times New Roman" w:hAnsi="Times New Roman" w:eastAsia="宋体" w:cs="Times New Roman"/>
                <w:color w:val="auto"/>
                <w:spacing w:val="0"/>
                <w:w w:val="100"/>
                <w:kern w:val="21"/>
                <w:position w:val="0"/>
                <w:sz w:val="21"/>
                <w:szCs w:val="21"/>
                <w:lang w:val="en-US" w:eastAsia="zh-CN"/>
              </w:rPr>
              <w:t>/</w:t>
            </w:r>
          </w:p>
        </w:tc>
        <w:tc>
          <w:tcPr>
            <w:tcW w:w="212" w:type="pct"/>
            <w:tcBorders>
              <w:tl2br w:val="nil"/>
              <w:tr2bl w:val="nil"/>
            </w:tcBorders>
            <w:noWrap w:val="0"/>
            <w:vAlign w:val="center"/>
          </w:tcPr>
          <w:p w14:paraId="369AC360">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baseline"/>
              <w:outlineLvl w:val="9"/>
              <w:rPr>
                <w:rFonts w:hint="default" w:ascii="Times New Roman" w:hAnsi="Times New Roman" w:eastAsia="宋体" w:cs="Times New Roman"/>
                <w:i w:val="0"/>
                <w:iCs w:val="0"/>
                <w:caps w:val="0"/>
                <w:snapToGrid/>
                <w:color w:val="auto"/>
                <w:spacing w:val="0"/>
                <w:w w:val="100"/>
                <w:kern w:val="21"/>
                <w:position w:val="0"/>
                <w:sz w:val="21"/>
                <w:szCs w:val="21"/>
                <w:highlight w:val="none"/>
                <w:u w:val="none"/>
                <w:lang w:val="en-US" w:eastAsia="zh-CN" w:bidi="ar"/>
              </w:rPr>
            </w:pPr>
            <w:r>
              <w:rPr>
                <w:rFonts w:hint="default" w:ascii="Times New Roman" w:hAnsi="Times New Roman" w:eastAsia="宋体" w:cs="Times New Roman"/>
                <w:i w:val="0"/>
                <w:iCs w:val="0"/>
                <w:caps w:val="0"/>
                <w:snapToGrid/>
                <w:color w:val="auto"/>
                <w:spacing w:val="0"/>
                <w:w w:val="100"/>
                <w:kern w:val="21"/>
                <w:position w:val="0"/>
                <w:sz w:val="21"/>
                <w:szCs w:val="21"/>
                <w:highlight w:val="none"/>
                <w:u w:val="none"/>
                <w:lang w:val="en-US" w:eastAsia="zh-CN" w:bidi="ar"/>
              </w:rPr>
              <w:t>/</w:t>
            </w:r>
          </w:p>
        </w:tc>
        <w:tc>
          <w:tcPr>
            <w:tcW w:w="295" w:type="pct"/>
            <w:tcBorders>
              <w:tl2br w:val="nil"/>
              <w:tr2bl w:val="nil"/>
            </w:tcBorders>
            <w:shd w:val="clear" w:color="auto" w:fill="auto"/>
            <w:noWrap w:val="0"/>
            <w:vAlign w:val="center"/>
          </w:tcPr>
          <w:p w14:paraId="5718E17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Times New Roman" w:hAnsi="Times New Roman" w:eastAsia="宋体" w:cstheme="minorBidi"/>
                <w:color w:val="auto"/>
                <w:spacing w:val="0"/>
                <w:w w:val="100"/>
                <w:kern w:val="0"/>
                <w:position w:val="0"/>
                <w:sz w:val="21"/>
                <w:szCs w:val="24"/>
                <w:lang w:val="en-US" w:eastAsia="zh-CN" w:bidi="ar"/>
              </w:rPr>
            </w:pPr>
            <w:r>
              <w:rPr>
                <w:rFonts w:hint="default" w:ascii="Times New Roman" w:hAnsi="Times New Roman" w:eastAsia="宋体" w:cs="Times New Roman"/>
                <w:i w:val="0"/>
                <w:iCs w:val="0"/>
                <w:color w:val="auto"/>
                <w:spacing w:val="0"/>
                <w:kern w:val="0"/>
                <w:sz w:val="21"/>
                <w:szCs w:val="21"/>
                <w:u w:val="none"/>
                <w:lang w:val="en-US" w:eastAsia="zh-CN" w:bidi="ar"/>
              </w:rPr>
              <w:t>0.2</w:t>
            </w:r>
            <w:r>
              <w:rPr>
                <w:rFonts w:hint="eastAsia" w:cs="Times New Roman"/>
                <w:i w:val="0"/>
                <w:iCs w:val="0"/>
                <w:color w:val="auto"/>
                <w:spacing w:val="0"/>
                <w:kern w:val="0"/>
                <w:sz w:val="21"/>
                <w:szCs w:val="21"/>
                <w:u w:val="none"/>
                <w:lang w:val="en-US" w:eastAsia="zh-CN" w:bidi="ar"/>
              </w:rPr>
              <w:t>89</w:t>
            </w:r>
          </w:p>
        </w:tc>
        <w:tc>
          <w:tcPr>
            <w:tcW w:w="487" w:type="pct"/>
            <w:tcBorders>
              <w:tl2br w:val="nil"/>
              <w:tr2bl w:val="nil"/>
            </w:tcBorders>
            <w:shd w:val="clear" w:color="auto" w:fill="auto"/>
            <w:noWrap w:val="0"/>
            <w:vAlign w:val="center"/>
          </w:tcPr>
          <w:p w14:paraId="34AFE0FA">
            <w:pPr>
              <w:keepNext w:val="0"/>
              <w:keepLines w:val="0"/>
              <w:pageBreakBefore w:val="0"/>
              <w:widowControl w:val="0"/>
              <w:suppressLineNumbers w:val="0"/>
              <w:kinsoku/>
              <w:wordWrap/>
              <w:overflowPunct/>
              <w:topLinePunct w:val="0"/>
              <w:autoSpaceDE/>
              <w:autoSpaceDN/>
              <w:bidi w:val="0"/>
              <w:spacing w:before="0" w:beforeAutospacing="0" w:after="0" w:afterAutospacing="0"/>
              <w:ind w:left="0" w:leftChars="0" w:right="0" w:rightChars="0" w:firstLine="0" w:firstLineChars="0"/>
              <w:jc w:val="center"/>
              <w:textAlignment w:val="center"/>
              <w:rPr>
                <w:rFonts w:hint="default" w:ascii="Times New Roman" w:hAnsi="Times New Roman" w:eastAsia="宋体" w:cstheme="minorBidi"/>
                <w:color w:val="auto"/>
                <w:spacing w:val="0"/>
                <w:w w:val="100"/>
                <w:kern w:val="0"/>
                <w:position w:val="0"/>
                <w:sz w:val="21"/>
                <w:szCs w:val="24"/>
                <w:lang w:val="en-US" w:eastAsia="zh-CN" w:bidi="ar"/>
              </w:rPr>
            </w:pP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w:t>
            </w:r>
          </w:p>
        </w:tc>
        <w:tc>
          <w:tcPr>
            <w:tcW w:w="259" w:type="pct"/>
            <w:tcBorders>
              <w:tl2br w:val="nil"/>
              <w:tr2bl w:val="nil"/>
            </w:tcBorders>
            <w:shd w:val="clear" w:color="auto" w:fill="auto"/>
            <w:noWrap w:val="0"/>
            <w:vAlign w:val="center"/>
          </w:tcPr>
          <w:p w14:paraId="4C26A6A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heme="minorBidi"/>
                <w:color w:val="auto"/>
                <w:spacing w:val="0"/>
                <w:w w:val="100"/>
                <w:kern w:val="0"/>
                <w:position w:val="0"/>
                <w:sz w:val="21"/>
                <w:szCs w:val="24"/>
                <w:lang w:val="en-US" w:eastAsia="zh-CN" w:bidi="ar"/>
              </w:rPr>
            </w:pPr>
            <w:r>
              <w:rPr>
                <w:rFonts w:hint="eastAsia"/>
                <w:color w:val="auto"/>
                <w:spacing w:val="0"/>
                <w:w w:val="100"/>
                <w:kern w:val="0"/>
                <w:position w:val="0"/>
                <w:sz w:val="21"/>
                <w:lang w:val="en-US" w:eastAsia="zh-CN" w:bidi="ar"/>
              </w:rPr>
              <w:t>1.386</w:t>
            </w:r>
          </w:p>
        </w:tc>
      </w:tr>
      <w:tr w14:paraId="7DAB40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361" w:type="pct"/>
            <w:tcBorders>
              <w:tl2br w:val="nil"/>
              <w:tr2bl w:val="nil"/>
            </w:tcBorders>
            <w:noWrap w:val="0"/>
            <w:vAlign w:val="center"/>
          </w:tcPr>
          <w:p w14:paraId="6FFB8C3C">
            <w:pPr>
              <w:pStyle w:val="9"/>
              <w:keepNext w:val="0"/>
              <w:keepLines w:val="0"/>
              <w:pageBreakBefore w:val="0"/>
              <w:widowControl w:val="0"/>
              <w:numPr>
                <w:ilvl w:val="0"/>
                <w:numId w:val="0"/>
              </w:numPr>
              <w:suppressLineNumbers w:val="0"/>
              <w:shd w:val="clear" w:color="auto" w:fill="auto"/>
              <w:tabs>
                <w:tab w:val="left" w:pos="780"/>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修边剪切</w:t>
            </w:r>
          </w:p>
        </w:tc>
        <w:tc>
          <w:tcPr>
            <w:tcW w:w="205" w:type="pct"/>
            <w:tcBorders>
              <w:tl2br w:val="nil"/>
              <w:tr2bl w:val="nil"/>
            </w:tcBorders>
            <w:noWrap w:val="0"/>
            <w:vAlign w:val="center"/>
          </w:tcPr>
          <w:p w14:paraId="6184B597">
            <w:pPr>
              <w:pStyle w:val="9"/>
              <w:keepNext w:val="0"/>
              <w:keepLines w:val="0"/>
              <w:pageBreakBefore w:val="0"/>
              <w:widowControl w:val="0"/>
              <w:numPr>
                <w:ilvl w:val="0"/>
                <w:numId w:val="0"/>
              </w:numPr>
              <w:suppressLineNumbers w:val="0"/>
              <w:shd w:val="clear" w:color="auto" w:fill="auto"/>
              <w:tabs>
                <w:tab w:val="left" w:pos="780"/>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颗粒物</w:t>
            </w:r>
          </w:p>
        </w:tc>
        <w:tc>
          <w:tcPr>
            <w:tcW w:w="181" w:type="pct"/>
            <w:tcBorders>
              <w:tl2br w:val="nil"/>
              <w:tr2bl w:val="nil"/>
            </w:tcBorders>
            <w:shd w:val="clear" w:color="auto" w:fill="auto"/>
            <w:noWrap w:val="0"/>
            <w:vAlign w:val="center"/>
          </w:tcPr>
          <w:p w14:paraId="0FDEE33C">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baseline"/>
              <w:outlineLvl w:val="9"/>
              <w:rPr>
                <w:rFonts w:hint="default" w:ascii="Times New Roman" w:hAnsi="Times New Roman" w:eastAsia="宋体" w:cs="Times New Roman"/>
                <w:snapToGrid/>
                <w:color w:val="auto"/>
                <w:spacing w:val="0"/>
                <w:w w:val="100"/>
                <w:kern w:val="21"/>
                <w:position w:val="0"/>
                <w:sz w:val="21"/>
                <w:szCs w:val="21"/>
                <w:highlight w:val="none"/>
                <w:lang w:val="en-US" w:eastAsia="zh-CN"/>
              </w:rPr>
            </w:pPr>
            <w:r>
              <w:rPr>
                <w:rFonts w:hint="eastAsia" w:ascii="Times New Roman" w:hAnsi="Times New Roman" w:eastAsia="宋体" w:cs="Times New Roman"/>
                <w:snapToGrid/>
                <w:color w:val="auto"/>
                <w:spacing w:val="0"/>
                <w:w w:val="100"/>
                <w:kern w:val="21"/>
                <w:position w:val="0"/>
                <w:sz w:val="21"/>
                <w:szCs w:val="21"/>
                <w:highlight w:val="none"/>
                <w:lang w:val="en-US" w:eastAsia="zh-CN"/>
              </w:rPr>
              <w:t>无组织</w:t>
            </w:r>
          </w:p>
        </w:tc>
        <w:tc>
          <w:tcPr>
            <w:tcW w:w="181" w:type="pct"/>
            <w:tcBorders>
              <w:tl2br w:val="nil"/>
              <w:tr2bl w:val="nil"/>
            </w:tcBorders>
            <w:noWrap w:val="0"/>
            <w:vAlign w:val="center"/>
          </w:tcPr>
          <w:p w14:paraId="44FEBD78">
            <w:pPr>
              <w:pStyle w:val="9"/>
              <w:keepNext w:val="0"/>
              <w:keepLines w:val="0"/>
              <w:pageBreakBefore w:val="0"/>
              <w:widowControl w:val="0"/>
              <w:numPr>
                <w:ilvl w:val="0"/>
                <w:numId w:val="0"/>
              </w:numPr>
              <w:suppressLineNumbers w:val="0"/>
              <w:shd w:val="clear" w:color="auto" w:fill="auto"/>
              <w:tabs>
                <w:tab w:val="left" w:pos="780"/>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系数法</w:t>
            </w:r>
          </w:p>
        </w:tc>
        <w:tc>
          <w:tcPr>
            <w:tcW w:w="288" w:type="pct"/>
            <w:tcBorders>
              <w:tl2br w:val="nil"/>
              <w:tr2bl w:val="nil"/>
            </w:tcBorders>
            <w:noWrap w:val="0"/>
            <w:vAlign w:val="center"/>
          </w:tcPr>
          <w:p w14:paraId="08E5EFC6">
            <w:pPr>
              <w:pStyle w:val="9"/>
              <w:keepNext w:val="0"/>
              <w:keepLines w:val="0"/>
              <w:pageBreakBefore w:val="0"/>
              <w:widowControl w:val="0"/>
              <w:numPr>
                <w:ilvl w:val="0"/>
                <w:numId w:val="0"/>
              </w:numPr>
              <w:suppressLineNumbers w:val="0"/>
              <w:shd w:val="clear" w:color="auto" w:fill="auto"/>
              <w:tabs>
                <w:tab w:val="left" w:pos="780"/>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w:t>
            </w:r>
          </w:p>
        </w:tc>
        <w:tc>
          <w:tcPr>
            <w:tcW w:w="421" w:type="pct"/>
            <w:tcBorders>
              <w:tl2br w:val="nil"/>
              <w:tr2bl w:val="nil"/>
            </w:tcBorders>
            <w:shd w:val="clear" w:color="auto" w:fill="auto"/>
            <w:noWrap w:val="0"/>
            <w:vAlign w:val="center"/>
          </w:tcPr>
          <w:p w14:paraId="070E3155">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spacing w:val="0"/>
                <w:kern w:val="0"/>
                <w:sz w:val="21"/>
                <w:szCs w:val="21"/>
                <w:u w:val="none"/>
                <w:lang w:val="en-US" w:eastAsia="zh-CN" w:bidi="ar"/>
              </w:rPr>
            </w:pPr>
            <w:r>
              <w:rPr>
                <w:rFonts w:hint="eastAsia" w:ascii="Times New Roman" w:hAnsi="Times New Roman" w:eastAsia="宋体" w:cs="Times New Roman"/>
                <w:i w:val="0"/>
                <w:iCs w:val="0"/>
                <w:color w:val="auto"/>
                <w:spacing w:val="0"/>
                <w:kern w:val="0"/>
                <w:sz w:val="21"/>
                <w:szCs w:val="21"/>
                <w:u w:val="none"/>
                <w:lang w:val="en-US" w:eastAsia="zh-CN" w:bidi="ar"/>
              </w:rPr>
              <w:t>0.089</w:t>
            </w:r>
          </w:p>
        </w:tc>
        <w:tc>
          <w:tcPr>
            <w:tcW w:w="486" w:type="pct"/>
            <w:tcBorders>
              <w:tl2br w:val="nil"/>
              <w:tr2bl w:val="nil"/>
            </w:tcBorders>
            <w:shd w:val="clear" w:color="auto" w:fill="auto"/>
            <w:noWrap w:val="0"/>
            <w:vAlign w:val="center"/>
          </w:tcPr>
          <w:p w14:paraId="20970D33">
            <w:pPr>
              <w:keepNext w:val="0"/>
              <w:keepLines w:val="0"/>
              <w:pageBreakBefore w:val="0"/>
              <w:widowControl w:val="0"/>
              <w:suppressLineNumbers w:val="0"/>
              <w:kinsoku/>
              <w:wordWrap/>
              <w:overflowPunct/>
              <w:topLinePunct w:val="0"/>
              <w:autoSpaceDE/>
              <w:autoSpaceDN/>
              <w:bidi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eastAsia" w:ascii="Times New Roman" w:hAnsi="Times New Roman" w:eastAsia="宋体" w:cs="Times New Roman"/>
                <w:i w:val="0"/>
                <w:iCs w:val="0"/>
                <w:color w:val="auto"/>
                <w:spacing w:val="0"/>
                <w:w w:val="100"/>
                <w:kern w:val="0"/>
                <w:position w:val="0"/>
                <w:sz w:val="21"/>
                <w:szCs w:val="21"/>
                <w:u w:val="none"/>
                <w:lang w:val="en-US" w:eastAsia="zh-CN" w:bidi="ar"/>
              </w:rPr>
              <w:t>/</w:t>
            </w:r>
          </w:p>
        </w:tc>
        <w:tc>
          <w:tcPr>
            <w:tcW w:w="343" w:type="pct"/>
            <w:tcBorders>
              <w:tl2br w:val="nil"/>
              <w:tr2bl w:val="nil"/>
            </w:tcBorders>
            <w:shd w:val="clear" w:color="auto" w:fill="auto"/>
            <w:noWrap w:val="0"/>
            <w:vAlign w:val="center"/>
          </w:tcPr>
          <w:p w14:paraId="34A61745">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color w:val="auto"/>
                <w:spacing w:val="0"/>
                <w:w w:val="100"/>
                <w:kern w:val="0"/>
                <w:position w:val="0"/>
                <w:sz w:val="21"/>
                <w:lang w:val="en-US" w:eastAsia="zh-CN" w:bidi="ar"/>
              </w:rPr>
            </w:pPr>
            <w:r>
              <w:rPr>
                <w:rFonts w:hint="eastAsia"/>
                <w:color w:val="auto"/>
                <w:spacing w:val="0"/>
                <w:w w:val="100"/>
                <w:kern w:val="0"/>
                <w:position w:val="0"/>
                <w:sz w:val="21"/>
                <w:lang w:val="en-US" w:eastAsia="zh-CN" w:bidi="ar"/>
              </w:rPr>
              <w:t>0.425</w:t>
            </w:r>
          </w:p>
        </w:tc>
        <w:tc>
          <w:tcPr>
            <w:tcW w:w="1279" w:type="pct"/>
            <w:tcBorders>
              <w:tl2br w:val="nil"/>
              <w:tr2bl w:val="nil"/>
            </w:tcBorders>
            <w:shd w:val="clear" w:color="auto" w:fill="auto"/>
            <w:noWrap w:val="0"/>
            <w:vAlign w:val="center"/>
          </w:tcPr>
          <w:p w14:paraId="7AA462EC">
            <w:pPr>
              <w:pStyle w:val="4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ascii="Times New Roman" w:hAnsi="Times New Roman" w:eastAsia="宋体" w:cs="Times New Roman"/>
                <w:color w:val="auto"/>
                <w:spacing w:val="0"/>
                <w:w w:val="100"/>
                <w:kern w:val="21"/>
                <w:position w:val="0"/>
                <w:sz w:val="21"/>
                <w:szCs w:val="21"/>
                <w:lang w:val="en-US" w:eastAsia="zh-CN"/>
              </w:rPr>
            </w:pPr>
            <w:r>
              <w:rPr>
                <w:rFonts w:hint="eastAsia" w:ascii="Times New Roman" w:hAnsi="Times New Roman" w:eastAsia="宋体" w:cs="Times New Roman"/>
                <w:color w:val="auto"/>
                <w:spacing w:val="0"/>
                <w:w w:val="100"/>
                <w:kern w:val="21"/>
                <w:position w:val="0"/>
                <w:sz w:val="21"/>
                <w:szCs w:val="21"/>
                <w:lang w:val="en-US" w:eastAsia="zh-CN"/>
              </w:rPr>
              <w:t>重力沉降</w:t>
            </w:r>
          </w:p>
        </w:tc>
        <w:tc>
          <w:tcPr>
            <w:tcW w:w="212" w:type="pct"/>
            <w:tcBorders>
              <w:tl2br w:val="nil"/>
              <w:tr2bl w:val="nil"/>
            </w:tcBorders>
            <w:noWrap w:val="0"/>
            <w:vAlign w:val="center"/>
          </w:tcPr>
          <w:p w14:paraId="31E30E78">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baseline"/>
              <w:outlineLvl w:val="9"/>
              <w:rPr>
                <w:rFonts w:hint="default" w:ascii="Times New Roman" w:hAnsi="Times New Roman" w:eastAsia="宋体" w:cs="Times New Roman"/>
                <w:i w:val="0"/>
                <w:iCs w:val="0"/>
                <w:caps w:val="0"/>
                <w:snapToGrid/>
                <w:color w:val="auto"/>
                <w:spacing w:val="0"/>
                <w:w w:val="100"/>
                <w:kern w:val="21"/>
                <w:position w:val="0"/>
                <w:sz w:val="21"/>
                <w:szCs w:val="21"/>
                <w:highlight w:val="none"/>
                <w:u w:val="none"/>
                <w:lang w:val="en-US" w:eastAsia="zh-CN" w:bidi="ar"/>
              </w:rPr>
            </w:pPr>
            <w:r>
              <w:rPr>
                <w:rFonts w:hint="eastAsia" w:ascii="Times New Roman" w:hAnsi="Times New Roman" w:eastAsia="宋体" w:cs="Times New Roman"/>
                <w:i w:val="0"/>
                <w:iCs w:val="0"/>
                <w:caps w:val="0"/>
                <w:snapToGrid/>
                <w:color w:val="auto"/>
                <w:spacing w:val="0"/>
                <w:w w:val="100"/>
                <w:kern w:val="21"/>
                <w:position w:val="0"/>
                <w:sz w:val="21"/>
                <w:szCs w:val="21"/>
                <w:highlight w:val="none"/>
                <w:u w:val="none"/>
                <w:lang w:val="en-US" w:eastAsia="zh-CN" w:bidi="ar"/>
              </w:rPr>
              <w:t>80</w:t>
            </w:r>
          </w:p>
        </w:tc>
        <w:tc>
          <w:tcPr>
            <w:tcW w:w="295" w:type="pct"/>
            <w:tcBorders>
              <w:tl2br w:val="nil"/>
              <w:tr2bl w:val="nil"/>
            </w:tcBorders>
            <w:shd w:val="clear" w:color="auto" w:fill="auto"/>
            <w:noWrap w:val="0"/>
            <w:vAlign w:val="center"/>
          </w:tcPr>
          <w:p w14:paraId="2CCC8884">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spacing w:val="0"/>
                <w:kern w:val="0"/>
                <w:sz w:val="21"/>
                <w:szCs w:val="21"/>
                <w:u w:val="none"/>
                <w:lang w:val="en-US" w:eastAsia="zh-CN" w:bidi="ar"/>
              </w:rPr>
            </w:pPr>
            <w:r>
              <w:rPr>
                <w:rFonts w:hint="eastAsia" w:ascii="Times New Roman" w:hAnsi="Times New Roman" w:eastAsia="宋体" w:cs="Times New Roman"/>
                <w:i w:val="0"/>
                <w:iCs w:val="0"/>
                <w:color w:val="auto"/>
                <w:spacing w:val="0"/>
                <w:kern w:val="0"/>
                <w:sz w:val="21"/>
                <w:szCs w:val="21"/>
                <w:u w:val="none"/>
                <w:lang w:val="en-US" w:eastAsia="zh-CN" w:bidi="ar"/>
              </w:rPr>
              <w:t>0.018</w:t>
            </w:r>
          </w:p>
        </w:tc>
        <w:tc>
          <w:tcPr>
            <w:tcW w:w="487" w:type="pct"/>
            <w:tcBorders>
              <w:tl2br w:val="nil"/>
              <w:tr2bl w:val="nil"/>
            </w:tcBorders>
            <w:shd w:val="clear" w:color="auto" w:fill="auto"/>
            <w:noWrap w:val="0"/>
            <w:vAlign w:val="center"/>
          </w:tcPr>
          <w:p w14:paraId="0A57738F">
            <w:pPr>
              <w:keepNext w:val="0"/>
              <w:keepLines w:val="0"/>
              <w:pageBreakBefore w:val="0"/>
              <w:widowControl w:val="0"/>
              <w:suppressLineNumbers w:val="0"/>
              <w:kinsoku/>
              <w:wordWrap/>
              <w:overflowPunct/>
              <w:topLinePunct w:val="0"/>
              <w:autoSpaceDE/>
              <w:autoSpaceDN/>
              <w:bidi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eastAsia" w:ascii="Times New Roman" w:hAnsi="Times New Roman" w:eastAsia="宋体" w:cs="Times New Roman"/>
                <w:i w:val="0"/>
                <w:iCs w:val="0"/>
                <w:color w:val="auto"/>
                <w:spacing w:val="0"/>
                <w:w w:val="100"/>
                <w:kern w:val="0"/>
                <w:position w:val="0"/>
                <w:sz w:val="21"/>
                <w:szCs w:val="21"/>
                <w:u w:val="none"/>
                <w:lang w:val="en-US" w:eastAsia="zh-CN" w:bidi="ar"/>
              </w:rPr>
              <w:t>/</w:t>
            </w:r>
          </w:p>
        </w:tc>
        <w:tc>
          <w:tcPr>
            <w:tcW w:w="259" w:type="pct"/>
            <w:tcBorders>
              <w:tl2br w:val="nil"/>
              <w:tr2bl w:val="nil"/>
            </w:tcBorders>
            <w:shd w:val="clear" w:color="auto" w:fill="auto"/>
            <w:noWrap w:val="0"/>
            <w:vAlign w:val="center"/>
          </w:tcPr>
          <w:p w14:paraId="1D88019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color w:val="auto"/>
                <w:spacing w:val="0"/>
                <w:w w:val="100"/>
                <w:kern w:val="0"/>
                <w:position w:val="0"/>
                <w:sz w:val="21"/>
                <w:lang w:val="en-US" w:eastAsia="zh-CN" w:bidi="ar"/>
              </w:rPr>
            </w:pPr>
            <w:r>
              <w:rPr>
                <w:rFonts w:hint="eastAsia"/>
                <w:color w:val="auto"/>
                <w:spacing w:val="0"/>
                <w:w w:val="100"/>
                <w:kern w:val="0"/>
                <w:position w:val="0"/>
                <w:sz w:val="21"/>
                <w:lang w:val="en-US" w:eastAsia="zh-CN" w:bidi="ar"/>
              </w:rPr>
              <w:t>0.085</w:t>
            </w:r>
          </w:p>
        </w:tc>
      </w:tr>
    </w:tbl>
    <w:p w14:paraId="68BD2F79">
      <w:pPr>
        <w:pStyle w:val="5"/>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6A20A05E">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3.4.1.2本项目废气排放口污染物产生与排放情况</w:t>
      </w:r>
    </w:p>
    <w:p w14:paraId="1274DC2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rPr>
      </w:pPr>
      <w:r>
        <w:rPr>
          <w:rFonts w:hint="eastAsia" w:ascii="Times New Roman" w:hAnsi="Times New Roman" w:eastAsia="宋体" w:cs="Times New Roman"/>
          <w:caps w:val="0"/>
          <w:snapToGrid/>
          <w:color w:val="auto"/>
          <w:spacing w:val="0"/>
          <w:w w:val="100"/>
          <w:kern w:val="21"/>
          <w:position w:val="0"/>
          <w:sz w:val="24"/>
          <w:szCs w:val="24"/>
          <w:highlight w:val="none"/>
          <w:lang w:val="en-US" w:eastAsia="zh-CN"/>
        </w:rPr>
        <w:t>本项目运营后有组织废气污染源源强核算结果及相关参数见</w:t>
      </w:r>
      <w:r>
        <w:rPr>
          <w:rFonts w:hint="default" w:ascii="Times New Roman" w:hAnsi="Times New Roman" w:eastAsia="宋体" w:cs="Times New Roman"/>
          <w:caps w:val="0"/>
          <w:snapToGrid/>
          <w:color w:val="auto"/>
          <w:spacing w:val="0"/>
          <w:w w:val="100"/>
          <w:kern w:val="21"/>
          <w:position w:val="0"/>
          <w:sz w:val="24"/>
          <w:szCs w:val="24"/>
          <w:highlight w:val="none"/>
          <w:lang w:val="en-US" w:eastAsia="zh-CN"/>
        </w:rPr>
        <w:t>3.</w:t>
      </w:r>
      <w:r>
        <w:rPr>
          <w:rFonts w:hint="eastAsia" w:cs="Times New Roman"/>
          <w:caps w:val="0"/>
          <w:snapToGrid/>
          <w:color w:val="auto"/>
          <w:spacing w:val="0"/>
          <w:w w:val="100"/>
          <w:kern w:val="21"/>
          <w:position w:val="0"/>
          <w:sz w:val="24"/>
          <w:szCs w:val="24"/>
          <w:highlight w:val="none"/>
          <w:lang w:val="en-US" w:eastAsia="zh-CN"/>
        </w:rPr>
        <w:t>4.1-4</w:t>
      </w:r>
      <w:r>
        <w:rPr>
          <w:rFonts w:hint="eastAsia" w:ascii="Times New Roman" w:hAnsi="Times New Roman" w:eastAsia="宋体" w:cs="Times New Roman"/>
          <w:caps w:val="0"/>
          <w:snapToGrid/>
          <w:color w:val="auto"/>
          <w:spacing w:val="0"/>
          <w:w w:val="100"/>
          <w:kern w:val="21"/>
          <w:position w:val="0"/>
          <w:sz w:val="24"/>
          <w:szCs w:val="24"/>
          <w:highlight w:val="none"/>
          <w:lang w:val="en-US" w:eastAsia="zh-CN"/>
        </w:rPr>
        <w:t>，无组织废气污染源源强核算结果及相关参数</w:t>
      </w:r>
      <w:r>
        <w:rPr>
          <w:rFonts w:hint="default" w:ascii="Times New Roman" w:hAnsi="Times New Roman" w:cs="Times New Roman"/>
          <w:color w:val="auto"/>
          <w:spacing w:val="0"/>
          <w:w w:val="100"/>
          <w:position w:val="0"/>
          <w:sz w:val="24"/>
          <w:szCs w:val="24"/>
          <w:highlight w:val="none"/>
          <w:lang w:val="en-US" w:eastAsia="zh-CN" w:bidi="ar"/>
        </w:rPr>
        <w:t>见表3.</w:t>
      </w:r>
      <w:r>
        <w:rPr>
          <w:rFonts w:hint="eastAsia" w:cs="Times New Roman"/>
          <w:color w:val="auto"/>
          <w:spacing w:val="0"/>
          <w:w w:val="100"/>
          <w:position w:val="0"/>
          <w:sz w:val="24"/>
          <w:szCs w:val="24"/>
          <w:highlight w:val="none"/>
          <w:lang w:val="en-US" w:eastAsia="zh-CN" w:bidi="ar"/>
        </w:rPr>
        <w:t>4.1-5</w:t>
      </w:r>
      <w:r>
        <w:rPr>
          <w:rFonts w:hint="default" w:ascii="Times New Roman" w:hAnsi="Times New Roman" w:eastAsia="宋体" w:cs="Times New Roman"/>
          <w:caps w:val="0"/>
          <w:snapToGrid/>
          <w:color w:val="auto"/>
          <w:spacing w:val="0"/>
          <w:w w:val="100"/>
          <w:kern w:val="21"/>
          <w:position w:val="0"/>
          <w:sz w:val="24"/>
          <w:szCs w:val="24"/>
          <w:highlight w:val="none"/>
          <w:lang w:val="en-US" w:eastAsia="zh-CN"/>
        </w:rPr>
        <w:t>。</w:t>
      </w:r>
    </w:p>
    <w:p w14:paraId="005D6A0E">
      <w:pPr>
        <w:pStyle w:val="33"/>
        <w:keepNext w:val="0"/>
        <w:keepLines w:val="0"/>
        <w:pageBreakBefore w:val="0"/>
        <w:widowControl w:val="0"/>
        <w:kinsoku/>
        <w:wordWrap/>
        <w:overflowPunct/>
        <w:topLinePunct w:val="0"/>
        <w:autoSpaceDE/>
        <w:autoSpaceDN/>
        <w:bidi w:val="0"/>
        <w:adjustRightInd/>
        <w:snapToGrid/>
        <w:rPr>
          <w:rFonts w:hint="eastAsia" w:eastAsia="宋体"/>
          <w:color w:val="auto"/>
          <w:spacing w:val="0"/>
          <w:w w:val="100"/>
          <w:position w:val="0"/>
          <w:highlight w:val="none"/>
          <w:lang w:val="en-US" w:eastAsia="zh-CN"/>
        </w:rPr>
      </w:pPr>
      <w:r>
        <w:rPr>
          <w:rFonts w:hint="default"/>
          <w:color w:val="auto"/>
          <w:spacing w:val="0"/>
          <w:w w:val="100"/>
          <w:position w:val="0"/>
          <w:highlight w:val="none"/>
        </w:rPr>
        <w:t>表</w:t>
      </w:r>
      <w:r>
        <w:rPr>
          <w:rFonts w:hint="eastAsia"/>
          <w:color w:val="auto"/>
          <w:spacing w:val="0"/>
          <w:w w:val="100"/>
          <w:position w:val="0"/>
          <w:highlight w:val="none"/>
          <w:lang w:val="en-US" w:eastAsia="zh-CN"/>
        </w:rPr>
        <w:t xml:space="preserve">3.4.1-4 </w:t>
      </w:r>
      <w:r>
        <w:rPr>
          <w:color w:val="auto"/>
          <w:spacing w:val="0"/>
          <w:w w:val="100"/>
          <w:position w:val="0"/>
          <w:highlight w:val="none"/>
        </w:rPr>
        <w:t xml:space="preserve"> </w:t>
      </w:r>
      <w:r>
        <w:rPr>
          <w:rFonts w:hint="eastAsia"/>
          <w:color w:val="auto"/>
          <w:spacing w:val="0"/>
          <w:w w:val="100"/>
          <w:position w:val="0"/>
          <w:highlight w:val="none"/>
        </w:rPr>
        <w:t>废气污染源源强核算结果及相关参数</w:t>
      </w:r>
      <w:r>
        <w:rPr>
          <w:rFonts w:hint="eastAsia"/>
          <w:color w:val="auto"/>
          <w:spacing w:val="0"/>
          <w:w w:val="100"/>
          <w:position w:val="0"/>
          <w:highlight w:val="none"/>
          <w:lang w:val="en-US" w:eastAsia="zh-CN"/>
        </w:rPr>
        <w:t>一览表</w:t>
      </w:r>
    </w:p>
    <w:tbl>
      <w:tblPr>
        <w:tblStyle w:val="25"/>
        <w:tblW w:w="499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1199"/>
        <w:gridCol w:w="1342"/>
        <w:gridCol w:w="1452"/>
        <w:gridCol w:w="1269"/>
        <w:gridCol w:w="1196"/>
        <w:gridCol w:w="2536"/>
        <w:gridCol w:w="1323"/>
        <w:gridCol w:w="1269"/>
        <w:gridCol w:w="1320"/>
        <w:gridCol w:w="1152"/>
      </w:tblGrid>
      <w:tr w14:paraId="2269DC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tblHeader/>
          <w:jc w:val="center"/>
        </w:trPr>
        <w:tc>
          <w:tcPr>
            <w:tcW w:w="426" w:type="pct"/>
            <w:tcBorders>
              <w:tl2br w:val="nil"/>
              <w:tr2bl w:val="nil"/>
            </w:tcBorders>
            <w:noWrap w:val="0"/>
            <w:vAlign w:val="center"/>
          </w:tcPr>
          <w:p w14:paraId="73ADC62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ascii="Times New Roman" w:hAnsi="Times New Roman" w:eastAsia="宋体" w:cs="Times New Roman"/>
                <w:b/>
                <w:bCs/>
                <w:color w:val="auto"/>
                <w:spacing w:val="0"/>
                <w:w w:val="100"/>
                <w:position w:val="0"/>
                <w:sz w:val="21"/>
                <w:szCs w:val="21"/>
                <w:highlight w:val="none"/>
                <w:lang w:val="en-US" w:eastAsia="zh-CN"/>
              </w:rPr>
            </w:pPr>
            <w:r>
              <w:rPr>
                <w:rFonts w:hint="default" w:ascii="Times New Roman" w:hAnsi="Times New Roman" w:eastAsia="宋体" w:cs="Times New Roman"/>
                <w:b/>
                <w:bCs/>
                <w:color w:val="auto"/>
                <w:spacing w:val="0"/>
                <w:w w:val="100"/>
                <w:position w:val="0"/>
                <w:sz w:val="21"/>
                <w:szCs w:val="21"/>
                <w:highlight w:val="none"/>
                <w:lang w:val="en-US" w:eastAsia="zh-CN"/>
              </w:rPr>
              <w:t>排放口编号</w:t>
            </w:r>
          </w:p>
        </w:tc>
        <w:tc>
          <w:tcPr>
            <w:tcW w:w="477" w:type="pct"/>
            <w:tcBorders>
              <w:tl2br w:val="nil"/>
              <w:tr2bl w:val="nil"/>
            </w:tcBorders>
            <w:noWrap w:val="0"/>
            <w:vAlign w:val="center"/>
          </w:tcPr>
          <w:p w14:paraId="42F73AD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ascii="Times New Roman" w:hAnsi="Times New Roman" w:eastAsia="宋体" w:cs="Times New Roman"/>
                <w:b/>
                <w:bCs/>
                <w:color w:val="auto"/>
                <w:spacing w:val="0"/>
                <w:w w:val="100"/>
                <w:position w:val="0"/>
                <w:sz w:val="21"/>
                <w:szCs w:val="21"/>
                <w:highlight w:val="none"/>
                <w:lang w:val="en-US" w:eastAsia="zh-CN"/>
              </w:rPr>
            </w:pPr>
            <w:r>
              <w:rPr>
                <w:rFonts w:hint="default" w:ascii="Times New Roman" w:hAnsi="Times New Roman" w:eastAsia="宋体" w:cs="Times New Roman"/>
                <w:b/>
                <w:bCs/>
                <w:color w:val="auto"/>
                <w:spacing w:val="0"/>
                <w:w w:val="100"/>
                <w:position w:val="0"/>
                <w:sz w:val="21"/>
                <w:szCs w:val="21"/>
                <w:highlight w:val="none"/>
                <w:lang w:val="en-US" w:eastAsia="zh-CN"/>
              </w:rPr>
              <w:t>污染因子</w:t>
            </w:r>
          </w:p>
        </w:tc>
        <w:tc>
          <w:tcPr>
            <w:tcW w:w="516" w:type="pct"/>
            <w:tcBorders>
              <w:tl2br w:val="nil"/>
              <w:tr2bl w:val="nil"/>
            </w:tcBorders>
            <w:noWrap w:val="0"/>
            <w:vAlign w:val="center"/>
          </w:tcPr>
          <w:p w14:paraId="47A70BDC">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b/>
                <w:bCs/>
                <w:color w:val="auto"/>
                <w:spacing w:val="0"/>
                <w:w w:val="100"/>
                <w:position w:val="0"/>
                <w:sz w:val="21"/>
                <w:szCs w:val="21"/>
                <w:highlight w:val="none"/>
                <w:lang w:val="en-US" w:eastAsia="zh-CN"/>
              </w:rPr>
            </w:pPr>
            <w:r>
              <w:rPr>
                <w:rFonts w:hint="default" w:ascii="Times New Roman" w:hAnsi="Times New Roman" w:eastAsia="宋体" w:cs="Times New Roman"/>
                <w:b/>
                <w:bCs/>
                <w:caps w:val="0"/>
                <w:snapToGrid/>
                <w:color w:val="auto"/>
                <w:spacing w:val="0"/>
                <w:w w:val="100"/>
                <w:kern w:val="21"/>
                <w:position w:val="0"/>
                <w:sz w:val="21"/>
                <w:szCs w:val="21"/>
                <w:highlight w:val="none"/>
                <w:lang w:bidi="ar"/>
              </w:rPr>
              <w:t>产生速率</w:t>
            </w:r>
            <w:r>
              <w:rPr>
                <w:rFonts w:hint="default" w:ascii="Times New Roman" w:hAnsi="Times New Roman" w:eastAsia="宋体" w:cs="Times New Roman"/>
                <w:b/>
                <w:bCs/>
                <w:caps w:val="0"/>
                <w:snapToGrid/>
                <w:color w:val="auto"/>
                <w:spacing w:val="0"/>
                <w:w w:val="100"/>
                <w:kern w:val="21"/>
                <w:position w:val="0"/>
                <w:sz w:val="21"/>
                <w:szCs w:val="21"/>
                <w:highlight w:val="none"/>
                <w:lang w:eastAsia="zh-CN" w:bidi="ar"/>
              </w:rPr>
              <w:t>（</w:t>
            </w:r>
            <w:r>
              <w:rPr>
                <w:rFonts w:hint="default" w:ascii="Times New Roman" w:hAnsi="Times New Roman" w:eastAsia="宋体" w:cs="Times New Roman"/>
                <w:b/>
                <w:bCs/>
                <w:caps w:val="0"/>
                <w:snapToGrid/>
                <w:color w:val="auto"/>
                <w:spacing w:val="0"/>
                <w:w w:val="100"/>
                <w:kern w:val="21"/>
                <w:position w:val="0"/>
                <w:sz w:val="21"/>
                <w:szCs w:val="21"/>
                <w:highlight w:val="none"/>
                <w:lang w:bidi="ar"/>
              </w:rPr>
              <w:t>kg/h</w:t>
            </w:r>
            <w:r>
              <w:rPr>
                <w:rFonts w:hint="default" w:ascii="Times New Roman" w:hAnsi="Times New Roman" w:eastAsia="宋体" w:cs="Times New Roman"/>
                <w:b/>
                <w:bCs/>
                <w:caps w:val="0"/>
                <w:snapToGrid/>
                <w:color w:val="auto"/>
                <w:spacing w:val="0"/>
                <w:w w:val="100"/>
                <w:kern w:val="21"/>
                <w:position w:val="0"/>
                <w:sz w:val="21"/>
                <w:szCs w:val="21"/>
                <w:highlight w:val="none"/>
                <w:lang w:eastAsia="zh-CN" w:bidi="ar"/>
              </w:rPr>
              <w:t>）</w:t>
            </w:r>
          </w:p>
        </w:tc>
        <w:tc>
          <w:tcPr>
            <w:tcW w:w="451" w:type="pct"/>
            <w:tcBorders>
              <w:tl2br w:val="nil"/>
              <w:tr2bl w:val="nil"/>
            </w:tcBorders>
            <w:noWrap w:val="0"/>
            <w:vAlign w:val="center"/>
          </w:tcPr>
          <w:p w14:paraId="366726A7">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b/>
                <w:bCs/>
                <w:color w:val="auto"/>
                <w:spacing w:val="0"/>
                <w:w w:val="100"/>
                <w:position w:val="0"/>
                <w:sz w:val="21"/>
                <w:szCs w:val="21"/>
                <w:highlight w:val="none"/>
                <w:lang w:val="en-US" w:eastAsia="zh-CN"/>
              </w:rPr>
            </w:pPr>
            <w:r>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rPr>
              <w:t>产生浓度（mg/m</w:t>
            </w:r>
            <w:r>
              <w:rPr>
                <w:rFonts w:hint="default" w:ascii="Times New Roman" w:hAnsi="Times New Roman" w:eastAsia="宋体" w:cs="Times New Roman"/>
                <w:b/>
                <w:bCs/>
                <w:caps w:val="0"/>
                <w:snapToGrid/>
                <w:color w:val="auto"/>
                <w:spacing w:val="0"/>
                <w:w w:val="100"/>
                <w:kern w:val="21"/>
                <w:position w:val="0"/>
                <w:sz w:val="21"/>
                <w:szCs w:val="21"/>
                <w:highlight w:val="none"/>
                <w:vertAlign w:val="superscript"/>
                <w:lang w:val="en-US" w:eastAsia="zh-CN"/>
              </w:rPr>
              <w:t>3</w:t>
            </w:r>
            <w:r>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rPr>
              <w:t>）</w:t>
            </w:r>
          </w:p>
        </w:tc>
        <w:tc>
          <w:tcPr>
            <w:tcW w:w="425" w:type="pct"/>
            <w:tcBorders>
              <w:tl2br w:val="nil"/>
              <w:tr2bl w:val="nil"/>
            </w:tcBorders>
            <w:noWrap w:val="0"/>
            <w:vAlign w:val="center"/>
          </w:tcPr>
          <w:p w14:paraId="16FA5164">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b/>
                <w:bCs/>
                <w:color w:val="auto"/>
                <w:spacing w:val="0"/>
                <w:w w:val="100"/>
                <w:position w:val="0"/>
                <w:sz w:val="21"/>
                <w:szCs w:val="21"/>
                <w:highlight w:val="none"/>
                <w:lang w:val="en-US" w:eastAsia="zh-CN"/>
              </w:rPr>
            </w:pPr>
            <w:r>
              <w:rPr>
                <w:rFonts w:hint="default" w:ascii="Times New Roman" w:hAnsi="Times New Roman" w:eastAsia="宋体" w:cs="Times New Roman"/>
                <w:b/>
                <w:bCs/>
                <w:caps w:val="0"/>
                <w:snapToGrid/>
                <w:color w:val="auto"/>
                <w:spacing w:val="0"/>
                <w:w w:val="100"/>
                <w:kern w:val="21"/>
                <w:position w:val="0"/>
                <w:sz w:val="21"/>
                <w:szCs w:val="21"/>
                <w:highlight w:val="none"/>
                <w:lang w:bidi="ar"/>
              </w:rPr>
              <w:t>产生量</w:t>
            </w:r>
            <w:r>
              <w:rPr>
                <w:rFonts w:hint="default" w:ascii="Times New Roman" w:hAnsi="Times New Roman" w:eastAsia="宋体" w:cs="Times New Roman"/>
                <w:b/>
                <w:bCs/>
                <w:caps w:val="0"/>
                <w:snapToGrid/>
                <w:color w:val="auto"/>
                <w:spacing w:val="0"/>
                <w:w w:val="100"/>
                <w:kern w:val="21"/>
                <w:position w:val="0"/>
                <w:sz w:val="21"/>
                <w:szCs w:val="21"/>
                <w:highlight w:val="none"/>
                <w:lang w:eastAsia="zh-CN" w:bidi="ar"/>
              </w:rPr>
              <w:t>（</w:t>
            </w:r>
            <w:r>
              <w:rPr>
                <w:rFonts w:hint="default" w:ascii="Times New Roman" w:hAnsi="Times New Roman" w:eastAsia="宋体" w:cs="Times New Roman"/>
                <w:b/>
                <w:bCs/>
                <w:caps w:val="0"/>
                <w:snapToGrid/>
                <w:color w:val="auto"/>
                <w:spacing w:val="0"/>
                <w:w w:val="100"/>
                <w:kern w:val="21"/>
                <w:position w:val="0"/>
                <w:sz w:val="21"/>
                <w:szCs w:val="21"/>
                <w:highlight w:val="none"/>
                <w:lang w:bidi="ar"/>
              </w:rPr>
              <w:t>t/a</w:t>
            </w:r>
            <w:r>
              <w:rPr>
                <w:rFonts w:hint="default" w:ascii="Times New Roman" w:hAnsi="Times New Roman" w:eastAsia="宋体" w:cs="Times New Roman"/>
                <w:b/>
                <w:bCs/>
                <w:caps w:val="0"/>
                <w:snapToGrid/>
                <w:color w:val="auto"/>
                <w:spacing w:val="0"/>
                <w:w w:val="100"/>
                <w:kern w:val="21"/>
                <w:position w:val="0"/>
                <w:sz w:val="21"/>
                <w:szCs w:val="21"/>
                <w:highlight w:val="none"/>
                <w:lang w:eastAsia="zh-CN" w:bidi="ar"/>
              </w:rPr>
              <w:t>）</w:t>
            </w:r>
          </w:p>
        </w:tc>
        <w:tc>
          <w:tcPr>
            <w:tcW w:w="901" w:type="pct"/>
            <w:tcBorders>
              <w:tl2br w:val="nil"/>
              <w:tr2bl w:val="nil"/>
            </w:tcBorders>
            <w:noWrap w:val="0"/>
            <w:vAlign w:val="center"/>
          </w:tcPr>
          <w:p w14:paraId="34F71F8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ascii="Times New Roman" w:hAnsi="Times New Roman" w:eastAsia="宋体" w:cs="Times New Roman"/>
                <w:b/>
                <w:bCs/>
                <w:color w:val="auto"/>
                <w:spacing w:val="0"/>
                <w:w w:val="100"/>
                <w:position w:val="0"/>
                <w:sz w:val="21"/>
                <w:szCs w:val="21"/>
                <w:highlight w:val="none"/>
                <w:lang w:val="en-US" w:eastAsia="zh-CN"/>
              </w:rPr>
            </w:pPr>
            <w:r>
              <w:rPr>
                <w:rFonts w:hint="default" w:ascii="Times New Roman" w:hAnsi="Times New Roman" w:eastAsia="宋体" w:cs="Times New Roman"/>
                <w:b/>
                <w:bCs/>
                <w:color w:val="auto"/>
                <w:spacing w:val="0"/>
                <w:w w:val="100"/>
                <w:position w:val="0"/>
                <w:sz w:val="21"/>
                <w:szCs w:val="21"/>
                <w:highlight w:val="none"/>
                <w:lang w:val="en-US" w:eastAsia="zh-CN"/>
              </w:rPr>
              <w:t>处理措施</w:t>
            </w:r>
          </w:p>
        </w:tc>
        <w:tc>
          <w:tcPr>
            <w:tcW w:w="470" w:type="pct"/>
            <w:tcBorders>
              <w:tl2br w:val="nil"/>
              <w:tr2bl w:val="nil"/>
            </w:tcBorders>
            <w:noWrap w:val="0"/>
            <w:vAlign w:val="center"/>
          </w:tcPr>
          <w:p w14:paraId="519F3A0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ascii="Times New Roman" w:hAnsi="Times New Roman" w:eastAsia="宋体" w:cs="Times New Roman"/>
                <w:b/>
                <w:bCs/>
                <w:color w:val="auto"/>
                <w:spacing w:val="0"/>
                <w:w w:val="100"/>
                <w:position w:val="0"/>
                <w:sz w:val="21"/>
                <w:szCs w:val="21"/>
                <w:highlight w:val="none"/>
                <w:lang w:val="en-US" w:eastAsia="zh-CN"/>
              </w:rPr>
            </w:pPr>
            <w:r>
              <w:rPr>
                <w:rFonts w:hint="default" w:ascii="Times New Roman" w:hAnsi="Times New Roman" w:eastAsia="宋体" w:cs="Times New Roman"/>
                <w:b/>
                <w:bCs/>
                <w:color w:val="auto"/>
                <w:spacing w:val="0"/>
                <w:w w:val="100"/>
                <w:position w:val="0"/>
                <w:sz w:val="21"/>
                <w:szCs w:val="21"/>
                <w:highlight w:val="none"/>
                <w:lang w:val="en-US" w:eastAsia="zh-CN"/>
              </w:rPr>
              <w:t>处理效率%</w:t>
            </w:r>
          </w:p>
        </w:tc>
        <w:tc>
          <w:tcPr>
            <w:tcW w:w="451" w:type="pct"/>
            <w:tcBorders>
              <w:tl2br w:val="nil"/>
              <w:tr2bl w:val="nil"/>
            </w:tcBorders>
            <w:noWrap w:val="0"/>
            <w:vAlign w:val="center"/>
          </w:tcPr>
          <w:p w14:paraId="4ACAE664">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baseline"/>
              <w:outlineLvl w:val="9"/>
              <w:rPr>
                <w:rFonts w:hint="default" w:ascii="Times New Roman" w:hAnsi="Times New Roman" w:eastAsia="宋体" w:cs="Times New Roman"/>
                <w:b/>
                <w:bCs/>
                <w:color w:val="auto"/>
                <w:spacing w:val="0"/>
                <w:w w:val="100"/>
                <w:position w:val="0"/>
                <w:sz w:val="21"/>
                <w:szCs w:val="21"/>
                <w:highlight w:val="none"/>
                <w:lang w:val="en-US" w:eastAsia="zh-CN"/>
              </w:rPr>
            </w:pPr>
            <w:r>
              <w:rPr>
                <w:rFonts w:hint="default" w:ascii="Times New Roman" w:hAnsi="Times New Roman" w:eastAsia="宋体" w:cs="Times New Roman"/>
                <w:b/>
                <w:bCs/>
                <w:snapToGrid/>
                <w:color w:val="auto"/>
                <w:spacing w:val="0"/>
                <w:w w:val="100"/>
                <w:kern w:val="21"/>
                <w:position w:val="0"/>
                <w:sz w:val="21"/>
                <w:szCs w:val="21"/>
                <w:highlight w:val="none"/>
                <w:lang w:val="en-US" w:eastAsia="zh-CN"/>
              </w:rPr>
              <w:t>排放速率</w:t>
            </w:r>
            <w:r>
              <w:rPr>
                <w:rFonts w:hint="default" w:ascii="Times New Roman" w:hAnsi="Times New Roman" w:eastAsia="宋体" w:cs="Times New Roman"/>
                <w:b/>
                <w:bCs/>
                <w:snapToGrid/>
                <w:color w:val="auto"/>
                <w:spacing w:val="0"/>
                <w:w w:val="100"/>
                <w:kern w:val="21"/>
                <w:position w:val="0"/>
                <w:sz w:val="21"/>
                <w:szCs w:val="21"/>
                <w:highlight w:val="none"/>
              </w:rPr>
              <w:t>kg/h</w:t>
            </w:r>
          </w:p>
        </w:tc>
        <w:tc>
          <w:tcPr>
            <w:tcW w:w="469" w:type="pct"/>
            <w:tcBorders>
              <w:tl2br w:val="nil"/>
              <w:tr2bl w:val="nil"/>
            </w:tcBorders>
            <w:noWrap w:val="0"/>
            <w:vAlign w:val="center"/>
          </w:tcPr>
          <w:p w14:paraId="4018FD06">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baseline"/>
              <w:outlineLvl w:val="9"/>
              <w:rPr>
                <w:rFonts w:hint="default" w:ascii="Times New Roman" w:hAnsi="Times New Roman" w:eastAsia="宋体" w:cs="Times New Roman"/>
                <w:b/>
                <w:bCs/>
                <w:color w:val="auto"/>
                <w:spacing w:val="0"/>
                <w:w w:val="100"/>
                <w:position w:val="0"/>
                <w:sz w:val="21"/>
                <w:szCs w:val="21"/>
                <w:highlight w:val="none"/>
                <w:lang w:val="en-US" w:eastAsia="zh-CN"/>
              </w:rPr>
            </w:pPr>
            <w:r>
              <w:rPr>
                <w:rFonts w:hint="default" w:ascii="Times New Roman" w:hAnsi="Times New Roman" w:eastAsia="宋体" w:cs="Times New Roman"/>
                <w:b/>
                <w:bCs/>
                <w:snapToGrid/>
                <w:color w:val="auto"/>
                <w:spacing w:val="0"/>
                <w:w w:val="100"/>
                <w:kern w:val="21"/>
                <w:position w:val="0"/>
                <w:sz w:val="21"/>
                <w:szCs w:val="21"/>
                <w:highlight w:val="none"/>
                <w:lang w:val="en-US" w:eastAsia="zh-CN"/>
              </w:rPr>
              <w:t>排放浓度（mg/m</w:t>
            </w:r>
            <w:r>
              <w:rPr>
                <w:rFonts w:hint="default" w:ascii="Times New Roman" w:hAnsi="Times New Roman" w:eastAsia="宋体" w:cs="Times New Roman"/>
                <w:b/>
                <w:bCs/>
                <w:snapToGrid/>
                <w:color w:val="auto"/>
                <w:spacing w:val="0"/>
                <w:w w:val="100"/>
                <w:kern w:val="21"/>
                <w:position w:val="0"/>
                <w:sz w:val="21"/>
                <w:szCs w:val="21"/>
                <w:highlight w:val="none"/>
                <w:vertAlign w:val="superscript"/>
                <w:lang w:val="en-US" w:eastAsia="zh-CN"/>
              </w:rPr>
              <w:t>3</w:t>
            </w:r>
            <w:r>
              <w:rPr>
                <w:rFonts w:hint="default" w:ascii="Times New Roman" w:hAnsi="Times New Roman" w:eastAsia="宋体" w:cs="Times New Roman"/>
                <w:b/>
                <w:bCs/>
                <w:snapToGrid/>
                <w:color w:val="auto"/>
                <w:spacing w:val="0"/>
                <w:w w:val="100"/>
                <w:kern w:val="21"/>
                <w:position w:val="0"/>
                <w:sz w:val="21"/>
                <w:szCs w:val="21"/>
                <w:highlight w:val="none"/>
                <w:lang w:val="en-US" w:eastAsia="zh-CN"/>
              </w:rPr>
              <w:t>）</w:t>
            </w:r>
          </w:p>
        </w:tc>
        <w:tc>
          <w:tcPr>
            <w:tcW w:w="409" w:type="pct"/>
            <w:tcBorders>
              <w:tl2br w:val="nil"/>
              <w:tr2bl w:val="nil"/>
            </w:tcBorders>
            <w:noWrap w:val="0"/>
            <w:vAlign w:val="center"/>
          </w:tcPr>
          <w:p w14:paraId="1040BD63">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baseline"/>
              <w:outlineLvl w:val="9"/>
              <w:rPr>
                <w:rFonts w:hint="default" w:ascii="Times New Roman" w:hAnsi="Times New Roman" w:eastAsia="宋体" w:cs="Times New Roman"/>
                <w:b/>
                <w:bCs/>
                <w:color w:val="auto"/>
                <w:spacing w:val="0"/>
                <w:w w:val="100"/>
                <w:position w:val="0"/>
                <w:sz w:val="21"/>
                <w:szCs w:val="21"/>
                <w:highlight w:val="none"/>
                <w:lang w:val="en-US" w:eastAsia="zh-CN"/>
              </w:rPr>
            </w:pPr>
            <w:r>
              <w:rPr>
                <w:rFonts w:hint="default" w:ascii="Times New Roman" w:hAnsi="Times New Roman" w:eastAsia="宋体" w:cs="Times New Roman"/>
                <w:b/>
                <w:bCs/>
                <w:snapToGrid/>
                <w:color w:val="auto"/>
                <w:spacing w:val="0"/>
                <w:w w:val="100"/>
                <w:kern w:val="21"/>
                <w:position w:val="0"/>
                <w:sz w:val="21"/>
                <w:szCs w:val="21"/>
                <w:highlight w:val="none"/>
                <w:lang w:val="en-US" w:eastAsia="zh-CN"/>
              </w:rPr>
              <w:t>排放量</w:t>
            </w:r>
            <w:r>
              <w:rPr>
                <w:rFonts w:hint="default" w:ascii="Times New Roman" w:hAnsi="Times New Roman" w:eastAsia="宋体" w:cs="Times New Roman"/>
                <w:b/>
                <w:bCs/>
                <w:snapToGrid/>
                <w:color w:val="auto"/>
                <w:spacing w:val="0"/>
                <w:w w:val="100"/>
                <w:kern w:val="21"/>
                <w:position w:val="0"/>
                <w:sz w:val="21"/>
                <w:szCs w:val="21"/>
                <w:highlight w:val="none"/>
              </w:rPr>
              <w:t>t/a</w:t>
            </w:r>
          </w:p>
        </w:tc>
      </w:tr>
      <w:tr w14:paraId="5FEC93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426" w:type="pct"/>
            <w:tcBorders>
              <w:tl2br w:val="nil"/>
              <w:tr2bl w:val="nil"/>
            </w:tcBorders>
            <w:noWrap w:val="0"/>
            <w:vAlign w:val="center"/>
          </w:tcPr>
          <w:p w14:paraId="143424E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ascii="Times New Roman" w:hAnsi="Times New Roman" w:eastAsia="宋体" w:cs="Times New Roman"/>
                <w:color w:val="auto"/>
                <w:spacing w:val="0"/>
                <w:w w:val="100"/>
                <w:position w:val="0"/>
                <w:sz w:val="21"/>
                <w:szCs w:val="21"/>
                <w:highlight w:val="none"/>
                <w:lang w:val="en-US" w:eastAsia="zh-CN"/>
              </w:rPr>
            </w:pPr>
            <w:r>
              <w:rPr>
                <w:rFonts w:hint="default" w:ascii="Times New Roman" w:hAnsi="Times New Roman" w:eastAsia="宋体" w:cs="Times New Roman"/>
                <w:color w:val="auto"/>
                <w:spacing w:val="0"/>
                <w:w w:val="100"/>
                <w:position w:val="0"/>
                <w:sz w:val="21"/>
                <w:szCs w:val="21"/>
                <w:highlight w:val="none"/>
                <w:lang w:val="en-US" w:eastAsia="zh-CN"/>
              </w:rPr>
              <w:t>DA001</w:t>
            </w:r>
          </w:p>
        </w:tc>
        <w:tc>
          <w:tcPr>
            <w:tcW w:w="477" w:type="pct"/>
            <w:tcBorders>
              <w:tl2br w:val="nil"/>
              <w:tr2bl w:val="nil"/>
            </w:tcBorders>
            <w:shd w:val="clear" w:color="auto" w:fill="auto"/>
            <w:noWrap w:val="0"/>
            <w:vAlign w:val="center"/>
          </w:tcPr>
          <w:p w14:paraId="4B9FD14A">
            <w:pPr>
              <w:pStyle w:val="9"/>
              <w:keepNext w:val="0"/>
              <w:keepLines w:val="0"/>
              <w:pageBreakBefore w:val="0"/>
              <w:widowControl w:val="0"/>
              <w:numPr>
                <w:ilvl w:val="0"/>
                <w:numId w:val="0"/>
              </w:numPr>
              <w:suppressLineNumbers w:val="0"/>
              <w:shd w:val="clear" w:color="auto" w:fill="auto"/>
              <w:tabs>
                <w:tab w:val="left" w:pos="780"/>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olor w:val="auto"/>
                <w:spacing w:val="0"/>
                <w:w w:val="100"/>
                <w:kern w:val="2"/>
                <w:position w:val="0"/>
                <w:sz w:val="21"/>
                <w:szCs w:val="21"/>
                <w:highlight w:val="none"/>
                <w:lang w:val="en-US" w:eastAsia="zh-CN" w:bidi="ar"/>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颗粒物</w:t>
            </w:r>
          </w:p>
        </w:tc>
        <w:tc>
          <w:tcPr>
            <w:tcW w:w="516" w:type="pct"/>
            <w:tcBorders>
              <w:tl2br w:val="nil"/>
              <w:tr2bl w:val="nil"/>
            </w:tcBorders>
            <w:shd w:val="clear" w:color="auto" w:fill="auto"/>
            <w:noWrap w:val="0"/>
            <w:vAlign w:val="center"/>
          </w:tcPr>
          <w:p w14:paraId="115CE28D">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heme="minorBidi"/>
                <w:color w:val="auto"/>
                <w:spacing w:val="0"/>
                <w:w w:val="100"/>
                <w:kern w:val="21"/>
                <w:position w:val="0"/>
                <w:sz w:val="21"/>
                <w:szCs w:val="24"/>
                <w:lang w:val="en-US" w:eastAsia="zh-CN" w:bidi="ar-SA"/>
              </w:rPr>
            </w:pPr>
            <w:r>
              <w:rPr>
                <w:rFonts w:hint="eastAsia" w:cs="Times New Roman"/>
                <w:i w:val="0"/>
                <w:iCs w:val="0"/>
                <w:color w:val="auto"/>
                <w:spacing w:val="0"/>
                <w:kern w:val="0"/>
                <w:sz w:val="21"/>
                <w:szCs w:val="21"/>
                <w:u w:val="none"/>
                <w:lang w:val="en-US" w:eastAsia="zh-CN" w:bidi="ar"/>
              </w:rPr>
              <w:t>5.486</w:t>
            </w:r>
          </w:p>
        </w:tc>
        <w:tc>
          <w:tcPr>
            <w:tcW w:w="451" w:type="pct"/>
            <w:tcBorders>
              <w:tl2br w:val="nil"/>
              <w:tr2bl w:val="nil"/>
            </w:tcBorders>
            <w:shd w:val="clear" w:color="auto" w:fill="auto"/>
            <w:noWrap w:val="0"/>
            <w:vAlign w:val="center"/>
          </w:tcPr>
          <w:p w14:paraId="61B5452E">
            <w:pPr>
              <w:keepNext w:val="0"/>
              <w:keepLines w:val="0"/>
              <w:pageBreakBefore w:val="0"/>
              <w:widowControl w:val="0"/>
              <w:suppressLineNumbers w:val="0"/>
              <w:kinsoku/>
              <w:wordWrap/>
              <w:overflowPunct/>
              <w:topLinePunct w:val="0"/>
              <w:autoSpaceDE/>
              <w:autoSpaceDN/>
              <w:bidi w:val="0"/>
              <w:spacing w:before="0" w:beforeAutospacing="0" w:after="0" w:afterAutospacing="0"/>
              <w:ind w:left="0" w:leftChars="0" w:right="0" w:rightChars="0" w:firstLine="0" w:firstLineChars="0"/>
              <w:jc w:val="center"/>
              <w:textAlignment w:val="center"/>
              <w:rPr>
                <w:rFonts w:hint="default" w:ascii="Times New Roman" w:hAnsi="Times New Roman" w:eastAsia="宋体" w:cstheme="minorBidi"/>
                <w:color w:val="auto"/>
                <w:spacing w:val="0"/>
                <w:w w:val="100"/>
                <w:kern w:val="21"/>
                <w:position w:val="0"/>
                <w:sz w:val="21"/>
                <w:szCs w:val="24"/>
                <w:lang w:val="en-US" w:eastAsia="zh-CN" w:bidi="ar-SA"/>
              </w:rPr>
            </w:pPr>
            <w:r>
              <w:rPr>
                <w:rFonts w:hint="eastAsia" w:cs="Times New Roman"/>
                <w:i w:val="0"/>
                <w:iCs w:val="0"/>
                <w:color w:val="auto"/>
                <w:spacing w:val="0"/>
                <w:w w:val="100"/>
                <w:kern w:val="0"/>
                <w:position w:val="0"/>
                <w:sz w:val="21"/>
                <w:szCs w:val="21"/>
                <w:u w:val="none"/>
                <w:lang w:val="en-US" w:eastAsia="zh-CN" w:bidi="ar"/>
              </w:rPr>
              <w:t>548.625</w:t>
            </w:r>
          </w:p>
        </w:tc>
        <w:tc>
          <w:tcPr>
            <w:tcW w:w="425" w:type="pct"/>
            <w:tcBorders>
              <w:tl2br w:val="nil"/>
              <w:tr2bl w:val="nil"/>
            </w:tcBorders>
            <w:shd w:val="clear" w:color="auto" w:fill="auto"/>
            <w:noWrap w:val="0"/>
            <w:vAlign w:val="center"/>
          </w:tcPr>
          <w:p w14:paraId="515C561B">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eastAsia" w:cs="Times New Roman"/>
                <w:i w:val="0"/>
                <w:iCs w:val="0"/>
                <w:color w:val="auto"/>
                <w:spacing w:val="0"/>
                <w:w w:val="100"/>
                <w:kern w:val="0"/>
                <w:position w:val="0"/>
                <w:sz w:val="21"/>
                <w:szCs w:val="21"/>
                <w:u w:val="none"/>
                <w:lang w:val="en-US" w:eastAsia="zh-CN" w:bidi="ar"/>
              </w:rPr>
              <w:t>26.334</w:t>
            </w:r>
          </w:p>
        </w:tc>
        <w:tc>
          <w:tcPr>
            <w:tcW w:w="901" w:type="pct"/>
            <w:tcBorders>
              <w:tl2br w:val="nil"/>
              <w:tr2bl w:val="nil"/>
            </w:tcBorders>
            <w:shd w:val="clear" w:color="auto" w:fill="auto"/>
            <w:noWrap w:val="0"/>
            <w:vAlign w:val="center"/>
          </w:tcPr>
          <w:p w14:paraId="6D65965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default" w:ascii="Times New Roman" w:hAnsi="Times New Roman" w:eastAsia="宋体" w:cs="Times New Roman"/>
                <w:color w:val="auto"/>
                <w:spacing w:val="0"/>
                <w:w w:val="100"/>
                <w:kern w:val="0"/>
                <w:position w:val="0"/>
                <w:sz w:val="21"/>
                <w:szCs w:val="21"/>
                <w:highlight w:val="none"/>
                <w:lang w:val="en-US" w:eastAsia="zh-CN" w:bidi="ar-SA"/>
              </w:rPr>
            </w:pPr>
            <w:r>
              <w:rPr>
                <w:rFonts w:hint="eastAsia" w:ascii="Times New Roman" w:hAnsi="Times New Roman" w:cs="Times New Roman"/>
                <w:color w:val="auto"/>
                <w:spacing w:val="0"/>
                <w:w w:val="100"/>
                <w:position w:val="0"/>
                <w:sz w:val="21"/>
                <w:szCs w:val="21"/>
                <w:highlight w:val="none"/>
                <w:lang w:val="en-US" w:eastAsia="zh-CN"/>
              </w:rPr>
              <w:t>布袋除尘器</w:t>
            </w:r>
          </w:p>
        </w:tc>
        <w:tc>
          <w:tcPr>
            <w:tcW w:w="470" w:type="pct"/>
            <w:tcBorders>
              <w:tl2br w:val="nil"/>
              <w:tr2bl w:val="nil"/>
            </w:tcBorders>
            <w:shd w:val="clear" w:color="auto" w:fill="auto"/>
            <w:noWrap w:val="0"/>
            <w:vAlign w:val="center"/>
          </w:tcPr>
          <w:p w14:paraId="6DF8A3E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default" w:ascii="Times New Roman" w:hAnsi="Times New Roman" w:eastAsia="宋体" w:cs="Times New Roman"/>
                <w:color w:val="auto"/>
                <w:spacing w:val="0"/>
                <w:w w:val="100"/>
                <w:kern w:val="0"/>
                <w:position w:val="0"/>
                <w:sz w:val="21"/>
                <w:szCs w:val="21"/>
                <w:highlight w:val="none"/>
                <w:lang w:val="en-US" w:eastAsia="zh-CN" w:bidi="ar-SA"/>
              </w:rPr>
            </w:pPr>
            <w:r>
              <w:rPr>
                <w:rFonts w:hint="eastAsia" w:ascii="Times New Roman" w:hAnsi="Times New Roman" w:cs="Times New Roman"/>
                <w:color w:val="auto"/>
                <w:spacing w:val="0"/>
                <w:w w:val="100"/>
                <w:position w:val="0"/>
                <w:sz w:val="21"/>
                <w:szCs w:val="21"/>
                <w:highlight w:val="none"/>
                <w:lang w:val="en-US" w:eastAsia="zh-CN"/>
              </w:rPr>
              <w:t>99</w:t>
            </w:r>
          </w:p>
        </w:tc>
        <w:tc>
          <w:tcPr>
            <w:tcW w:w="451" w:type="pct"/>
            <w:tcBorders>
              <w:tl2br w:val="nil"/>
              <w:tr2bl w:val="nil"/>
            </w:tcBorders>
            <w:shd w:val="clear" w:color="auto" w:fill="auto"/>
            <w:noWrap w:val="0"/>
            <w:vAlign w:val="center"/>
          </w:tcPr>
          <w:p w14:paraId="3F620084">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eastAsia" w:cs="Times New Roman"/>
                <w:i w:val="0"/>
                <w:iCs w:val="0"/>
                <w:color w:val="auto"/>
                <w:spacing w:val="0"/>
                <w:w w:val="100"/>
                <w:kern w:val="0"/>
                <w:position w:val="0"/>
                <w:sz w:val="21"/>
                <w:szCs w:val="21"/>
                <w:u w:val="none"/>
                <w:lang w:val="en-US" w:eastAsia="zh-CN" w:bidi="ar"/>
              </w:rPr>
              <w:t>0.055</w:t>
            </w:r>
          </w:p>
        </w:tc>
        <w:tc>
          <w:tcPr>
            <w:tcW w:w="469" w:type="pct"/>
            <w:tcBorders>
              <w:tl2br w:val="nil"/>
              <w:tr2bl w:val="nil"/>
            </w:tcBorders>
            <w:shd w:val="clear" w:color="auto" w:fill="auto"/>
            <w:noWrap w:val="0"/>
            <w:vAlign w:val="center"/>
          </w:tcPr>
          <w:p w14:paraId="0523BD02">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eastAsia" w:cs="Times New Roman"/>
                <w:i w:val="0"/>
                <w:iCs w:val="0"/>
                <w:color w:val="auto"/>
                <w:spacing w:val="0"/>
                <w:w w:val="100"/>
                <w:kern w:val="0"/>
                <w:position w:val="0"/>
                <w:sz w:val="21"/>
                <w:szCs w:val="21"/>
                <w:u w:val="none"/>
                <w:lang w:val="en-US" w:eastAsia="zh-CN" w:bidi="ar"/>
              </w:rPr>
              <w:t>5.479</w:t>
            </w:r>
          </w:p>
        </w:tc>
        <w:tc>
          <w:tcPr>
            <w:tcW w:w="409" w:type="pct"/>
            <w:tcBorders>
              <w:tl2br w:val="nil"/>
              <w:tr2bl w:val="nil"/>
            </w:tcBorders>
            <w:shd w:val="clear" w:color="auto" w:fill="auto"/>
            <w:noWrap w:val="0"/>
            <w:vAlign w:val="center"/>
          </w:tcPr>
          <w:p w14:paraId="29A12D28">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0.2</w:t>
            </w:r>
            <w:r>
              <w:rPr>
                <w:rFonts w:hint="eastAsia" w:cs="Times New Roman"/>
                <w:i w:val="0"/>
                <w:iCs w:val="0"/>
                <w:color w:val="auto"/>
                <w:spacing w:val="0"/>
                <w:w w:val="100"/>
                <w:kern w:val="0"/>
                <w:position w:val="0"/>
                <w:sz w:val="21"/>
                <w:szCs w:val="21"/>
                <w:u w:val="none"/>
                <w:lang w:val="en-US" w:eastAsia="zh-CN" w:bidi="ar"/>
              </w:rPr>
              <w:t>63</w:t>
            </w:r>
          </w:p>
        </w:tc>
      </w:tr>
      <w:tr w14:paraId="430F6E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426" w:type="pct"/>
            <w:tcBorders>
              <w:tl2br w:val="nil"/>
              <w:tr2bl w:val="nil"/>
            </w:tcBorders>
            <w:noWrap w:val="0"/>
            <w:vAlign w:val="center"/>
          </w:tcPr>
          <w:p w14:paraId="4C168D8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ascii="Times New Roman" w:hAnsi="Times New Roman" w:eastAsia="宋体" w:cs="Times New Roman"/>
                <w:color w:val="auto"/>
                <w:spacing w:val="0"/>
                <w:w w:val="100"/>
                <w:position w:val="0"/>
                <w:sz w:val="21"/>
                <w:szCs w:val="21"/>
                <w:highlight w:val="none"/>
                <w:lang w:val="en-US" w:eastAsia="zh-CN"/>
              </w:rPr>
            </w:pPr>
            <w:r>
              <w:rPr>
                <w:rFonts w:hint="default" w:ascii="Times New Roman" w:hAnsi="Times New Roman" w:eastAsia="宋体" w:cs="Times New Roman"/>
                <w:color w:val="auto"/>
                <w:spacing w:val="0"/>
                <w:w w:val="100"/>
                <w:position w:val="0"/>
                <w:sz w:val="21"/>
                <w:szCs w:val="21"/>
                <w:highlight w:val="none"/>
                <w:lang w:val="en-US" w:eastAsia="zh-CN"/>
              </w:rPr>
              <w:t>DA002</w:t>
            </w:r>
          </w:p>
        </w:tc>
        <w:tc>
          <w:tcPr>
            <w:tcW w:w="477" w:type="pct"/>
            <w:tcBorders>
              <w:tl2br w:val="nil"/>
              <w:tr2bl w:val="nil"/>
            </w:tcBorders>
            <w:shd w:val="clear" w:color="auto" w:fill="auto"/>
            <w:noWrap w:val="0"/>
            <w:vAlign w:val="center"/>
          </w:tcPr>
          <w:p w14:paraId="6432A891">
            <w:pPr>
              <w:pStyle w:val="9"/>
              <w:keepNext w:val="0"/>
              <w:keepLines w:val="0"/>
              <w:pageBreakBefore w:val="0"/>
              <w:widowControl w:val="0"/>
              <w:numPr>
                <w:ilvl w:val="0"/>
                <w:numId w:val="0"/>
              </w:numPr>
              <w:suppressLineNumbers w:val="0"/>
              <w:shd w:val="clear" w:color="auto" w:fill="auto"/>
              <w:tabs>
                <w:tab w:val="left" w:pos="780"/>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color w:val="auto"/>
                <w:spacing w:val="0"/>
                <w:w w:val="100"/>
                <w:position w:val="0"/>
                <w:sz w:val="21"/>
                <w:szCs w:val="21"/>
                <w:highlight w:val="none"/>
                <w:lang w:val="en-US" w:eastAsia="zh-CN"/>
              </w:rPr>
              <w:t>非甲烷总烃</w:t>
            </w:r>
          </w:p>
        </w:tc>
        <w:tc>
          <w:tcPr>
            <w:tcW w:w="516" w:type="pct"/>
            <w:tcBorders>
              <w:tl2br w:val="nil"/>
              <w:tr2bl w:val="nil"/>
            </w:tcBorders>
            <w:shd w:val="clear" w:color="auto" w:fill="auto"/>
            <w:noWrap w:val="0"/>
            <w:vAlign w:val="center"/>
          </w:tcPr>
          <w:p w14:paraId="43172727">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heme="minorBidi"/>
                <w:color w:val="auto"/>
                <w:spacing w:val="0"/>
                <w:w w:val="100"/>
                <w:kern w:val="0"/>
                <w:position w:val="0"/>
                <w:sz w:val="21"/>
                <w:szCs w:val="24"/>
                <w:lang w:val="en-US" w:eastAsia="zh-CN" w:bidi="ar"/>
              </w:rPr>
            </w:pPr>
            <w:r>
              <w:rPr>
                <w:rFonts w:hint="eastAsia" w:cs="Times New Roman"/>
                <w:i w:val="0"/>
                <w:iCs w:val="0"/>
                <w:color w:val="auto"/>
                <w:spacing w:val="0"/>
                <w:kern w:val="0"/>
                <w:sz w:val="21"/>
                <w:szCs w:val="21"/>
                <w:u w:val="none"/>
                <w:lang w:val="en-US" w:eastAsia="zh-CN" w:bidi="ar"/>
              </w:rPr>
              <w:t>1.155</w:t>
            </w:r>
          </w:p>
        </w:tc>
        <w:tc>
          <w:tcPr>
            <w:tcW w:w="451" w:type="pct"/>
            <w:tcBorders>
              <w:tl2br w:val="nil"/>
              <w:tr2bl w:val="nil"/>
            </w:tcBorders>
            <w:shd w:val="clear" w:color="auto" w:fill="auto"/>
            <w:noWrap w:val="0"/>
            <w:vAlign w:val="center"/>
          </w:tcPr>
          <w:p w14:paraId="69328A2D">
            <w:pPr>
              <w:keepNext w:val="0"/>
              <w:keepLines w:val="0"/>
              <w:pageBreakBefore w:val="0"/>
              <w:widowControl w:val="0"/>
              <w:suppressLineNumbers w:val="0"/>
              <w:kinsoku/>
              <w:wordWrap/>
              <w:overflowPunct/>
              <w:topLinePunct w:val="0"/>
              <w:autoSpaceDE/>
              <w:autoSpaceDN/>
              <w:bidi w:val="0"/>
              <w:spacing w:before="0" w:beforeAutospacing="0" w:after="0" w:afterAutospacing="0"/>
              <w:ind w:left="0" w:leftChars="0" w:right="0" w:rightChars="0" w:firstLine="0" w:firstLineChars="0"/>
              <w:jc w:val="center"/>
              <w:textAlignment w:val="center"/>
              <w:rPr>
                <w:rFonts w:hint="default" w:ascii="Times New Roman" w:hAnsi="Times New Roman" w:eastAsia="宋体" w:cstheme="minorBidi"/>
                <w:color w:val="auto"/>
                <w:spacing w:val="0"/>
                <w:w w:val="100"/>
                <w:kern w:val="0"/>
                <w:position w:val="0"/>
                <w:sz w:val="21"/>
                <w:szCs w:val="24"/>
                <w:lang w:val="en-US" w:eastAsia="zh-CN" w:bidi="ar"/>
              </w:rPr>
            </w:pPr>
            <w:r>
              <w:rPr>
                <w:rFonts w:hint="eastAsia" w:cs="Times New Roman"/>
                <w:i w:val="0"/>
                <w:iCs w:val="0"/>
                <w:color w:val="auto"/>
                <w:spacing w:val="0"/>
                <w:w w:val="100"/>
                <w:kern w:val="0"/>
                <w:position w:val="0"/>
                <w:sz w:val="21"/>
                <w:szCs w:val="21"/>
                <w:u w:val="none"/>
                <w:lang w:val="en-US" w:eastAsia="zh-CN" w:bidi="ar"/>
              </w:rPr>
              <w:t>77</w:t>
            </w:r>
          </w:p>
        </w:tc>
        <w:tc>
          <w:tcPr>
            <w:tcW w:w="425" w:type="pct"/>
            <w:tcBorders>
              <w:tl2br w:val="nil"/>
              <w:tr2bl w:val="nil"/>
            </w:tcBorders>
            <w:shd w:val="clear" w:color="auto" w:fill="auto"/>
            <w:noWrap w:val="0"/>
            <w:vAlign w:val="center"/>
          </w:tcPr>
          <w:p w14:paraId="5F9141A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ascii="Times New Roman" w:hAnsi="Times New Roman" w:eastAsia="宋体" w:cstheme="minorBidi"/>
                <w:color w:val="auto"/>
                <w:spacing w:val="0"/>
                <w:w w:val="100"/>
                <w:kern w:val="0"/>
                <w:position w:val="0"/>
                <w:sz w:val="21"/>
                <w:szCs w:val="24"/>
                <w:lang w:val="en-US" w:eastAsia="zh-CN" w:bidi="ar"/>
              </w:rPr>
            </w:pPr>
            <w:r>
              <w:rPr>
                <w:rFonts w:hint="eastAsia"/>
                <w:color w:val="auto"/>
                <w:spacing w:val="0"/>
                <w:w w:val="100"/>
                <w:kern w:val="0"/>
                <w:position w:val="0"/>
                <w:sz w:val="21"/>
                <w:lang w:val="en-US" w:eastAsia="zh-CN" w:bidi="ar"/>
              </w:rPr>
              <w:t>5.544</w:t>
            </w:r>
          </w:p>
        </w:tc>
        <w:tc>
          <w:tcPr>
            <w:tcW w:w="901" w:type="pct"/>
            <w:tcBorders>
              <w:tl2br w:val="nil"/>
              <w:tr2bl w:val="nil"/>
            </w:tcBorders>
            <w:shd w:val="clear" w:color="auto" w:fill="auto"/>
            <w:noWrap w:val="0"/>
            <w:vAlign w:val="center"/>
          </w:tcPr>
          <w:p w14:paraId="4FE6953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default" w:ascii="Times New Roman" w:hAnsi="Times New Roman" w:eastAsia="宋体" w:cs="Times New Roman"/>
                <w:color w:val="auto"/>
                <w:spacing w:val="0"/>
                <w:w w:val="100"/>
                <w:kern w:val="0"/>
                <w:position w:val="0"/>
                <w:sz w:val="21"/>
                <w:szCs w:val="21"/>
                <w:highlight w:val="none"/>
                <w:lang w:val="en-US" w:eastAsia="zh-CN" w:bidi="ar-SA"/>
              </w:rPr>
            </w:pPr>
            <w:r>
              <w:rPr>
                <w:rFonts w:hint="eastAsia" w:cs="Times New Roman"/>
                <w:color w:val="auto"/>
                <w:spacing w:val="0"/>
                <w:w w:val="100"/>
                <w:position w:val="0"/>
                <w:sz w:val="21"/>
                <w:szCs w:val="21"/>
                <w:highlight w:val="none"/>
                <w:lang w:val="en-US" w:eastAsia="zh-CN"/>
              </w:rPr>
              <w:t>“活性炭吸附脱附+催化燃烧装置”</w:t>
            </w:r>
          </w:p>
        </w:tc>
        <w:tc>
          <w:tcPr>
            <w:tcW w:w="470" w:type="pct"/>
            <w:tcBorders>
              <w:tl2br w:val="nil"/>
              <w:tr2bl w:val="nil"/>
            </w:tcBorders>
            <w:shd w:val="clear" w:color="auto" w:fill="auto"/>
            <w:noWrap w:val="0"/>
            <w:vAlign w:val="center"/>
          </w:tcPr>
          <w:p w14:paraId="48BA30B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rPr>
                <w:rFonts w:hint="default" w:ascii="Times New Roman" w:hAnsi="Times New Roman" w:eastAsia="宋体" w:cs="Times New Roman"/>
                <w:color w:val="auto"/>
                <w:spacing w:val="0"/>
                <w:w w:val="100"/>
                <w:kern w:val="0"/>
                <w:position w:val="0"/>
                <w:sz w:val="21"/>
                <w:szCs w:val="21"/>
                <w:highlight w:val="none"/>
                <w:lang w:val="en-US" w:eastAsia="zh-CN" w:bidi="ar-SA"/>
              </w:rPr>
            </w:pPr>
            <w:r>
              <w:rPr>
                <w:rFonts w:hint="eastAsia" w:cs="Times New Roman"/>
                <w:color w:val="auto"/>
                <w:spacing w:val="0"/>
                <w:w w:val="100"/>
                <w:kern w:val="0"/>
                <w:position w:val="0"/>
                <w:sz w:val="21"/>
                <w:szCs w:val="21"/>
                <w:highlight w:val="none"/>
                <w:lang w:val="en-US" w:eastAsia="zh-CN" w:bidi="ar-SA"/>
              </w:rPr>
              <w:t>60</w:t>
            </w:r>
          </w:p>
        </w:tc>
        <w:tc>
          <w:tcPr>
            <w:tcW w:w="451" w:type="pct"/>
            <w:tcBorders>
              <w:tl2br w:val="nil"/>
              <w:tr2bl w:val="nil"/>
            </w:tcBorders>
            <w:shd w:val="clear" w:color="auto" w:fill="auto"/>
            <w:noWrap w:val="0"/>
            <w:vAlign w:val="center"/>
          </w:tcPr>
          <w:p w14:paraId="5B84B61D">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default" w:ascii="Times New Roman" w:hAnsi="Times New Roman" w:eastAsia="宋体" w:cstheme="minorBidi"/>
                <w:color w:val="auto"/>
                <w:spacing w:val="0"/>
                <w:w w:val="100"/>
                <w:kern w:val="0"/>
                <w:position w:val="0"/>
                <w:sz w:val="21"/>
                <w:szCs w:val="24"/>
                <w:lang w:val="en-US" w:eastAsia="zh-CN" w:bidi="ar"/>
              </w:rPr>
            </w:pPr>
            <w:r>
              <w:rPr>
                <w:rFonts w:hint="eastAsia" w:cs="Times New Roman"/>
                <w:i w:val="0"/>
                <w:iCs w:val="0"/>
                <w:color w:val="auto"/>
                <w:spacing w:val="0"/>
                <w:w w:val="100"/>
                <w:kern w:val="0"/>
                <w:position w:val="0"/>
                <w:sz w:val="21"/>
                <w:szCs w:val="21"/>
                <w:u w:val="none"/>
                <w:lang w:val="en-US" w:eastAsia="zh-CN" w:bidi="ar"/>
              </w:rPr>
              <w:t>0.462</w:t>
            </w:r>
          </w:p>
        </w:tc>
        <w:tc>
          <w:tcPr>
            <w:tcW w:w="469" w:type="pct"/>
            <w:tcBorders>
              <w:tl2br w:val="nil"/>
              <w:tr2bl w:val="nil"/>
            </w:tcBorders>
            <w:shd w:val="clear" w:color="auto" w:fill="auto"/>
            <w:noWrap w:val="0"/>
            <w:vAlign w:val="center"/>
          </w:tcPr>
          <w:p w14:paraId="221F5AC4">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default" w:ascii="Times New Roman" w:hAnsi="Times New Roman" w:eastAsia="宋体" w:cstheme="minorBidi"/>
                <w:color w:val="auto"/>
                <w:spacing w:val="0"/>
                <w:w w:val="100"/>
                <w:kern w:val="0"/>
                <w:position w:val="0"/>
                <w:sz w:val="21"/>
                <w:szCs w:val="24"/>
                <w:lang w:val="en-US" w:eastAsia="zh-CN" w:bidi="ar"/>
              </w:rPr>
            </w:pPr>
            <w:r>
              <w:rPr>
                <w:rFonts w:hint="eastAsia" w:cs="Times New Roman"/>
                <w:i w:val="0"/>
                <w:iCs w:val="0"/>
                <w:color w:val="auto"/>
                <w:spacing w:val="0"/>
                <w:w w:val="100"/>
                <w:kern w:val="0"/>
                <w:position w:val="0"/>
                <w:sz w:val="21"/>
                <w:szCs w:val="21"/>
                <w:u w:val="none"/>
                <w:lang w:val="en-US" w:eastAsia="zh-CN" w:bidi="ar"/>
              </w:rPr>
              <w:t>30.806</w:t>
            </w:r>
          </w:p>
        </w:tc>
        <w:tc>
          <w:tcPr>
            <w:tcW w:w="409" w:type="pct"/>
            <w:tcBorders>
              <w:tl2br w:val="nil"/>
              <w:tr2bl w:val="nil"/>
            </w:tcBorders>
            <w:shd w:val="clear" w:color="auto" w:fill="auto"/>
            <w:noWrap w:val="0"/>
            <w:vAlign w:val="center"/>
          </w:tcPr>
          <w:p w14:paraId="5EADE4C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ascii="Times New Roman" w:hAnsi="Times New Roman" w:eastAsia="宋体" w:cstheme="minorBidi"/>
                <w:color w:val="auto"/>
                <w:spacing w:val="0"/>
                <w:w w:val="100"/>
                <w:kern w:val="0"/>
                <w:position w:val="0"/>
                <w:sz w:val="21"/>
                <w:szCs w:val="24"/>
                <w:lang w:val="en-US" w:eastAsia="zh-CN" w:bidi="ar"/>
              </w:rPr>
            </w:pPr>
            <w:r>
              <w:rPr>
                <w:rFonts w:hint="eastAsia"/>
                <w:color w:val="auto"/>
                <w:spacing w:val="0"/>
                <w:w w:val="100"/>
                <w:kern w:val="0"/>
                <w:position w:val="0"/>
                <w:sz w:val="21"/>
                <w:lang w:val="en-US" w:eastAsia="zh-CN" w:bidi="ar"/>
              </w:rPr>
              <w:t>1.386</w:t>
            </w:r>
          </w:p>
        </w:tc>
      </w:tr>
    </w:tbl>
    <w:p w14:paraId="0140FAA8">
      <w:pPr>
        <w:keepNext w:val="0"/>
        <w:keepLines w:val="0"/>
        <w:pageBreakBefore w:val="0"/>
        <w:widowControl w:val="0"/>
        <w:kinsoku/>
        <w:wordWrap/>
        <w:overflowPunct/>
        <w:topLinePunct w:val="0"/>
        <w:autoSpaceDE/>
        <w:autoSpaceDN/>
        <w:bidi w:val="0"/>
        <w:adjustRightInd/>
        <w:snapToGrid/>
        <w:spacing w:before="157" w:beforeLines="50" w:line="240" w:lineRule="auto"/>
        <w:ind w:left="0" w:leftChars="0" w:right="0" w:rightChars="0"/>
        <w:jc w:val="center"/>
        <w:textAlignment w:val="auto"/>
        <w:rPr>
          <w:rStyle w:val="29"/>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b/>
          <w:bCs/>
          <w:color w:val="auto"/>
          <w:spacing w:val="0"/>
          <w:w w:val="100"/>
          <w:kern w:val="24"/>
          <w:position w:val="0"/>
          <w:sz w:val="21"/>
          <w:szCs w:val="21"/>
          <w:highlight w:val="none"/>
          <w:lang w:val="zh-CN"/>
        </w:rPr>
        <w:t>表</w:t>
      </w:r>
      <w:r>
        <w:rPr>
          <w:rFonts w:hint="default" w:ascii="Times New Roman" w:hAnsi="Times New Roman" w:eastAsia="宋体" w:cs="Times New Roman"/>
          <w:b/>
          <w:bCs/>
          <w:color w:val="auto"/>
          <w:spacing w:val="0"/>
          <w:w w:val="100"/>
          <w:kern w:val="24"/>
          <w:position w:val="0"/>
          <w:sz w:val="21"/>
          <w:szCs w:val="21"/>
          <w:highlight w:val="none"/>
          <w:lang w:eastAsia="zh-CN"/>
        </w:rPr>
        <w:t>3.</w:t>
      </w:r>
      <w:r>
        <w:rPr>
          <w:rFonts w:hint="eastAsia" w:cs="Times New Roman"/>
          <w:b/>
          <w:bCs/>
          <w:color w:val="auto"/>
          <w:spacing w:val="0"/>
          <w:w w:val="100"/>
          <w:kern w:val="24"/>
          <w:position w:val="0"/>
          <w:sz w:val="21"/>
          <w:szCs w:val="21"/>
          <w:highlight w:val="none"/>
          <w:lang w:val="en-US" w:eastAsia="zh-CN"/>
        </w:rPr>
        <w:t>4.1-5</w:t>
      </w:r>
      <w:r>
        <w:rPr>
          <w:rFonts w:hint="default" w:ascii="Times New Roman" w:hAnsi="Times New Roman" w:eastAsia="宋体" w:cs="Times New Roman"/>
          <w:b/>
          <w:bCs/>
          <w:color w:val="auto"/>
          <w:spacing w:val="0"/>
          <w:w w:val="100"/>
          <w:kern w:val="24"/>
          <w:position w:val="0"/>
          <w:sz w:val="21"/>
          <w:szCs w:val="21"/>
          <w:highlight w:val="none"/>
        </w:rPr>
        <w:t xml:space="preserve"> </w:t>
      </w:r>
      <w:r>
        <w:rPr>
          <w:rFonts w:hint="default" w:ascii="Times New Roman" w:hAnsi="Times New Roman" w:eastAsia="宋体" w:cs="Times New Roman"/>
          <w:b/>
          <w:bCs/>
          <w:color w:val="auto"/>
          <w:spacing w:val="0"/>
          <w:w w:val="100"/>
          <w:kern w:val="24"/>
          <w:position w:val="0"/>
          <w:sz w:val="21"/>
          <w:szCs w:val="21"/>
          <w:highlight w:val="none"/>
          <w:lang w:val="zh-CN"/>
        </w:rPr>
        <w:t xml:space="preserve"> 项目</w:t>
      </w:r>
      <w:r>
        <w:rPr>
          <w:rFonts w:hint="default" w:ascii="Times New Roman" w:hAnsi="Times New Roman" w:eastAsia="宋体" w:cs="Times New Roman"/>
          <w:b/>
          <w:bCs/>
          <w:color w:val="auto"/>
          <w:spacing w:val="0"/>
          <w:w w:val="100"/>
          <w:kern w:val="24"/>
          <w:position w:val="0"/>
          <w:sz w:val="21"/>
          <w:szCs w:val="21"/>
          <w:highlight w:val="none"/>
        </w:rPr>
        <w:t>无组织</w:t>
      </w:r>
      <w:r>
        <w:rPr>
          <w:rFonts w:hint="default" w:ascii="Times New Roman" w:hAnsi="Times New Roman" w:eastAsia="宋体" w:cs="Times New Roman"/>
          <w:b/>
          <w:bCs/>
          <w:color w:val="auto"/>
          <w:spacing w:val="0"/>
          <w:w w:val="100"/>
          <w:kern w:val="24"/>
          <w:position w:val="0"/>
          <w:sz w:val="21"/>
          <w:szCs w:val="21"/>
          <w:highlight w:val="none"/>
          <w:lang w:val="zh-CN"/>
        </w:rPr>
        <w:t>废气污染源源强核算结果及相关参数一览表</w:t>
      </w:r>
    </w:p>
    <w:tbl>
      <w:tblPr>
        <w:tblStyle w:val="25"/>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autofit"/>
        <w:tblCellMar>
          <w:top w:w="57" w:type="dxa"/>
          <w:left w:w="57" w:type="dxa"/>
          <w:bottom w:w="57" w:type="dxa"/>
          <w:right w:w="57" w:type="dxa"/>
        </w:tblCellMar>
      </w:tblPr>
      <w:tblGrid>
        <w:gridCol w:w="1174"/>
        <w:gridCol w:w="2167"/>
        <w:gridCol w:w="1478"/>
        <w:gridCol w:w="1793"/>
        <w:gridCol w:w="2133"/>
        <w:gridCol w:w="2105"/>
        <w:gridCol w:w="2164"/>
        <w:gridCol w:w="1050"/>
      </w:tblGrid>
      <w:tr w14:paraId="1ABC55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417" w:type="pct"/>
            <w:vMerge w:val="restart"/>
            <w:tcBorders>
              <w:tl2br w:val="nil"/>
              <w:tr2bl w:val="nil"/>
            </w:tcBorders>
            <w:shd w:val="clear" w:color="auto" w:fill="auto"/>
            <w:vAlign w:val="center"/>
          </w:tcPr>
          <w:p w14:paraId="1B0125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b/>
                <w:bCs/>
                <w:color w:val="auto"/>
                <w:spacing w:val="0"/>
                <w:w w:val="100"/>
                <w:position w:val="0"/>
                <w:sz w:val="21"/>
                <w:szCs w:val="21"/>
                <w:highlight w:val="none"/>
              </w:rPr>
            </w:pPr>
            <w:r>
              <w:rPr>
                <w:rFonts w:hint="default" w:ascii="Times New Roman" w:hAnsi="Times New Roman" w:eastAsia="宋体" w:cs="Times New Roman"/>
                <w:b/>
                <w:bCs/>
                <w:color w:val="auto"/>
                <w:spacing w:val="0"/>
                <w:w w:val="100"/>
                <w:position w:val="0"/>
                <w:sz w:val="21"/>
                <w:szCs w:val="21"/>
                <w:highlight w:val="none"/>
              </w:rPr>
              <w:t>工序/</w:t>
            </w:r>
          </w:p>
          <w:p w14:paraId="70328C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b/>
                <w:bCs/>
                <w:color w:val="auto"/>
                <w:spacing w:val="0"/>
                <w:w w:val="100"/>
                <w:position w:val="0"/>
                <w:sz w:val="21"/>
                <w:szCs w:val="21"/>
                <w:highlight w:val="none"/>
              </w:rPr>
            </w:pPr>
            <w:r>
              <w:rPr>
                <w:rFonts w:hint="default" w:ascii="Times New Roman" w:hAnsi="Times New Roman" w:eastAsia="宋体" w:cs="Times New Roman"/>
                <w:b/>
                <w:bCs/>
                <w:color w:val="auto"/>
                <w:spacing w:val="0"/>
                <w:w w:val="100"/>
                <w:position w:val="0"/>
                <w:sz w:val="21"/>
                <w:szCs w:val="21"/>
                <w:highlight w:val="none"/>
              </w:rPr>
              <w:t>生产线</w:t>
            </w:r>
          </w:p>
        </w:tc>
        <w:tc>
          <w:tcPr>
            <w:tcW w:w="770" w:type="pct"/>
            <w:vMerge w:val="restart"/>
            <w:tcBorders>
              <w:tl2br w:val="nil"/>
              <w:tr2bl w:val="nil"/>
            </w:tcBorders>
            <w:shd w:val="clear" w:color="auto" w:fill="auto"/>
            <w:vAlign w:val="center"/>
          </w:tcPr>
          <w:p w14:paraId="087271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b/>
                <w:bCs/>
                <w:color w:val="auto"/>
                <w:spacing w:val="0"/>
                <w:w w:val="100"/>
                <w:position w:val="0"/>
                <w:sz w:val="21"/>
                <w:szCs w:val="21"/>
                <w:highlight w:val="none"/>
              </w:rPr>
            </w:pPr>
            <w:r>
              <w:rPr>
                <w:rFonts w:hint="default" w:ascii="Times New Roman" w:hAnsi="Times New Roman" w:eastAsia="宋体" w:cs="Times New Roman"/>
                <w:b/>
                <w:bCs/>
                <w:color w:val="auto"/>
                <w:spacing w:val="0"/>
                <w:w w:val="100"/>
                <w:position w:val="0"/>
                <w:sz w:val="21"/>
                <w:szCs w:val="21"/>
                <w:highlight w:val="none"/>
              </w:rPr>
              <w:t>污染源</w:t>
            </w:r>
          </w:p>
        </w:tc>
        <w:tc>
          <w:tcPr>
            <w:tcW w:w="525" w:type="pct"/>
            <w:vMerge w:val="restart"/>
            <w:tcBorders>
              <w:tl2br w:val="nil"/>
              <w:tr2bl w:val="nil"/>
            </w:tcBorders>
            <w:shd w:val="clear" w:color="auto" w:fill="auto"/>
            <w:vAlign w:val="center"/>
          </w:tcPr>
          <w:p w14:paraId="201B08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b/>
                <w:bCs/>
                <w:color w:val="auto"/>
                <w:spacing w:val="0"/>
                <w:w w:val="100"/>
                <w:position w:val="0"/>
                <w:sz w:val="21"/>
                <w:szCs w:val="21"/>
                <w:highlight w:val="none"/>
                <w:lang w:val="zh-CN"/>
              </w:rPr>
            </w:pPr>
            <w:r>
              <w:rPr>
                <w:rFonts w:hint="default" w:ascii="Times New Roman" w:hAnsi="Times New Roman" w:eastAsia="宋体" w:cs="Times New Roman"/>
                <w:b/>
                <w:bCs/>
                <w:color w:val="auto"/>
                <w:spacing w:val="0"/>
                <w:w w:val="100"/>
                <w:position w:val="0"/>
                <w:sz w:val="21"/>
                <w:szCs w:val="21"/>
                <w:highlight w:val="none"/>
              </w:rPr>
              <w:t>污染物</w:t>
            </w:r>
          </w:p>
        </w:tc>
        <w:tc>
          <w:tcPr>
            <w:tcW w:w="1395" w:type="pct"/>
            <w:gridSpan w:val="2"/>
            <w:tcBorders>
              <w:tl2br w:val="nil"/>
              <w:tr2bl w:val="nil"/>
            </w:tcBorders>
            <w:shd w:val="clear" w:color="auto" w:fill="auto"/>
            <w:vAlign w:val="center"/>
          </w:tcPr>
          <w:p w14:paraId="0A0D42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b/>
                <w:bCs/>
                <w:color w:val="auto"/>
                <w:spacing w:val="0"/>
                <w:w w:val="100"/>
                <w:position w:val="0"/>
                <w:sz w:val="21"/>
                <w:szCs w:val="21"/>
                <w:highlight w:val="none"/>
                <w:lang w:val="zh-CN"/>
              </w:rPr>
            </w:pPr>
            <w:r>
              <w:rPr>
                <w:rFonts w:hint="default" w:ascii="Times New Roman" w:hAnsi="Times New Roman" w:eastAsia="宋体" w:cs="Times New Roman"/>
                <w:b/>
                <w:bCs/>
                <w:color w:val="auto"/>
                <w:spacing w:val="0"/>
                <w:w w:val="100"/>
                <w:position w:val="0"/>
                <w:sz w:val="21"/>
                <w:szCs w:val="21"/>
                <w:highlight w:val="none"/>
                <w:lang w:val="zh-CN"/>
              </w:rPr>
              <w:t>污染物产生</w:t>
            </w:r>
          </w:p>
        </w:tc>
        <w:tc>
          <w:tcPr>
            <w:tcW w:w="1517" w:type="pct"/>
            <w:gridSpan w:val="2"/>
            <w:tcBorders>
              <w:tl2br w:val="nil"/>
              <w:tr2bl w:val="nil"/>
            </w:tcBorders>
            <w:shd w:val="clear" w:color="auto" w:fill="auto"/>
            <w:vAlign w:val="center"/>
          </w:tcPr>
          <w:p w14:paraId="360479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b/>
                <w:bCs/>
                <w:color w:val="auto"/>
                <w:spacing w:val="0"/>
                <w:w w:val="100"/>
                <w:position w:val="0"/>
                <w:sz w:val="21"/>
                <w:szCs w:val="21"/>
                <w:highlight w:val="none"/>
                <w:lang w:val="zh-CN"/>
              </w:rPr>
            </w:pPr>
            <w:r>
              <w:rPr>
                <w:rFonts w:hint="default" w:ascii="Times New Roman" w:hAnsi="Times New Roman" w:eastAsia="宋体" w:cs="Times New Roman"/>
                <w:b/>
                <w:bCs/>
                <w:color w:val="auto"/>
                <w:spacing w:val="0"/>
                <w:w w:val="100"/>
                <w:position w:val="0"/>
                <w:sz w:val="21"/>
                <w:szCs w:val="21"/>
                <w:highlight w:val="none"/>
                <w:lang w:val="zh-CN"/>
              </w:rPr>
              <w:t>污染物排放</w:t>
            </w:r>
          </w:p>
        </w:tc>
        <w:tc>
          <w:tcPr>
            <w:tcW w:w="373" w:type="pct"/>
            <w:vMerge w:val="restart"/>
            <w:tcBorders>
              <w:tl2br w:val="nil"/>
              <w:tr2bl w:val="nil"/>
            </w:tcBorders>
            <w:shd w:val="clear" w:color="auto" w:fill="auto"/>
            <w:vAlign w:val="center"/>
          </w:tcPr>
          <w:p w14:paraId="67101D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b/>
                <w:bCs/>
                <w:color w:val="auto"/>
                <w:spacing w:val="0"/>
                <w:w w:val="100"/>
                <w:position w:val="0"/>
                <w:sz w:val="21"/>
                <w:szCs w:val="21"/>
                <w:highlight w:val="none"/>
                <w:lang w:val="zh-CN"/>
              </w:rPr>
            </w:pPr>
            <w:r>
              <w:rPr>
                <w:rFonts w:hint="default" w:ascii="Times New Roman" w:hAnsi="Times New Roman" w:eastAsia="宋体" w:cs="Times New Roman"/>
                <w:b/>
                <w:bCs/>
                <w:color w:val="auto"/>
                <w:spacing w:val="0"/>
                <w:w w:val="100"/>
                <w:position w:val="0"/>
                <w:sz w:val="21"/>
                <w:szCs w:val="21"/>
                <w:highlight w:val="none"/>
                <w:lang w:val="zh-CN"/>
              </w:rPr>
              <w:t>排放时间（</w:t>
            </w:r>
            <w:r>
              <w:rPr>
                <w:rFonts w:hint="default" w:ascii="Times New Roman" w:hAnsi="Times New Roman" w:eastAsia="宋体" w:cs="Times New Roman"/>
                <w:b/>
                <w:bCs/>
                <w:color w:val="auto"/>
                <w:spacing w:val="0"/>
                <w:w w:val="100"/>
                <w:position w:val="0"/>
                <w:sz w:val="21"/>
                <w:szCs w:val="21"/>
                <w:highlight w:val="none"/>
              </w:rPr>
              <w:t>h</w:t>
            </w:r>
            <w:r>
              <w:rPr>
                <w:rFonts w:hint="default" w:ascii="Times New Roman" w:hAnsi="Times New Roman" w:eastAsia="宋体" w:cs="Times New Roman"/>
                <w:b/>
                <w:bCs/>
                <w:color w:val="auto"/>
                <w:spacing w:val="0"/>
                <w:w w:val="100"/>
                <w:position w:val="0"/>
                <w:sz w:val="21"/>
                <w:szCs w:val="21"/>
                <w:highlight w:val="none"/>
                <w:lang w:val="zh-CN"/>
              </w:rPr>
              <w:t>）</w:t>
            </w:r>
          </w:p>
        </w:tc>
      </w:tr>
      <w:tr w14:paraId="5700D4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417" w:type="pct"/>
            <w:vMerge w:val="continue"/>
            <w:tcBorders>
              <w:tl2br w:val="nil"/>
              <w:tr2bl w:val="nil"/>
            </w:tcBorders>
            <w:shd w:val="clear" w:color="auto" w:fill="auto"/>
            <w:vAlign w:val="center"/>
          </w:tcPr>
          <w:p w14:paraId="79D217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b/>
                <w:bCs/>
                <w:color w:val="auto"/>
                <w:spacing w:val="0"/>
                <w:w w:val="100"/>
                <w:position w:val="0"/>
                <w:sz w:val="21"/>
                <w:szCs w:val="21"/>
                <w:highlight w:val="none"/>
              </w:rPr>
            </w:pPr>
          </w:p>
        </w:tc>
        <w:tc>
          <w:tcPr>
            <w:tcW w:w="770" w:type="pct"/>
            <w:vMerge w:val="continue"/>
            <w:tcBorders>
              <w:tl2br w:val="nil"/>
              <w:tr2bl w:val="nil"/>
            </w:tcBorders>
            <w:shd w:val="clear" w:color="auto" w:fill="auto"/>
            <w:vAlign w:val="center"/>
          </w:tcPr>
          <w:p w14:paraId="25C4DA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b/>
                <w:bCs/>
                <w:color w:val="auto"/>
                <w:spacing w:val="0"/>
                <w:w w:val="100"/>
                <w:position w:val="0"/>
                <w:sz w:val="21"/>
                <w:szCs w:val="21"/>
                <w:highlight w:val="none"/>
              </w:rPr>
            </w:pPr>
          </w:p>
        </w:tc>
        <w:tc>
          <w:tcPr>
            <w:tcW w:w="525" w:type="pct"/>
            <w:vMerge w:val="continue"/>
            <w:tcBorders>
              <w:tl2br w:val="nil"/>
              <w:tr2bl w:val="nil"/>
            </w:tcBorders>
            <w:shd w:val="clear" w:color="auto" w:fill="auto"/>
            <w:vAlign w:val="center"/>
          </w:tcPr>
          <w:p w14:paraId="788A35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b/>
                <w:bCs/>
                <w:color w:val="auto"/>
                <w:spacing w:val="0"/>
                <w:w w:val="100"/>
                <w:position w:val="0"/>
                <w:sz w:val="21"/>
                <w:szCs w:val="21"/>
                <w:highlight w:val="none"/>
                <w:lang w:val="zh-CN"/>
              </w:rPr>
            </w:pPr>
          </w:p>
        </w:tc>
        <w:tc>
          <w:tcPr>
            <w:tcW w:w="637" w:type="pct"/>
            <w:tcBorders>
              <w:tl2br w:val="nil"/>
              <w:tr2bl w:val="nil"/>
            </w:tcBorders>
            <w:shd w:val="clear" w:color="auto" w:fill="auto"/>
            <w:vAlign w:val="center"/>
          </w:tcPr>
          <w:p w14:paraId="4CEADB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b/>
                <w:bCs/>
                <w:color w:val="auto"/>
                <w:spacing w:val="0"/>
                <w:w w:val="100"/>
                <w:position w:val="0"/>
                <w:sz w:val="21"/>
                <w:szCs w:val="21"/>
                <w:highlight w:val="none"/>
              </w:rPr>
            </w:pPr>
            <w:r>
              <w:rPr>
                <w:rFonts w:hint="default" w:ascii="Times New Roman" w:hAnsi="Times New Roman" w:eastAsia="宋体" w:cs="Times New Roman"/>
                <w:b/>
                <w:bCs/>
                <w:color w:val="auto"/>
                <w:spacing w:val="0"/>
                <w:w w:val="100"/>
                <w:position w:val="0"/>
                <w:sz w:val="21"/>
                <w:szCs w:val="21"/>
                <w:highlight w:val="none"/>
              </w:rPr>
              <w:t>产生速率</w:t>
            </w:r>
          </w:p>
          <w:p w14:paraId="76400A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b/>
                <w:bCs/>
                <w:color w:val="auto"/>
                <w:spacing w:val="0"/>
                <w:w w:val="100"/>
                <w:position w:val="0"/>
                <w:sz w:val="21"/>
                <w:szCs w:val="21"/>
                <w:highlight w:val="none"/>
              </w:rPr>
            </w:pPr>
            <w:r>
              <w:rPr>
                <w:rFonts w:hint="default" w:ascii="Times New Roman" w:hAnsi="Times New Roman" w:eastAsia="宋体" w:cs="Times New Roman"/>
                <w:b/>
                <w:bCs/>
                <w:color w:val="auto"/>
                <w:spacing w:val="0"/>
                <w:w w:val="100"/>
                <w:position w:val="0"/>
                <w:sz w:val="21"/>
                <w:szCs w:val="21"/>
                <w:highlight w:val="none"/>
              </w:rPr>
              <w:t>（kg/h）</w:t>
            </w:r>
          </w:p>
        </w:tc>
        <w:tc>
          <w:tcPr>
            <w:tcW w:w="758" w:type="pct"/>
            <w:tcBorders>
              <w:tl2br w:val="nil"/>
              <w:tr2bl w:val="nil"/>
            </w:tcBorders>
            <w:shd w:val="clear" w:color="auto" w:fill="auto"/>
            <w:vAlign w:val="center"/>
          </w:tcPr>
          <w:p w14:paraId="413DE7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b/>
                <w:bCs/>
                <w:color w:val="auto"/>
                <w:spacing w:val="0"/>
                <w:w w:val="100"/>
                <w:position w:val="0"/>
                <w:sz w:val="21"/>
                <w:szCs w:val="21"/>
                <w:highlight w:val="none"/>
              </w:rPr>
            </w:pPr>
            <w:r>
              <w:rPr>
                <w:rFonts w:hint="default" w:ascii="Times New Roman" w:hAnsi="Times New Roman" w:eastAsia="宋体" w:cs="Times New Roman"/>
                <w:b/>
                <w:bCs/>
                <w:color w:val="auto"/>
                <w:spacing w:val="0"/>
                <w:w w:val="100"/>
                <w:position w:val="0"/>
                <w:sz w:val="21"/>
                <w:szCs w:val="21"/>
                <w:highlight w:val="none"/>
              </w:rPr>
              <w:t>产生量</w:t>
            </w:r>
          </w:p>
          <w:p w14:paraId="49BBC4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b/>
                <w:bCs/>
                <w:color w:val="auto"/>
                <w:spacing w:val="0"/>
                <w:w w:val="100"/>
                <w:position w:val="0"/>
                <w:sz w:val="21"/>
                <w:szCs w:val="21"/>
                <w:highlight w:val="none"/>
              </w:rPr>
            </w:pPr>
            <w:r>
              <w:rPr>
                <w:rFonts w:hint="default" w:ascii="Times New Roman" w:hAnsi="Times New Roman" w:eastAsia="宋体" w:cs="Times New Roman"/>
                <w:b/>
                <w:bCs/>
                <w:color w:val="auto"/>
                <w:spacing w:val="0"/>
                <w:w w:val="100"/>
                <w:position w:val="0"/>
                <w:sz w:val="21"/>
                <w:szCs w:val="21"/>
                <w:highlight w:val="none"/>
              </w:rPr>
              <w:t>（t/a）</w:t>
            </w:r>
          </w:p>
        </w:tc>
        <w:tc>
          <w:tcPr>
            <w:tcW w:w="748" w:type="pct"/>
            <w:tcBorders>
              <w:tl2br w:val="nil"/>
              <w:tr2bl w:val="nil"/>
            </w:tcBorders>
            <w:shd w:val="clear" w:color="auto" w:fill="auto"/>
            <w:vAlign w:val="center"/>
          </w:tcPr>
          <w:p w14:paraId="234797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b/>
                <w:bCs/>
                <w:color w:val="auto"/>
                <w:spacing w:val="0"/>
                <w:w w:val="100"/>
                <w:position w:val="0"/>
                <w:sz w:val="21"/>
                <w:szCs w:val="21"/>
                <w:highlight w:val="none"/>
              </w:rPr>
            </w:pPr>
            <w:r>
              <w:rPr>
                <w:rFonts w:hint="default" w:ascii="Times New Roman" w:hAnsi="Times New Roman" w:eastAsia="宋体" w:cs="Times New Roman"/>
                <w:b/>
                <w:bCs/>
                <w:color w:val="auto"/>
                <w:spacing w:val="0"/>
                <w:w w:val="100"/>
                <w:position w:val="0"/>
                <w:sz w:val="21"/>
                <w:szCs w:val="21"/>
                <w:highlight w:val="none"/>
              </w:rPr>
              <w:t>排放速率</w:t>
            </w:r>
          </w:p>
          <w:p w14:paraId="37CDEA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b/>
                <w:bCs/>
                <w:color w:val="auto"/>
                <w:spacing w:val="0"/>
                <w:w w:val="100"/>
                <w:position w:val="0"/>
                <w:sz w:val="21"/>
                <w:szCs w:val="21"/>
                <w:highlight w:val="none"/>
                <w:lang w:val="zh-CN"/>
              </w:rPr>
            </w:pPr>
            <w:r>
              <w:rPr>
                <w:rFonts w:hint="default" w:ascii="Times New Roman" w:hAnsi="Times New Roman" w:eastAsia="宋体" w:cs="Times New Roman"/>
                <w:b/>
                <w:bCs/>
                <w:color w:val="auto"/>
                <w:spacing w:val="0"/>
                <w:w w:val="100"/>
                <w:position w:val="0"/>
                <w:sz w:val="21"/>
                <w:szCs w:val="21"/>
                <w:highlight w:val="none"/>
              </w:rPr>
              <w:t>（kg/h）</w:t>
            </w:r>
          </w:p>
        </w:tc>
        <w:tc>
          <w:tcPr>
            <w:tcW w:w="769" w:type="pct"/>
            <w:tcBorders>
              <w:tl2br w:val="nil"/>
              <w:tr2bl w:val="nil"/>
            </w:tcBorders>
            <w:shd w:val="clear" w:color="auto" w:fill="auto"/>
            <w:vAlign w:val="center"/>
          </w:tcPr>
          <w:p w14:paraId="683691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b/>
                <w:bCs/>
                <w:color w:val="auto"/>
                <w:spacing w:val="0"/>
                <w:w w:val="100"/>
                <w:position w:val="0"/>
                <w:sz w:val="21"/>
                <w:szCs w:val="21"/>
                <w:highlight w:val="none"/>
              </w:rPr>
            </w:pPr>
            <w:r>
              <w:rPr>
                <w:rFonts w:hint="default" w:ascii="Times New Roman" w:hAnsi="Times New Roman" w:eastAsia="宋体" w:cs="Times New Roman"/>
                <w:b/>
                <w:bCs/>
                <w:color w:val="auto"/>
                <w:spacing w:val="0"/>
                <w:w w:val="100"/>
                <w:position w:val="0"/>
                <w:sz w:val="21"/>
                <w:szCs w:val="21"/>
                <w:highlight w:val="none"/>
                <w:lang w:val="zh-CN"/>
              </w:rPr>
              <w:t>排放</w:t>
            </w:r>
            <w:r>
              <w:rPr>
                <w:rFonts w:hint="default" w:ascii="Times New Roman" w:hAnsi="Times New Roman" w:eastAsia="宋体" w:cs="Times New Roman"/>
                <w:b/>
                <w:bCs/>
                <w:color w:val="auto"/>
                <w:spacing w:val="0"/>
                <w:w w:val="100"/>
                <w:position w:val="0"/>
                <w:sz w:val="21"/>
                <w:szCs w:val="21"/>
                <w:highlight w:val="none"/>
              </w:rPr>
              <w:t>量</w:t>
            </w:r>
          </w:p>
          <w:p w14:paraId="3B38DF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b/>
                <w:bCs/>
                <w:color w:val="auto"/>
                <w:spacing w:val="0"/>
                <w:w w:val="100"/>
                <w:position w:val="0"/>
                <w:sz w:val="21"/>
                <w:szCs w:val="21"/>
                <w:highlight w:val="none"/>
                <w:lang w:val="zh-CN"/>
              </w:rPr>
            </w:pPr>
            <w:r>
              <w:rPr>
                <w:rFonts w:hint="default" w:ascii="Times New Roman" w:hAnsi="Times New Roman" w:eastAsia="宋体" w:cs="Times New Roman"/>
                <w:b/>
                <w:bCs/>
                <w:color w:val="auto"/>
                <w:spacing w:val="0"/>
                <w:w w:val="100"/>
                <w:position w:val="0"/>
                <w:sz w:val="21"/>
                <w:szCs w:val="21"/>
                <w:highlight w:val="none"/>
                <w:lang w:val="zh-CN"/>
              </w:rPr>
              <w:t>（</w:t>
            </w:r>
            <w:r>
              <w:rPr>
                <w:rFonts w:hint="default" w:ascii="Times New Roman" w:hAnsi="Times New Roman" w:eastAsia="宋体" w:cs="Times New Roman"/>
                <w:b/>
                <w:bCs/>
                <w:color w:val="auto"/>
                <w:spacing w:val="0"/>
                <w:w w:val="100"/>
                <w:position w:val="0"/>
                <w:sz w:val="21"/>
                <w:szCs w:val="21"/>
                <w:highlight w:val="none"/>
              </w:rPr>
              <w:t>t/a</w:t>
            </w:r>
            <w:r>
              <w:rPr>
                <w:rFonts w:hint="default" w:ascii="Times New Roman" w:hAnsi="Times New Roman" w:eastAsia="宋体" w:cs="Times New Roman"/>
                <w:b/>
                <w:bCs/>
                <w:color w:val="auto"/>
                <w:spacing w:val="0"/>
                <w:w w:val="100"/>
                <w:position w:val="0"/>
                <w:sz w:val="21"/>
                <w:szCs w:val="21"/>
                <w:highlight w:val="none"/>
                <w:lang w:val="zh-CN"/>
              </w:rPr>
              <w:t>）</w:t>
            </w:r>
          </w:p>
        </w:tc>
        <w:tc>
          <w:tcPr>
            <w:tcW w:w="373" w:type="pct"/>
            <w:vMerge w:val="continue"/>
            <w:tcBorders>
              <w:tl2br w:val="nil"/>
              <w:tr2bl w:val="nil"/>
            </w:tcBorders>
            <w:shd w:val="clear" w:color="auto" w:fill="auto"/>
            <w:vAlign w:val="center"/>
          </w:tcPr>
          <w:p w14:paraId="457DFD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b/>
                <w:bCs/>
                <w:color w:val="auto"/>
                <w:spacing w:val="0"/>
                <w:w w:val="100"/>
                <w:position w:val="0"/>
                <w:sz w:val="21"/>
                <w:szCs w:val="21"/>
                <w:highlight w:val="none"/>
              </w:rPr>
            </w:pPr>
          </w:p>
        </w:tc>
      </w:tr>
      <w:tr w14:paraId="2B8F2F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417" w:type="pct"/>
            <w:vMerge w:val="restart"/>
            <w:tcBorders>
              <w:tl2br w:val="nil"/>
              <w:tr2bl w:val="nil"/>
            </w:tcBorders>
            <w:shd w:val="clear" w:color="auto" w:fill="auto"/>
            <w:vAlign w:val="center"/>
          </w:tcPr>
          <w:p w14:paraId="32C1E3EB">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spacing w:val="0"/>
                <w:w w:val="100"/>
                <w:kern w:val="0"/>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铝塑复合板生产线</w:t>
            </w:r>
          </w:p>
        </w:tc>
        <w:tc>
          <w:tcPr>
            <w:tcW w:w="770" w:type="pct"/>
            <w:vMerge w:val="restart"/>
            <w:tcBorders>
              <w:tl2br w:val="nil"/>
              <w:tr2bl w:val="nil"/>
            </w:tcBorders>
            <w:shd w:val="clear" w:color="auto" w:fill="auto"/>
            <w:vAlign w:val="center"/>
          </w:tcPr>
          <w:p w14:paraId="004AD3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pacing w:val="0"/>
                <w:w w:val="100"/>
                <w:kern w:val="0"/>
                <w:position w:val="0"/>
                <w:sz w:val="21"/>
                <w:szCs w:val="21"/>
                <w:highlight w:val="none"/>
                <w:lang w:val="en-US" w:eastAsia="zh-CN"/>
              </w:rPr>
            </w:pPr>
            <w:r>
              <w:rPr>
                <w:rFonts w:hint="eastAsia" w:cs="Times New Roman"/>
                <w:color w:val="auto"/>
                <w:spacing w:val="0"/>
                <w:w w:val="100"/>
                <w:kern w:val="0"/>
                <w:position w:val="0"/>
                <w:sz w:val="21"/>
                <w:szCs w:val="21"/>
                <w:highlight w:val="none"/>
                <w:lang w:val="en-US" w:eastAsia="zh-CN"/>
              </w:rPr>
              <w:t>生产车间</w:t>
            </w:r>
          </w:p>
        </w:tc>
        <w:tc>
          <w:tcPr>
            <w:tcW w:w="525" w:type="pct"/>
            <w:tcBorders>
              <w:tl2br w:val="nil"/>
              <w:tr2bl w:val="nil"/>
            </w:tcBorders>
            <w:shd w:val="clear" w:color="auto" w:fill="auto"/>
            <w:vAlign w:val="center"/>
          </w:tcPr>
          <w:p w14:paraId="296AF562">
            <w:pPr>
              <w:pStyle w:val="9"/>
              <w:keepNext w:val="0"/>
              <w:keepLines w:val="0"/>
              <w:pageBreakBefore w:val="0"/>
              <w:widowControl w:val="0"/>
              <w:numPr>
                <w:ilvl w:val="0"/>
                <w:numId w:val="0"/>
              </w:numPr>
              <w:suppressLineNumbers w:val="0"/>
              <w:shd w:val="clear" w:color="auto" w:fill="auto"/>
              <w:tabs>
                <w:tab w:val="left" w:pos="780"/>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21"/>
                <w:position w:val="0"/>
                <w:sz w:val="21"/>
                <w:szCs w:val="21"/>
                <w:highlight w:val="none"/>
                <w:vertAlign w:val="baseline"/>
                <w:lang w:val="en-US" w:eastAsia="zh-CN" w:bidi="ar"/>
              </w:rPr>
            </w:pPr>
            <w:r>
              <w:rPr>
                <w:rFonts w:hint="eastAsia" w:ascii="Times New Roman" w:hAnsi="Times New Roman" w:eastAsia="宋体" w:cs="Times New Roman"/>
                <w:caps w:val="0"/>
                <w:snapToGrid/>
                <w:color w:val="auto"/>
                <w:spacing w:val="0"/>
                <w:w w:val="100"/>
                <w:kern w:val="21"/>
                <w:position w:val="0"/>
                <w:sz w:val="21"/>
                <w:szCs w:val="21"/>
                <w:highlight w:val="none"/>
                <w:vertAlign w:val="baseline"/>
                <w:lang w:val="en-US" w:eastAsia="zh-CN"/>
              </w:rPr>
              <w:t>颗粒物</w:t>
            </w:r>
          </w:p>
        </w:tc>
        <w:tc>
          <w:tcPr>
            <w:tcW w:w="637" w:type="pct"/>
            <w:tcBorders>
              <w:tl2br w:val="nil"/>
              <w:tr2bl w:val="nil"/>
            </w:tcBorders>
            <w:shd w:val="clear" w:color="auto" w:fill="auto"/>
            <w:vAlign w:val="center"/>
          </w:tcPr>
          <w:p w14:paraId="12A7B43B">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bidi="ar-SA"/>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0.377</w:t>
            </w:r>
          </w:p>
        </w:tc>
        <w:tc>
          <w:tcPr>
            <w:tcW w:w="758" w:type="pct"/>
            <w:tcBorders>
              <w:tl2br w:val="nil"/>
              <w:tr2bl w:val="nil"/>
            </w:tcBorders>
            <w:shd w:val="clear" w:color="auto" w:fill="auto"/>
            <w:vAlign w:val="center"/>
          </w:tcPr>
          <w:p w14:paraId="43B50609">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bidi="ar-SA"/>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1.811</w:t>
            </w:r>
          </w:p>
        </w:tc>
        <w:tc>
          <w:tcPr>
            <w:tcW w:w="2105" w:type="dxa"/>
            <w:tcBorders>
              <w:tl2br w:val="nil"/>
              <w:tr2bl w:val="nil"/>
            </w:tcBorders>
            <w:shd w:val="clear" w:color="auto" w:fill="auto"/>
            <w:vAlign w:val="center"/>
          </w:tcPr>
          <w:p w14:paraId="7FE171EC">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bidi="ar-SA"/>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0.306</w:t>
            </w:r>
          </w:p>
        </w:tc>
        <w:tc>
          <w:tcPr>
            <w:tcW w:w="2164" w:type="dxa"/>
            <w:tcBorders>
              <w:tl2br w:val="nil"/>
              <w:tr2bl w:val="nil"/>
            </w:tcBorders>
            <w:shd w:val="clear" w:color="auto" w:fill="auto"/>
            <w:vAlign w:val="center"/>
          </w:tcPr>
          <w:p w14:paraId="71B824A7">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bidi="ar-SA"/>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1.471</w:t>
            </w:r>
          </w:p>
        </w:tc>
        <w:tc>
          <w:tcPr>
            <w:tcW w:w="373" w:type="pct"/>
            <w:tcBorders>
              <w:tl2br w:val="nil"/>
              <w:tr2bl w:val="nil"/>
            </w:tcBorders>
            <w:shd w:val="clear" w:color="auto" w:fill="auto"/>
            <w:vAlign w:val="center"/>
          </w:tcPr>
          <w:p w14:paraId="502A2E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kern w:val="0"/>
                <w:position w:val="0"/>
                <w:sz w:val="21"/>
                <w:szCs w:val="21"/>
                <w:highlight w:val="none"/>
                <w:lang w:val="en-US" w:eastAsia="zh-CN" w:bidi="ar"/>
              </w:rPr>
            </w:pPr>
            <w:r>
              <w:rPr>
                <w:rFonts w:hint="eastAsia" w:cs="Times New Roman"/>
                <w:color w:val="auto"/>
                <w:spacing w:val="0"/>
                <w:w w:val="100"/>
                <w:kern w:val="0"/>
                <w:position w:val="0"/>
                <w:sz w:val="21"/>
                <w:szCs w:val="21"/>
                <w:highlight w:val="none"/>
                <w:lang w:val="en-US" w:eastAsia="zh-CN" w:bidi="ar"/>
              </w:rPr>
              <w:t>4800</w:t>
            </w:r>
          </w:p>
        </w:tc>
      </w:tr>
      <w:tr w14:paraId="3CD339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417" w:type="pct"/>
            <w:vMerge w:val="continue"/>
            <w:tcBorders>
              <w:tl2br w:val="nil"/>
              <w:tr2bl w:val="nil"/>
            </w:tcBorders>
            <w:shd w:val="clear" w:color="auto" w:fill="auto"/>
            <w:vAlign w:val="center"/>
          </w:tcPr>
          <w:p w14:paraId="6BB5CD79">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spacing w:val="0"/>
                <w:w w:val="100"/>
                <w:kern w:val="0"/>
                <w:position w:val="0"/>
                <w:sz w:val="21"/>
                <w:szCs w:val="21"/>
                <w:highlight w:val="none"/>
                <w:lang w:val="en-US" w:eastAsia="zh-CN"/>
              </w:rPr>
            </w:pPr>
          </w:p>
        </w:tc>
        <w:tc>
          <w:tcPr>
            <w:tcW w:w="770" w:type="pct"/>
            <w:vMerge w:val="continue"/>
            <w:tcBorders>
              <w:tl2br w:val="nil"/>
              <w:tr2bl w:val="nil"/>
            </w:tcBorders>
            <w:shd w:val="clear" w:color="auto" w:fill="auto"/>
            <w:vAlign w:val="center"/>
          </w:tcPr>
          <w:p w14:paraId="21EC60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color w:val="auto"/>
                <w:spacing w:val="0"/>
                <w:w w:val="100"/>
                <w:kern w:val="0"/>
                <w:position w:val="0"/>
                <w:sz w:val="21"/>
                <w:szCs w:val="21"/>
                <w:highlight w:val="none"/>
                <w:lang w:val="en-US" w:eastAsia="zh-CN"/>
              </w:rPr>
            </w:pPr>
          </w:p>
        </w:tc>
        <w:tc>
          <w:tcPr>
            <w:tcW w:w="525" w:type="pct"/>
            <w:tcBorders>
              <w:tl2br w:val="nil"/>
              <w:tr2bl w:val="nil"/>
            </w:tcBorders>
            <w:shd w:val="clear" w:color="auto" w:fill="auto"/>
            <w:vAlign w:val="center"/>
          </w:tcPr>
          <w:p w14:paraId="7109F476">
            <w:pPr>
              <w:pStyle w:val="9"/>
              <w:keepNext w:val="0"/>
              <w:keepLines w:val="0"/>
              <w:pageBreakBefore w:val="0"/>
              <w:widowControl w:val="0"/>
              <w:numPr>
                <w:ilvl w:val="0"/>
                <w:numId w:val="0"/>
              </w:numPr>
              <w:suppressLineNumbers w:val="0"/>
              <w:shd w:val="clear" w:color="auto" w:fill="auto"/>
              <w:tabs>
                <w:tab w:val="left" w:pos="780"/>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21"/>
                <w:position w:val="0"/>
                <w:sz w:val="21"/>
                <w:szCs w:val="21"/>
                <w:highlight w:val="none"/>
                <w:vertAlign w:val="baseline"/>
                <w:lang w:val="en-US" w:eastAsia="zh-CN" w:bidi="ar"/>
              </w:rPr>
            </w:pPr>
            <w:r>
              <w:rPr>
                <w:rFonts w:hint="eastAsia" w:ascii="Times New Roman" w:hAnsi="Times New Roman" w:eastAsia="宋体" w:cs="Times New Roman"/>
                <w:caps w:val="0"/>
                <w:snapToGrid/>
                <w:color w:val="auto"/>
                <w:spacing w:val="0"/>
                <w:w w:val="100"/>
                <w:kern w:val="21"/>
                <w:position w:val="0"/>
                <w:sz w:val="21"/>
                <w:szCs w:val="21"/>
                <w:highlight w:val="none"/>
                <w:vertAlign w:val="baseline"/>
                <w:lang w:val="en-US" w:eastAsia="zh-CN"/>
              </w:rPr>
              <w:t>非甲烷总烃</w:t>
            </w:r>
          </w:p>
        </w:tc>
        <w:tc>
          <w:tcPr>
            <w:tcW w:w="1793" w:type="dxa"/>
            <w:tcBorders>
              <w:tl2br w:val="nil"/>
              <w:tr2bl w:val="nil"/>
            </w:tcBorders>
            <w:shd w:val="clear" w:color="auto" w:fill="auto"/>
            <w:vAlign w:val="center"/>
          </w:tcPr>
          <w:p w14:paraId="1BB0BD7D">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bidi="ar-SA"/>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0.289</w:t>
            </w:r>
          </w:p>
        </w:tc>
        <w:tc>
          <w:tcPr>
            <w:tcW w:w="2133" w:type="dxa"/>
            <w:tcBorders>
              <w:tl2br w:val="nil"/>
              <w:tr2bl w:val="nil"/>
            </w:tcBorders>
            <w:shd w:val="clear" w:color="auto" w:fill="auto"/>
            <w:vAlign w:val="center"/>
          </w:tcPr>
          <w:p w14:paraId="650861DF">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bidi="ar-SA"/>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1.386</w:t>
            </w:r>
          </w:p>
        </w:tc>
        <w:tc>
          <w:tcPr>
            <w:tcW w:w="2105" w:type="dxa"/>
            <w:tcBorders>
              <w:tl2br w:val="nil"/>
              <w:tr2bl w:val="nil"/>
            </w:tcBorders>
            <w:shd w:val="clear" w:color="auto" w:fill="auto"/>
            <w:vAlign w:val="center"/>
          </w:tcPr>
          <w:p w14:paraId="7A668E1F">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bidi="ar-SA"/>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0.289</w:t>
            </w:r>
          </w:p>
        </w:tc>
        <w:tc>
          <w:tcPr>
            <w:tcW w:w="2164" w:type="dxa"/>
            <w:tcBorders>
              <w:tl2br w:val="nil"/>
              <w:tr2bl w:val="nil"/>
            </w:tcBorders>
            <w:shd w:val="clear" w:color="auto" w:fill="auto"/>
            <w:vAlign w:val="center"/>
          </w:tcPr>
          <w:p w14:paraId="6AD7C4E5">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bidi="ar-SA"/>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1.386</w:t>
            </w:r>
          </w:p>
        </w:tc>
        <w:tc>
          <w:tcPr>
            <w:tcW w:w="373" w:type="pct"/>
            <w:tcBorders>
              <w:tl2br w:val="nil"/>
              <w:tr2bl w:val="nil"/>
            </w:tcBorders>
            <w:shd w:val="clear" w:color="auto" w:fill="auto"/>
            <w:vAlign w:val="center"/>
          </w:tcPr>
          <w:p w14:paraId="214A76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kern w:val="0"/>
                <w:position w:val="0"/>
                <w:sz w:val="21"/>
                <w:szCs w:val="21"/>
                <w:highlight w:val="none"/>
                <w:lang w:val="en-US" w:eastAsia="zh-CN" w:bidi="ar"/>
              </w:rPr>
            </w:pPr>
            <w:r>
              <w:rPr>
                <w:rFonts w:hint="eastAsia" w:cs="Times New Roman"/>
                <w:color w:val="auto"/>
                <w:spacing w:val="0"/>
                <w:w w:val="100"/>
                <w:kern w:val="0"/>
                <w:position w:val="0"/>
                <w:sz w:val="21"/>
                <w:szCs w:val="21"/>
                <w:highlight w:val="none"/>
                <w:lang w:val="en-US" w:eastAsia="zh-CN" w:bidi="ar"/>
              </w:rPr>
              <w:t>4800</w:t>
            </w:r>
          </w:p>
        </w:tc>
      </w:tr>
    </w:tbl>
    <w:p w14:paraId="69FFF34D">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b w:val="0"/>
          <w:bCs w:val="0"/>
          <w:caps w:val="0"/>
          <w:snapToGrid/>
          <w:color w:val="auto"/>
          <w:spacing w:val="0"/>
          <w:w w:val="100"/>
          <w:kern w:val="21"/>
          <w:position w:val="0"/>
          <w:szCs w:val="24"/>
          <w:highlight w:val="none"/>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3290DEA9">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3.4.1.3非正常工况废气排放情况</w:t>
      </w:r>
    </w:p>
    <w:p w14:paraId="6BDA9B6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sz w:val="24"/>
          <w:szCs w:val="24"/>
          <w:highlight w:val="none"/>
        </w:rPr>
      </w:pPr>
      <w:r>
        <w:rPr>
          <w:rFonts w:hint="default" w:ascii="Times New Roman" w:hAnsi="Times New Roman" w:eastAsia="宋体" w:cs="Times New Roman"/>
          <w:caps w:val="0"/>
          <w:snapToGrid/>
          <w:color w:val="auto"/>
          <w:spacing w:val="0"/>
          <w:w w:val="100"/>
          <w:kern w:val="21"/>
          <w:position w:val="0"/>
          <w:sz w:val="24"/>
          <w:szCs w:val="24"/>
          <w:highlight w:val="none"/>
        </w:rPr>
        <w:t>本项目在生产过程中可能会出现的非正常工况包括：</w:t>
      </w:r>
      <w:r>
        <w:rPr>
          <w:rFonts w:hint="default" w:ascii="Times New Roman" w:hAnsi="Times New Roman" w:eastAsia="宋体" w:cs="Times New Roman"/>
          <w:caps w:val="0"/>
          <w:snapToGrid/>
          <w:color w:val="auto"/>
          <w:spacing w:val="0"/>
          <w:w w:val="100"/>
          <w:kern w:val="21"/>
          <w:position w:val="0"/>
          <w:sz w:val="24"/>
          <w:szCs w:val="22"/>
          <w:highlight w:val="none"/>
        </w:rPr>
        <w:t>开停工</w:t>
      </w:r>
      <w:r>
        <w:rPr>
          <w:rFonts w:hint="default" w:ascii="Times New Roman" w:hAnsi="Times New Roman" w:eastAsia="宋体" w:cs="Times New Roman"/>
          <w:caps w:val="0"/>
          <w:snapToGrid/>
          <w:color w:val="auto"/>
          <w:spacing w:val="0"/>
          <w:w w:val="100"/>
          <w:kern w:val="21"/>
          <w:position w:val="0"/>
          <w:sz w:val="24"/>
          <w:szCs w:val="24"/>
          <w:highlight w:val="none"/>
        </w:rPr>
        <w:t>、设备检修、操作不正常或污染治理设施达不到应有效率，工艺设备运转异常等情况。出现非正常工况时，应立即停产检修，待所有生产设备，污染治理设施恢复正常后再投入生产。本次评价非正常工况主要考虑废气处理装置出现故障，废气处理装置处理效率下降</w:t>
      </w:r>
      <w:r>
        <w:rPr>
          <w:rFonts w:hint="eastAsia" w:cs="Times New Roman"/>
          <w:caps w:val="0"/>
          <w:snapToGrid/>
          <w:color w:val="auto"/>
          <w:spacing w:val="0"/>
          <w:w w:val="100"/>
          <w:kern w:val="21"/>
          <w:position w:val="0"/>
          <w:sz w:val="24"/>
          <w:szCs w:val="24"/>
          <w:highlight w:val="none"/>
          <w:lang w:val="en-US" w:eastAsia="zh-CN"/>
        </w:rPr>
        <w:t>至0</w:t>
      </w:r>
      <w:r>
        <w:rPr>
          <w:rFonts w:hint="default" w:ascii="Times New Roman" w:hAnsi="Times New Roman" w:eastAsia="宋体" w:cs="Times New Roman"/>
          <w:caps w:val="0"/>
          <w:snapToGrid/>
          <w:color w:val="auto"/>
          <w:spacing w:val="0"/>
          <w:w w:val="100"/>
          <w:kern w:val="21"/>
          <w:position w:val="0"/>
          <w:sz w:val="24"/>
          <w:szCs w:val="24"/>
          <w:highlight w:val="none"/>
        </w:rPr>
        <w:t>，持续时间</w:t>
      </w:r>
      <w:r>
        <w:rPr>
          <w:rFonts w:hint="eastAsia" w:cs="Times New Roman"/>
          <w:caps w:val="0"/>
          <w:snapToGrid/>
          <w:color w:val="auto"/>
          <w:spacing w:val="0"/>
          <w:w w:val="100"/>
          <w:kern w:val="21"/>
          <w:position w:val="0"/>
          <w:sz w:val="24"/>
          <w:szCs w:val="24"/>
          <w:highlight w:val="none"/>
          <w:lang w:val="en-US" w:eastAsia="zh-CN"/>
        </w:rPr>
        <w:t>0.5</w:t>
      </w:r>
      <w:r>
        <w:rPr>
          <w:rFonts w:hint="default" w:ascii="Times New Roman" w:hAnsi="Times New Roman" w:eastAsia="宋体" w:cs="Times New Roman"/>
          <w:caps w:val="0"/>
          <w:snapToGrid/>
          <w:color w:val="auto"/>
          <w:spacing w:val="0"/>
          <w:w w:val="100"/>
          <w:kern w:val="21"/>
          <w:position w:val="0"/>
          <w:sz w:val="24"/>
          <w:szCs w:val="24"/>
          <w:highlight w:val="none"/>
        </w:rPr>
        <w:t>h，当发生上述非正常工况时，大气污染物排放情况见</w:t>
      </w:r>
      <w:r>
        <w:rPr>
          <w:rFonts w:hint="default"/>
          <w:color w:val="auto"/>
          <w:spacing w:val="0"/>
          <w:w w:val="100"/>
          <w:position w:val="0"/>
          <w:highlight w:val="none"/>
        </w:rPr>
        <w:t>表</w:t>
      </w:r>
      <w:r>
        <w:rPr>
          <w:rFonts w:hint="eastAsia"/>
          <w:color w:val="auto"/>
          <w:spacing w:val="0"/>
          <w:w w:val="100"/>
          <w:position w:val="0"/>
          <w:highlight w:val="none"/>
          <w:lang w:val="en-US" w:eastAsia="zh-CN"/>
        </w:rPr>
        <w:t>3.4.1-6</w:t>
      </w:r>
      <w:r>
        <w:rPr>
          <w:rFonts w:hint="default" w:ascii="Times New Roman" w:hAnsi="Times New Roman" w:eastAsia="宋体" w:cs="Times New Roman"/>
          <w:caps w:val="0"/>
          <w:snapToGrid/>
          <w:color w:val="auto"/>
          <w:spacing w:val="0"/>
          <w:w w:val="100"/>
          <w:kern w:val="21"/>
          <w:position w:val="0"/>
          <w:sz w:val="24"/>
          <w:szCs w:val="24"/>
          <w:highlight w:val="none"/>
        </w:rPr>
        <w:t>。</w:t>
      </w:r>
    </w:p>
    <w:p w14:paraId="6FD0EA58">
      <w:pPr>
        <w:pStyle w:val="39"/>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outlineLvl w:val="9"/>
        <w:rPr>
          <w:rFonts w:hint="default" w:ascii="Times New Roman" w:hAnsi="Times New Roman" w:eastAsia="宋体" w:cs="Times New Roman"/>
          <w:b/>
          <w:caps w:val="0"/>
          <w:snapToGrid/>
          <w:color w:val="auto"/>
          <w:spacing w:val="0"/>
          <w:w w:val="100"/>
          <w:kern w:val="21"/>
          <w:position w:val="0"/>
          <w:sz w:val="21"/>
          <w:szCs w:val="21"/>
          <w:highlight w:val="none"/>
          <w:lang w:val="en-US" w:eastAsia="zh-CN" w:bidi="ar-SA"/>
        </w:rPr>
      </w:pPr>
      <w:r>
        <w:rPr>
          <w:rStyle w:val="40"/>
          <w:rFonts w:hint="default"/>
          <w:color w:val="auto"/>
          <w:spacing w:val="0"/>
          <w:w w:val="100"/>
          <w:position w:val="0"/>
          <w:highlight w:val="none"/>
        </w:rPr>
        <w:t>表</w:t>
      </w:r>
      <w:r>
        <w:rPr>
          <w:rStyle w:val="40"/>
          <w:rFonts w:hint="eastAsia"/>
          <w:color w:val="auto"/>
          <w:spacing w:val="0"/>
          <w:w w:val="100"/>
          <w:position w:val="0"/>
          <w:highlight w:val="none"/>
          <w:lang w:val="en-US" w:eastAsia="zh-CN"/>
        </w:rPr>
        <w:t>3.4.1-6</w:t>
      </w:r>
      <w:r>
        <w:rPr>
          <w:rStyle w:val="40"/>
          <w:rFonts w:hint="default"/>
          <w:color w:val="auto"/>
          <w:spacing w:val="0"/>
          <w:w w:val="100"/>
          <w:position w:val="0"/>
          <w:highlight w:val="none"/>
          <w:lang w:val="en-US" w:eastAsia="zh-CN"/>
        </w:rPr>
        <w:t xml:space="preserve">  本项</w:t>
      </w:r>
      <w:r>
        <w:rPr>
          <w:rFonts w:hint="default" w:ascii="Times New Roman" w:hAnsi="Times New Roman" w:eastAsia="宋体" w:cs="Times New Roman"/>
          <w:b/>
          <w:caps w:val="0"/>
          <w:snapToGrid/>
          <w:color w:val="auto"/>
          <w:spacing w:val="0"/>
          <w:w w:val="100"/>
          <w:kern w:val="21"/>
          <w:position w:val="0"/>
          <w:sz w:val="21"/>
          <w:szCs w:val="21"/>
          <w:highlight w:val="none"/>
          <w:lang w:val="en-US" w:eastAsia="zh-CN" w:bidi="ar-SA"/>
        </w:rPr>
        <w:t>目非正常工况废气排放情况一览表</w:t>
      </w:r>
    </w:p>
    <w:tbl>
      <w:tblPr>
        <w:tblStyle w:val="2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841"/>
        <w:gridCol w:w="1451"/>
        <w:gridCol w:w="1466"/>
        <w:gridCol w:w="1141"/>
        <w:gridCol w:w="1203"/>
        <w:gridCol w:w="1208"/>
        <w:gridCol w:w="1110"/>
      </w:tblGrid>
      <w:tr w14:paraId="6552FC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499" w:type="pct"/>
            <w:tcBorders>
              <w:tl2br w:val="nil"/>
              <w:tr2bl w:val="nil"/>
            </w:tcBorders>
            <w:noWrap w:val="0"/>
            <w:vAlign w:val="center"/>
          </w:tcPr>
          <w:p w14:paraId="66AA16D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排气筒</w:t>
            </w:r>
          </w:p>
        </w:tc>
        <w:tc>
          <w:tcPr>
            <w:tcW w:w="861" w:type="pct"/>
            <w:tcBorders>
              <w:tl2br w:val="nil"/>
              <w:tr2bl w:val="nil"/>
            </w:tcBorders>
            <w:noWrap w:val="0"/>
            <w:vAlign w:val="center"/>
          </w:tcPr>
          <w:p w14:paraId="02D68D0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污染物</w:t>
            </w:r>
          </w:p>
        </w:tc>
        <w:tc>
          <w:tcPr>
            <w:tcW w:w="870" w:type="pct"/>
            <w:tcBorders>
              <w:tl2br w:val="nil"/>
              <w:tr2bl w:val="nil"/>
            </w:tcBorders>
            <w:noWrap w:val="0"/>
            <w:vAlign w:val="center"/>
          </w:tcPr>
          <w:p w14:paraId="3D6E3CA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lang w:eastAsia="zh-CN"/>
              </w:rPr>
              <w:t>排放</w:t>
            </w:r>
            <w:r>
              <w:rPr>
                <w:rFonts w:hint="default"/>
                <w:b/>
                <w:bCs/>
                <w:color w:val="auto"/>
                <w:spacing w:val="0"/>
                <w:w w:val="100"/>
                <w:position w:val="0"/>
                <w:highlight w:val="none"/>
              </w:rPr>
              <w:t>浓度（mg/m</w:t>
            </w:r>
            <w:r>
              <w:rPr>
                <w:rFonts w:hint="default"/>
                <w:b/>
                <w:bCs/>
                <w:color w:val="auto"/>
                <w:spacing w:val="0"/>
                <w:w w:val="100"/>
                <w:position w:val="0"/>
                <w:highlight w:val="none"/>
                <w:vertAlign w:val="superscript"/>
                <w:lang w:val="en-US" w:eastAsia="zh-CN"/>
              </w:rPr>
              <w:t>3</w:t>
            </w:r>
            <w:r>
              <w:rPr>
                <w:rFonts w:hint="default"/>
                <w:b/>
                <w:bCs/>
                <w:color w:val="auto"/>
                <w:spacing w:val="0"/>
                <w:w w:val="100"/>
                <w:position w:val="0"/>
                <w:highlight w:val="none"/>
              </w:rPr>
              <w:t>）</w:t>
            </w:r>
          </w:p>
        </w:tc>
        <w:tc>
          <w:tcPr>
            <w:tcW w:w="677" w:type="pct"/>
            <w:tcBorders>
              <w:tl2br w:val="nil"/>
              <w:tr2bl w:val="nil"/>
            </w:tcBorders>
            <w:noWrap w:val="0"/>
            <w:vAlign w:val="center"/>
          </w:tcPr>
          <w:p w14:paraId="2DB3240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lang w:eastAsia="zh-CN"/>
              </w:rPr>
              <w:t>排放</w:t>
            </w:r>
            <w:r>
              <w:rPr>
                <w:rFonts w:hint="eastAsia"/>
                <w:b/>
                <w:bCs/>
                <w:color w:val="auto"/>
                <w:spacing w:val="0"/>
                <w:w w:val="100"/>
                <w:position w:val="0"/>
                <w:highlight w:val="none"/>
                <w:lang w:val="en-US" w:eastAsia="zh-CN"/>
              </w:rPr>
              <w:t>速率</w:t>
            </w:r>
            <w:r>
              <w:rPr>
                <w:rFonts w:hint="default"/>
                <w:b/>
                <w:bCs/>
                <w:color w:val="auto"/>
                <w:spacing w:val="0"/>
                <w:w w:val="100"/>
                <w:position w:val="0"/>
                <w:highlight w:val="none"/>
              </w:rPr>
              <w:t>（kg/h）</w:t>
            </w:r>
          </w:p>
        </w:tc>
        <w:tc>
          <w:tcPr>
            <w:tcW w:w="714" w:type="pct"/>
            <w:tcBorders>
              <w:tl2br w:val="nil"/>
              <w:tr2bl w:val="nil"/>
            </w:tcBorders>
            <w:noWrap w:val="0"/>
            <w:vAlign w:val="center"/>
          </w:tcPr>
          <w:p w14:paraId="19BBFB6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lang w:eastAsia="zh-CN"/>
              </w:rPr>
              <w:t>排放</w:t>
            </w:r>
            <w:r>
              <w:rPr>
                <w:rFonts w:hint="eastAsia"/>
                <w:b/>
                <w:bCs/>
                <w:color w:val="auto"/>
                <w:spacing w:val="0"/>
                <w:w w:val="100"/>
                <w:position w:val="0"/>
                <w:highlight w:val="none"/>
                <w:lang w:val="en-US" w:eastAsia="zh-CN"/>
              </w:rPr>
              <w:t>量</w:t>
            </w:r>
            <w:r>
              <w:rPr>
                <w:rFonts w:hint="default"/>
                <w:b/>
                <w:bCs/>
                <w:color w:val="auto"/>
                <w:spacing w:val="0"/>
                <w:w w:val="100"/>
                <w:position w:val="0"/>
                <w:highlight w:val="none"/>
              </w:rPr>
              <w:t>（</w:t>
            </w:r>
            <w:r>
              <w:rPr>
                <w:rFonts w:hint="eastAsia"/>
                <w:b/>
                <w:bCs/>
                <w:color w:val="auto"/>
                <w:spacing w:val="0"/>
                <w:w w:val="100"/>
                <w:position w:val="0"/>
                <w:highlight w:val="none"/>
                <w:lang w:val="en-US" w:eastAsia="zh-CN"/>
              </w:rPr>
              <w:t>kg</w:t>
            </w:r>
            <w:r>
              <w:rPr>
                <w:rFonts w:hint="default"/>
                <w:b/>
                <w:bCs/>
                <w:color w:val="auto"/>
                <w:spacing w:val="0"/>
                <w:w w:val="100"/>
                <w:position w:val="0"/>
                <w:highlight w:val="none"/>
              </w:rPr>
              <w:t>）</w:t>
            </w:r>
          </w:p>
        </w:tc>
        <w:tc>
          <w:tcPr>
            <w:tcW w:w="717" w:type="pct"/>
            <w:tcBorders>
              <w:tl2br w:val="nil"/>
              <w:tr2bl w:val="nil"/>
            </w:tcBorders>
            <w:noWrap w:val="0"/>
            <w:vAlign w:val="center"/>
          </w:tcPr>
          <w:p w14:paraId="3BCBB39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lang w:eastAsia="zh-CN"/>
              </w:rPr>
            </w:pPr>
            <w:r>
              <w:rPr>
                <w:rFonts w:hint="default"/>
                <w:b/>
                <w:bCs/>
                <w:color w:val="auto"/>
                <w:spacing w:val="0"/>
                <w:w w:val="100"/>
                <w:position w:val="0"/>
                <w:highlight w:val="none"/>
              </w:rPr>
              <w:t>单次持续时间</w:t>
            </w:r>
            <w:r>
              <w:rPr>
                <w:rFonts w:hint="default"/>
                <w:b/>
                <w:bCs/>
                <w:color w:val="auto"/>
                <w:spacing w:val="0"/>
                <w:w w:val="100"/>
                <w:position w:val="0"/>
                <w:highlight w:val="none"/>
                <w:lang w:val="en-US" w:eastAsia="zh-CN"/>
              </w:rPr>
              <w:t>/</w:t>
            </w:r>
            <w:r>
              <w:rPr>
                <w:rFonts w:hint="default"/>
                <w:b/>
                <w:bCs/>
                <w:color w:val="auto"/>
                <w:spacing w:val="0"/>
                <w:w w:val="100"/>
                <w:position w:val="0"/>
                <w:highlight w:val="none"/>
              </w:rPr>
              <w:t>h</w:t>
            </w:r>
          </w:p>
        </w:tc>
        <w:tc>
          <w:tcPr>
            <w:tcW w:w="659" w:type="pct"/>
            <w:tcBorders>
              <w:tl2br w:val="nil"/>
              <w:tr2bl w:val="nil"/>
            </w:tcBorders>
            <w:noWrap w:val="0"/>
            <w:vAlign w:val="center"/>
          </w:tcPr>
          <w:p w14:paraId="3630A71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lang w:eastAsia="zh-CN"/>
              </w:rPr>
            </w:pPr>
            <w:r>
              <w:rPr>
                <w:rFonts w:hint="default"/>
                <w:b/>
                <w:bCs/>
                <w:color w:val="auto"/>
                <w:spacing w:val="0"/>
                <w:w w:val="100"/>
                <w:position w:val="0"/>
                <w:highlight w:val="none"/>
              </w:rPr>
              <w:t>年发生频次</w:t>
            </w:r>
            <w:r>
              <w:rPr>
                <w:rFonts w:hint="default"/>
                <w:b/>
                <w:bCs/>
                <w:color w:val="auto"/>
                <w:spacing w:val="0"/>
                <w:w w:val="100"/>
                <w:position w:val="0"/>
                <w:highlight w:val="none"/>
                <w:lang w:val="en-US" w:eastAsia="zh-CN"/>
              </w:rPr>
              <w:t>/次</w:t>
            </w:r>
          </w:p>
        </w:tc>
      </w:tr>
      <w:tr w14:paraId="552AA4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499" w:type="pct"/>
            <w:tcBorders>
              <w:tl2br w:val="nil"/>
              <w:tr2bl w:val="nil"/>
            </w:tcBorders>
            <w:noWrap w:val="0"/>
            <w:vAlign w:val="center"/>
          </w:tcPr>
          <w:p w14:paraId="379CE5D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eastAsia"/>
                <w:color w:val="auto"/>
                <w:spacing w:val="0"/>
                <w:w w:val="100"/>
                <w:position w:val="0"/>
                <w:highlight w:val="none"/>
                <w:lang w:val="en-US" w:eastAsia="zh-CN"/>
              </w:rPr>
              <w:t>DA001</w:t>
            </w:r>
          </w:p>
        </w:tc>
        <w:tc>
          <w:tcPr>
            <w:tcW w:w="861" w:type="pct"/>
            <w:tcBorders>
              <w:tl2br w:val="nil"/>
              <w:tr2bl w:val="nil"/>
            </w:tcBorders>
            <w:noWrap w:val="0"/>
            <w:vAlign w:val="center"/>
          </w:tcPr>
          <w:p w14:paraId="237C82E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eastAsia"/>
                <w:color w:val="auto"/>
                <w:spacing w:val="0"/>
                <w:w w:val="100"/>
                <w:position w:val="0"/>
                <w:highlight w:val="none"/>
                <w:lang w:val="en-US" w:eastAsia="zh-CN"/>
              </w:rPr>
              <w:t>颗粒物</w:t>
            </w:r>
          </w:p>
        </w:tc>
        <w:tc>
          <w:tcPr>
            <w:tcW w:w="870" w:type="pct"/>
            <w:tcBorders>
              <w:tl2br w:val="nil"/>
              <w:tr2bl w:val="nil"/>
            </w:tcBorders>
            <w:shd w:val="clear" w:color="auto" w:fill="auto"/>
            <w:noWrap w:val="0"/>
            <w:vAlign w:val="center"/>
          </w:tcPr>
          <w:p w14:paraId="56AA489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548.625</w:t>
            </w:r>
          </w:p>
        </w:tc>
        <w:tc>
          <w:tcPr>
            <w:tcW w:w="677" w:type="pct"/>
            <w:tcBorders>
              <w:tl2br w:val="nil"/>
              <w:tr2bl w:val="nil"/>
            </w:tcBorders>
            <w:noWrap w:val="0"/>
            <w:vAlign w:val="center"/>
          </w:tcPr>
          <w:p w14:paraId="1106A95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ascii="Times New Roman" w:hAnsi="Times New Roman"/>
                <w:color w:val="auto"/>
                <w:spacing w:val="0"/>
                <w:w w:val="100"/>
                <w:position w:val="0"/>
                <w:highlight w:val="none"/>
                <w:lang w:val="en-US" w:eastAsia="zh-CN"/>
              </w:rPr>
            </w:pPr>
            <w:r>
              <w:rPr>
                <w:rFonts w:hint="eastAsia"/>
                <w:color w:val="auto"/>
                <w:spacing w:val="0"/>
                <w:w w:val="100"/>
                <w:position w:val="0"/>
                <w:highlight w:val="none"/>
                <w:lang w:val="en-US" w:eastAsia="zh-CN"/>
              </w:rPr>
              <w:t>5.486</w:t>
            </w:r>
          </w:p>
        </w:tc>
        <w:tc>
          <w:tcPr>
            <w:tcW w:w="1203" w:type="dxa"/>
            <w:tcBorders>
              <w:tl2br w:val="nil"/>
              <w:tr2bl w:val="nil"/>
            </w:tcBorders>
            <w:shd w:val="clear" w:color="auto" w:fill="auto"/>
            <w:noWrap w:val="0"/>
            <w:vAlign w:val="center"/>
          </w:tcPr>
          <w:p w14:paraId="5B06862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default" w:ascii="Times New Roman" w:hAnsi="Times New Roman" w:eastAsia="宋体" w:cstheme="minorBidi"/>
                <w:color w:val="auto"/>
                <w:spacing w:val="0"/>
                <w:w w:val="100"/>
                <w:kern w:val="0"/>
                <w:position w:val="0"/>
                <w:sz w:val="21"/>
                <w:szCs w:val="21"/>
                <w:highlight w:val="none"/>
                <w:lang w:val="en-US" w:eastAsia="zh-CN" w:bidi="ar-SA"/>
              </w:rPr>
            </w:pPr>
            <w:r>
              <w:rPr>
                <w:rFonts w:hint="eastAsia"/>
                <w:color w:val="auto"/>
                <w:spacing w:val="0"/>
                <w:w w:val="100"/>
                <w:position w:val="0"/>
                <w:highlight w:val="none"/>
                <w:lang w:val="en-US" w:eastAsia="zh-CN"/>
              </w:rPr>
              <w:t>5.486</w:t>
            </w:r>
          </w:p>
        </w:tc>
        <w:tc>
          <w:tcPr>
            <w:tcW w:w="717" w:type="pct"/>
            <w:tcBorders>
              <w:tl2br w:val="nil"/>
              <w:tr2bl w:val="nil"/>
            </w:tcBorders>
            <w:noWrap w:val="0"/>
            <w:vAlign w:val="center"/>
          </w:tcPr>
          <w:p w14:paraId="7488510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eastAsia="宋体"/>
                <w:color w:val="auto"/>
                <w:spacing w:val="0"/>
                <w:w w:val="100"/>
                <w:position w:val="0"/>
                <w:highlight w:val="none"/>
                <w:lang w:val="en-US" w:eastAsia="zh-CN"/>
              </w:rPr>
            </w:pPr>
            <w:r>
              <w:rPr>
                <w:rFonts w:hint="eastAsia"/>
                <w:color w:val="auto"/>
                <w:spacing w:val="0"/>
                <w:w w:val="100"/>
                <w:position w:val="0"/>
                <w:highlight w:val="none"/>
                <w:lang w:val="en-US" w:eastAsia="zh-CN"/>
              </w:rPr>
              <w:t>0.5</w:t>
            </w:r>
          </w:p>
        </w:tc>
        <w:tc>
          <w:tcPr>
            <w:tcW w:w="659" w:type="pct"/>
            <w:tcBorders>
              <w:tl2br w:val="nil"/>
              <w:tr2bl w:val="nil"/>
            </w:tcBorders>
            <w:noWrap w:val="0"/>
            <w:vAlign w:val="center"/>
          </w:tcPr>
          <w:p w14:paraId="4CF2D63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2</w:t>
            </w:r>
          </w:p>
        </w:tc>
      </w:tr>
      <w:tr w14:paraId="36AFDF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499" w:type="pct"/>
            <w:tcBorders>
              <w:tl2br w:val="nil"/>
              <w:tr2bl w:val="nil"/>
            </w:tcBorders>
            <w:noWrap w:val="0"/>
            <w:vAlign w:val="center"/>
          </w:tcPr>
          <w:p w14:paraId="27F630F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DA002</w:t>
            </w:r>
          </w:p>
        </w:tc>
        <w:tc>
          <w:tcPr>
            <w:tcW w:w="861" w:type="pct"/>
            <w:tcBorders>
              <w:tl2br w:val="nil"/>
              <w:tr2bl w:val="nil"/>
            </w:tcBorders>
            <w:noWrap w:val="0"/>
            <w:vAlign w:val="center"/>
          </w:tcPr>
          <w:p w14:paraId="0CEBCFF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eastAsia"/>
                <w:color w:val="auto"/>
                <w:spacing w:val="0"/>
                <w:w w:val="100"/>
                <w:position w:val="0"/>
                <w:highlight w:val="none"/>
                <w:lang w:val="en-US" w:eastAsia="zh-CN"/>
              </w:rPr>
              <w:t>非甲烷总烃</w:t>
            </w:r>
          </w:p>
        </w:tc>
        <w:tc>
          <w:tcPr>
            <w:tcW w:w="870" w:type="pct"/>
            <w:tcBorders>
              <w:tl2br w:val="nil"/>
              <w:tr2bl w:val="nil"/>
            </w:tcBorders>
            <w:noWrap w:val="0"/>
            <w:vAlign w:val="center"/>
          </w:tcPr>
          <w:p w14:paraId="42C8955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eastAsia" w:cs="Times New Roman"/>
                <w:i w:val="0"/>
                <w:iCs w:val="0"/>
                <w:color w:val="auto"/>
                <w:spacing w:val="0"/>
                <w:w w:val="100"/>
                <w:kern w:val="0"/>
                <w:position w:val="0"/>
                <w:sz w:val="21"/>
                <w:szCs w:val="21"/>
                <w:highlight w:val="none"/>
                <w:u w:val="none"/>
                <w:lang w:val="en-US" w:eastAsia="zh-CN" w:bidi="ar"/>
              </w:rPr>
              <w:t>77</w:t>
            </w:r>
          </w:p>
        </w:tc>
        <w:tc>
          <w:tcPr>
            <w:tcW w:w="677" w:type="pct"/>
            <w:tcBorders>
              <w:tl2br w:val="nil"/>
              <w:tr2bl w:val="nil"/>
            </w:tcBorders>
            <w:noWrap w:val="0"/>
            <w:vAlign w:val="center"/>
          </w:tcPr>
          <w:p w14:paraId="43B4E56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ascii="Times New Roman" w:hAnsi="Times New Roman"/>
                <w:color w:val="auto"/>
                <w:spacing w:val="0"/>
                <w:w w:val="100"/>
                <w:position w:val="0"/>
                <w:highlight w:val="none"/>
                <w:lang w:val="en-US" w:eastAsia="zh-CN"/>
              </w:rPr>
            </w:pPr>
            <w:r>
              <w:rPr>
                <w:rFonts w:hint="eastAsia"/>
                <w:color w:val="auto"/>
                <w:spacing w:val="0"/>
                <w:w w:val="100"/>
                <w:position w:val="0"/>
                <w:highlight w:val="none"/>
                <w:lang w:val="en-US" w:eastAsia="zh-CN"/>
              </w:rPr>
              <w:t>1.155</w:t>
            </w:r>
          </w:p>
        </w:tc>
        <w:tc>
          <w:tcPr>
            <w:tcW w:w="1203" w:type="dxa"/>
            <w:tcBorders>
              <w:tl2br w:val="nil"/>
              <w:tr2bl w:val="nil"/>
            </w:tcBorders>
            <w:shd w:val="clear" w:color="auto" w:fill="auto"/>
            <w:noWrap w:val="0"/>
            <w:vAlign w:val="center"/>
          </w:tcPr>
          <w:p w14:paraId="50811B4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default" w:ascii="Times New Roman" w:hAnsi="Times New Roman" w:eastAsia="宋体" w:cstheme="minorBidi"/>
                <w:color w:val="auto"/>
                <w:spacing w:val="0"/>
                <w:w w:val="100"/>
                <w:kern w:val="0"/>
                <w:position w:val="0"/>
                <w:sz w:val="21"/>
                <w:szCs w:val="21"/>
                <w:highlight w:val="none"/>
                <w:lang w:val="en-US" w:eastAsia="zh-CN" w:bidi="ar-SA"/>
              </w:rPr>
            </w:pPr>
            <w:r>
              <w:rPr>
                <w:rFonts w:hint="eastAsia"/>
                <w:color w:val="auto"/>
                <w:spacing w:val="0"/>
                <w:w w:val="100"/>
                <w:position w:val="0"/>
                <w:highlight w:val="none"/>
                <w:lang w:val="en-US" w:eastAsia="zh-CN"/>
              </w:rPr>
              <w:t>1.155</w:t>
            </w:r>
          </w:p>
        </w:tc>
        <w:tc>
          <w:tcPr>
            <w:tcW w:w="717" w:type="pct"/>
            <w:tcBorders>
              <w:tl2br w:val="nil"/>
              <w:tr2bl w:val="nil"/>
            </w:tcBorders>
            <w:shd w:val="clear" w:color="auto" w:fill="auto"/>
            <w:noWrap w:val="0"/>
            <w:vAlign w:val="center"/>
          </w:tcPr>
          <w:p w14:paraId="3AC1F63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default" w:ascii="Times New Roman" w:hAnsi="Times New Roman" w:eastAsia="宋体" w:cstheme="minorBidi"/>
                <w:color w:val="auto"/>
                <w:spacing w:val="0"/>
                <w:w w:val="100"/>
                <w:kern w:val="0"/>
                <w:position w:val="0"/>
                <w:sz w:val="21"/>
                <w:szCs w:val="21"/>
                <w:highlight w:val="none"/>
                <w:lang w:val="en-US" w:eastAsia="zh-CN" w:bidi="ar-SA"/>
              </w:rPr>
            </w:pPr>
            <w:r>
              <w:rPr>
                <w:rFonts w:hint="eastAsia"/>
                <w:color w:val="auto"/>
                <w:spacing w:val="0"/>
                <w:w w:val="100"/>
                <w:position w:val="0"/>
                <w:highlight w:val="none"/>
                <w:lang w:val="en-US" w:eastAsia="zh-CN"/>
              </w:rPr>
              <w:t>0.5</w:t>
            </w:r>
          </w:p>
        </w:tc>
        <w:tc>
          <w:tcPr>
            <w:tcW w:w="659" w:type="pct"/>
            <w:tcBorders>
              <w:tl2br w:val="nil"/>
              <w:tr2bl w:val="nil"/>
            </w:tcBorders>
            <w:shd w:val="clear" w:color="auto" w:fill="auto"/>
            <w:noWrap w:val="0"/>
            <w:vAlign w:val="center"/>
          </w:tcPr>
          <w:p w14:paraId="57A43B6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default" w:ascii="Times New Roman" w:hAnsi="Times New Roman" w:eastAsia="宋体" w:cstheme="minorBidi"/>
                <w:color w:val="auto"/>
                <w:spacing w:val="0"/>
                <w:w w:val="100"/>
                <w:kern w:val="0"/>
                <w:position w:val="0"/>
                <w:sz w:val="21"/>
                <w:szCs w:val="21"/>
                <w:highlight w:val="none"/>
                <w:lang w:val="en-US" w:eastAsia="zh-CN" w:bidi="ar-SA"/>
              </w:rPr>
            </w:pPr>
            <w:r>
              <w:rPr>
                <w:rFonts w:hint="eastAsia"/>
                <w:color w:val="auto"/>
                <w:spacing w:val="0"/>
                <w:w w:val="100"/>
                <w:position w:val="0"/>
                <w:highlight w:val="none"/>
                <w:lang w:val="en-US" w:eastAsia="zh-CN"/>
              </w:rPr>
              <w:t>2</w:t>
            </w:r>
          </w:p>
        </w:tc>
      </w:tr>
    </w:tbl>
    <w:p w14:paraId="74A6C448">
      <w:pPr>
        <w:pStyle w:val="32"/>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由上表可以看出，非正常工况下，DA001颗粒物和DA002非甲烷总烃超标排放。为防止废气非正常工况排放，建设单位必须加强废气处理设施的管理，定期检修，确保废气处理设施正常运行，在废气处理设备停止运行或出现故障时，产生废气的各工序也必须相应停止生产。为杜绝废气非正常排放，应采取以下措施确保废气达标排放：</w:t>
      </w:r>
    </w:p>
    <w:p w14:paraId="0E742575">
      <w:pPr>
        <w:pStyle w:val="32"/>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①安排专人负责环保设备的日常维护和管理，固定时间检查、汇报情况，及时发现废气处理设备的隐患，确保废气处理系统正常运行；</w:t>
      </w:r>
    </w:p>
    <w:p w14:paraId="27155AB0">
      <w:pPr>
        <w:pStyle w:val="32"/>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②建立健全的环保管理机构，对环保管理人员和技术人员进行岗位培训，委托具有专业资质的环境检测单位对项目排放的各类污染物进行定期检测；</w:t>
      </w:r>
    </w:p>
    <w:p w14:paraId="1F83FFE2">
      <w:pPr>
        <w:pStyle w:val="32"/>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③应定期维护、检修废气处理装置，以保持废气处理装置的净化能力。</w:t>
      </w:r>
    </w:p>
    <w:p w14:paraId="409DC8A7">
      <w:pPr>
        <w:pStyle w:val="4"/>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3.4.2废水</w:t>
      </w:r>
    </w:p>
    <w:p w14:paraId="6E016E92">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本项目</w:t>
      </w:r>
      <w:r>
        <w:rPr>
          <w:rFonts w:hint="eastAsia" w:cs="Times New Roman"/>
          <w:caps w:val="0"/>
          <w:snapToGrid/>
          <w:color w:val="auto"/>
          <w:spacing w:val="0"/>
          <w:w w:val="100"/>
          <w:kern w:val="0"/>
          <w:position w:val="0"/>
          <w:szCs w:val="24"/>
          <w:highlight w:val="none"/>
          <w:lang w:val="en-US" w:eastAsia="zh-CN"/>
        </w:rPr>
        <w:t>生产用水循环使用不外排，</w:t>
      </w:r>
      <w:r>
        <w:rPr>
          <w:rFonts w:hint="default" w:ascii="Times New Roman" w:hAnsi="Times New Roman" w:eastAsia="宋体" w:cs="Times New Roman"/>
          <w:caps w:val="0"/>
          <w:snapToGrid/>
          <w:color w:val="auto"/>
          <w:spacing w:val="0"/>
          <w:w w:val="100"/>
          <w:kern w:val="0"/>
          <w:position w:val="0"/>
          <w:szCs w:val="24"/>
          <w:highlight w:val="none"/>
          <w:lang w:val="en-US" w:eastAsia="zh-CN"/>
        </w:rPr>
        <w:t>运营期</w:t>
      </w:r>
      <w:r>
        <w:rPr>
          <w:rFonts w:hint="eastAsia" w:cs="Times New Roman"/>
          <w:caps w:val="0"/>
          <w:snapToGrid/>
          <w:color w:val="auto"/>
          <w:spacing w:val="0"/>
          <w:w w:val="100"/>
          <w:kern w:val="0"/>
          <w:position w:val="0"/>
          <w:szCs w:val="24"/>
          <w:highlight w:val="none"/>
          <w:lang w:val="en-US" w:eastAsia="zh-CN"/>
        </w:rPr>
        <w:t>排水</w:t>
      </w:r>
      <w:r>
        <w:rPr>
          <w:rFonts w:hint="eastAsia" w:ascii="Times New Roman" w:hAnsi="Times New Roman" w:eastAsia="宋体" w:cs="Times New Roman"/>
          <w:caps w:val="0"/>
          <w:snapToGrid/>
          <w:color w:val="auto"/>
          <w:spacing w:val="0"/>
          <w:w w:val="100"/>
          <w:kern w:val="0"/>
          <w:position w:val="0"/>
          <w:szCs w:val="24"/>
          <w:highlight w:val="none"/>
          <w:lang w:val="en-US" w:eastAsia="zh-CN"/>
        </w:rPr>
        <w:t>主要为生活污水</w:t>
      </w:r>
      <w:r>
        <w:rPr>
          <w:rFonts w:hint="eastAsia" w:cs="Times New Roman"/>
          <w:caps w:val="0"/>
          <w:snapToGrid/>
          <w:color w:val="auto"/>
          <w:spacing w:val="0"/>
          <w:w w:val="100"/>
          <w:kern w:val="0"/>
          <w:position w:val="0"/>
          <w:szCs w:val="24"/>
          <w:highlight w:val="none"/>
          <w:lang w:val="en-US" w:eastAsia="zh-CN"/>
        </w:rPr>
        <w:t>，</w:t>
      </w:r>
      <w:r>
        <w:rPr>
          <w:rFonts w:hint="eastAsia"/>
          <w:color w:val="auto"/>
          <w:spacing w:val="0"/>
          <w:w w:val="100"/>
          <w:position w:val="0"/>
          <w:highlight w:val="none"/>
          <w:lang w:val="en-US" w:eastAsia="zh-CN"/>
        </w:rPr>
        <w:t>直接</w:t>
      </w:r>
      <w:r>
        <w:rPr>
          <w:rFonts w:hint="default"/>
          <w:color w:val="auto"/>
          <w:spacing w:val="0"/>
          <w:w w:val="100"/>
          <w:position w:val="0"/>
          <w:highlight w:val="none"/>
          <w:lang w:val="en-US" w:eastAsia="zh-CN"/>
        </w:rPr>
        <w:t>排入园区污水管网，最终排入</w:t>
      </w:r>
      <w:r>
        <w:rPr>
          <w:rFonts w:hint="eastAsia"/>
          <w:color w:val="auto"/>
          <w:spacing w:val="0"/>
          <w:w w:val="100"/>
          <w:position w:val="0"/>
          <w:highlight w:val="none"/>
          <w:lang w:val="en-US" w:eastAsia="zh-CN"/>
        </w:rPr>
        <w:t>阜西区污水处理厂</w:t>
      </w:r>
      <w:r>
        <w:rPr>
          <w:rFonts w:hint="default"/>
          <w:color w:val="auto"/>
          <w:spacing w:val="0"/>
          <w:w w:val="100"/>
          <w:position w:val="0"/>
          <w:highlight w:val="none"/>
          <w:lang w:val="en-US" w:eastAsia="zh-CN"/>
        </w:rPr>
        <w:t>处理</w:t>
      </w:r>
    </w:p>
    <w:p w14:paraId="59542439">
      <w:pPr>
        <w:pStyle w:val="32"/>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r>
        <w:rPr>
          <w:rFonts w:hint="eastAsia" w:ascii="Times New Roman" w:hAnsi="Times New Roman" w:eastAsia="宋体" w:cs="Times New Roman"/>
          <w:caps w:val="0"/>
          <w:snapToGrid/>
          <w:color w:val="auto"/>
          <w:spacing w:val="0"/>
          <w:w w:val="100"/>
          <w:kern w:val="0"/>
          <w:position w:val="0"/>
          <w:szCs w:val="24"/>
          <w:highlight w:val="none"/>
          <w:lang w:val="en-US" w:eastAsia="zh-CN"/>
        </w:rPr>
        <w:t>本项目</w:t>
      </w:r>
      <w:r>
        <w:rPr>
          <w:rFonts w:hint="default" w:ascii="Times New Roman" w:hAnsi="Times New Roman" w:eastAsia="宋体" w:cs="Times New Roman"/>
          <w:caps w:val="0"/>
          <w:snapToGrid/>
          <w:color w:val="auto"/>
          <w:spacing w:val="0"/>
          <w:w w:val="100"/>
          <w:kern w:val="0"/>
          <w:position w:val="0"/>
          <w:szCs w:val="24"/>
          <w:highlight w:val="none"/>
        </w:rPr>
        <w:t>生活</w:t>
      </w:r>
      <w:r>
        <w:rPr>
          <w:rFonts w:hint="eastAsia" w:ascii="Times New Roman" w:hAnsi="Times New Roman" w:eastAsia="宋体" w:cs="Times New Roman"/>
          <w:caps w:val="0"/>
          <w:snapToGrid/>
          <w:color w:val="auto"/>
          <w:spacing w:val="0"/>
          <w:w w:val="100"/>
          <w:kern w:val="0"/>
          <w:position w:val="0"/>
          <w:szCs w:val="24"/>
          <w:highlight w:val="none"/>
          <w:lang w:val="en-US" w:eastAsia="zh-CN"/>
        </w:rPr>
        <w:t>污水产生量均为</w:t>
      </w:r>
      <w:r>
        <w:rPr>
          <w:rFonts w:hint="default" w:ascii="Times New Roman" w:hAnsi="Times New Roman" w:eastAsia="宋体" w:cs="Times New Roman"/>
          <w:caps w:val="0"/>
          <w:snapToGrid/>
          <w:color w:val="auto"/>
          <w:spacing w:val="0"/>
          <w:w w:val="100"/>
          <w:kern w:val="0"/>
          <w:position w:val="0"/>
          <w:szCs w:val="24"/>
          <w:highlight w:val="none"/>
        </w:rPr>
        <w:t>水量为</w:t>
      </w:r>
      <w:r>
        <w:rPr>
          <w:rFonts w:hint="eastAsia"/>
          <w:color w:val="auto"/>
          <w:spacing w:val="0"/>
          <w:w w:val="100"/>
          <w:position w:val="0"/>
          <w:highlight w:val="none"/>
          <w:lang w:val="en-US" w:eastAsia="zh-CN"/>
        </w:rPr>
        <w:t>1.1m</w:t>
      </w:r>
      <w:r>
        <w:rPr>
          <w:rFonts w:hint="eastAsia"/>
          <w:color w:val="auto"/>
          <w:spacing w:val="0"/>
          <w:w w:val="100"/>
          <w:position w:val="0"/>
          <w:highlight w:val="none"/>
          <w:vertAlign w:val="superscript"/>
          <w:lang w:val="en-US" w:eastAsia="zh-CN"/>
        </w:rPr>
        <w:t>3</w:t>
      </w:r>
      <w:r>
        <w:rPr>
          <w:rFonts w:hint="eastAsia"/>
          <w:color w:val="auto"/>
          <w:spacing w:val="0"/>
          <w:w w:val="100"/>
          <w:position w:val="0"/>
          <w:highlight w:val="none"/>
          <w:lang w:val="en-US" w:eastAsia="zh-CN"/>
        </w:rPr>
        <w:t>/d（330m</w:t>
      </w:r>
      <w:r>
        <w:rPr>
          <w:rFonts w:hint="eastAsia"/>
          <w:color w:val="auto"/>
          <w:spacing w:val="0"/>
          <w:w w:val="100"/>
          <w:position w:val="0"/>
          <w:highlight w:val="none"/>
          <w:vertAlign w:val="superscript"/>
          <w:lang w:val="en-US" w:eastAsia="zh-CN"/>
        </w:rPr>
        <w:t>3</w:t>
      </w:r>
      <w:r>
        <w:rPr>
          <w:rFonts w:hint="eastAsia"/>
          <w:color w:val="auto"/>
          <w:spacing w:val="0"/>
          <w:w w:val="100"/>
          <w:position w:val="0"/>
          <w:highlight w:val="none"/>
          <w:lang w:val="en-US" w:eastAsia="zh-CN"/>
        </w:rPr>
        <w:t>/a），</w:t>
      </w:r>
      <w:r>
        <w:rPr>
          <w:rFonts w:hint="default" w:ascii="Times New Roman" w:hAnsi="Times New Roman" w:eastAsia="宋体" w:cs="Times New Roman"/>
          <w:caps w:val="0"/>
          <w:snapToGrid/>
          <w:color w:val="auto"/>
          <w:spacing w:val="0"/>
          <w:w w:val="100"/>
          <w:kern w:val="0"/>
          <w:position w:val="0"/>
          <w:szCs w:val="24"/>
          <w:highlight w:val="none"/>
        </w:rPr>
        <w:t>排入</w:t>
      </w:r>
      <w:r>
        <w:rPr>
          <w:rFonts w:hint="eastAsia" w:ascii="Times New Roman" w:hAnsi="Times New Roman" w:eastAsia="宋体" w:cs="Times New Roman"/>
          <w:caps w:val="0"/>
          <w:snapToGrid/>
          <w:color w:val="auto"/>
          <w:spacing w:val="0"/>
          <w:w w:val="100"/>
          <w:kern w:val="0"/>
          <w:position w:val="0"/>
          <w:szCs w:val="24"/>
          <w:highlight w:val="none"/>
          <w:lang w:val="en-US" w:eastAsia="zh-CN"/>
        </w:rPr>
        <w:t>污水管网，纳入</w:t>
      </w:r>
      <w:r>
        <w:rPr>
          <w:rFonts w:hint="eastAsia" w:cs="Times New Roman"/>
          <w:caps w:val="0"/>
          <w:snapToGrid/>
          <w:color w:val="auto"/>
          <w:spacing w:val="0"/>
          <w:w w:val="100"/>
          <w:kern w:val="0"/>
          <w:position w:val="0"/>
          <w:szCs w:val="24"/>
          <w:highlight w:val="none"/>
          <w:lang w:val="en-US" w:eastAsia="zh-CN"/>
        </w:rPr>
        <w:t>甘泉堡工业园区中小微企业创新区</w:t>
      </w:r>
      <w:r>
        <w:rPr>
          <w:rFonts w:hint="eastAsia"/>
          <w:color w:val="auto"/>
          <w:spacing w:val="0"/>
          <w:w w:val="100"/>
          <w:position w:val="0"/>
          <w:highlight w:val="none"/>
          <w:lang w:val="en-US" w:eastAsia="zh-CN"/>
        </w:rPr>
        <w:t>阜西区污水处理厂</w:t>
      </w:r>
      <w:r>
        <w:rPr>
          <w:rFonts w:hint="eastAsia" w:ascii="Times New Roman" w:hAnsi="Times New Roman" w:eastAsia="宋体" w:cs="Times New Roman"/>
          <w:caps w:val="0"/>
          <w:snapToGrid/>
          <w:color w:val="auto"/>
          <w:spacing w:val="0"/>
          <w:w w:val="100"/>
          <w:kern w:val="0"/>
          <w:position w:val="0"/>
          <w:szCs w:val="24"/>
          <w:highlight w:val="none"/>
          <w:lang w:val="en-US" w:eastAsia="zh-CN"/>
        </w:rPr>
        <w:t>处理</w:t>
      </w:r>
      <w:r>
        <w:rPr>
          <w:rFonts w:hint="default" w:ascii="Times New Roman" w:hAnsi="Times New Roman" w:eastAsia="宋体" w:cs="Times New Roman"/>
          <w:caps w:val="0"/>
          <w:snapToGrid/>
          <w:color w:val="auto"/>
          <w:spacing w:val="0"/>
          <w:w w:val="100"/>
          <w:kern w:val="0"/>
          <w:position w:val="0"/>
          <w:szCs w:val="24"/>
          <w:highlight w:val="none"/>
        </w:rPr>
        <w:t>。废水产生量及产生水质详见表</w:t>
      </w:r>
      <w:r>
        <w:rPr>
          <w:rFonts w:hint="default" w:ascii="Times New Roman" w:hAnsi="Times New Roman" w:eastAsia="宋体" w:cs="Times New Roman"/>
          <w:caps w:val="0"/>
          <w:snapToGrid/>
          <w:color w:val="auto"/>
          <w:spacing w:val="0"/>
          <w:w w:val="100"/>
          <w:kern w:val="0"/>
          <w:position w:val="0"/>
          <w:szCs w:val="24"/>
          <w:highlight w:val="none"/>
          <w:lang w:val="en-US" w:eastAsia="zh-CN"/>
        </w:rPr>
        <w:t>3.</w:t>
      </w:r>
      <w:r>
        <w:rPr>
          <w:rFonts w:hint="eastAsia" w:cs="Times New Roman"/>
          <w:caps w:val="0"/>
          <w:snapToGrid/>
          <w:color w:val="auto"/>
          <w:spacing w:val="0"/>
          <w:w w:val="100"/>
          <w:kern w:val="0"/>
          <w:position w:val="0"/>
          <w:szCs w:val="24"/>
          <w:highlight w:val="none"/>
          <w:lang w:val="en-US" w:eastAsia="zh-CN"/>
        </w:rPr>
        <w:t>4.2-1</w:t>
      </w:r>
      <w:r>
        <w:rPr>
          <w:rFonts w:hint="default" w:ascii="Times New Roman" w:hAnsi="Times New Roman" w:eastAsia="宋体" w:cs="Times New Roman"/>
          <w:caps w:val="0"/>
          <w:snapToGrid/>
          <w:color w:val="auto"/>
          <w:spacing w:val="0"/>
          <w:w w:val="100"/>
          <w:kern w:val="0"/>
          <w:position w:val="0"/>
          <w:szCs w:val="24"/>
          <w:highlight w:val="none"/>
        </w:rPr>
        <w:t>。</w:t>
      </w:r>
    </w:p>
    <w:p w14:paraId="3625255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表</w:t>
      </w:r>
      <w:r>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rPr>
        <w:t>3.</w:t>
      </w:r>
      <w:r>
        <w:rPr>
          <w:rFonts w:hint="eastAsia" w:cs="Times New Roman"/>
          <w:b/>
          <w:bCs/>
          <w:caps w:val="0"/>
          <w:snapToGrid/>
          <w:color w:val="auto"/>
          <w:spacing w:val="0"/>
          <w:w w:val="100"/>
          <w:kern w:val="0"/>
          <w:position w:val="0"/>
          <w:sz w:val="21"/>
          <w:szCs w:val="21"/>
          <w:highlight w:val="none"/>
          <w:lang w:val="en-US" w:eastAsia="zh-CN"/>
        </w:rPr>
        <w:t>4.2-1</w:t>
      </w:r>
      <w:r>
        <w:rPr>
          <w:rFonts w:hint="default" w:ascii="Times New Roman" w:hAnsi="Times New Roman" w:eastAsia="宋体" w:cs="Times New Roman"/>
          <w:b/>
          <w:bCs/>
          <w:caps w:val="0"/>
          <w:snapToGrid/>
          <w:color w:val="auto"/>
          <w:spacing w:val="0"/>
          <w:w w:val="100"/>
          <w:kern w:val="0"/>
          <w:position w:val="0"/>
          <w:sz w:val="21"/>
          <w:szCs w:val="21"/>
          <w:highlight w:val="none"/>
        </w:rPr>
        <w:t xml:space="preserve">  </w:t>
      </w:r>
      <w:r>
        <w:rPr>
          <w:rFonts w:hint="eastAsia" w:ascii="Times New Roman" w:hAnsi="Times New Roman" w:eastAsia="宋体" w:cs="Times New Roman"/>
          <w:b/>
          <w:bCs/>
          <w:caps w:val="0"/>
          <w:snapToGrid/>
          <w:color w:val="auto"/>
          <w:spacing w:val="0"/>
          <w:w w:val="100"/>
          <w:kern w:val="0"/>
          <w:position w:val="0"/>
          <w:sz w:val="21"/>
          <w:szCs w:val="21"/>
          <w:highlight w:val="none"/>
          <w:lang w:val="en-US" w:eastAsia="zh-CN"/>
        </w:rPr>
        <w:t>生活污水</w:t>
      </w:r>
      <w:r>
        <w:rPr>
          <w:rFonts w:hint="default" w:ascii="Times New Roman" w:hAnsi="Times New Roman" w:eastAsia="宋体" w:cs="Times New Roman"/>
          <w:b/>
          <w:bCs/>
          <w:caps w:val="0"/>
          <w:snapToGrid/>
          <w:color w:val="auto"/>
          <w:spacing w:val="0"/>
          <w:w w:val="100"/>
          <w:kern w:val="0"/>
          <w:position w:val="0"/>
          <w:sz w:val="21"/>
          <w:szCs w:val="21"/>
          <w:highlight w:val="none"/>
        </w:rPr>
        <w:t>产生及排放情况汇总表</w:t>
      </w:r>
    </w:p>
    <w:tbl>
      <w:tblPr>
        <w:tblStyle w:val="2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57" w:type="dxa"/>
          <w:left w:w="57" w:type="dxa"/>
          <w:bottom w:w="57" w:type="dxa"/>
          <w:right w:w="57" w:type="dxa"/>
        </w:tblCellMar>
      </w:tblPr>
      <w:tblGrid>
        <w:gridCol w:w="500"/>
        <w:gridCol w:w="501"/>
        <w:gridCol w:w="523"/>
        <w:gridCol w:w="780"/>
        <w:gridCol w:w="721"/>
        <w:gridCol w:w="832"/>
        <w:gridCol w:w="617"/>
        <w:gridCol w:w="1033"/>
        <w:gridCol w:w="900"/>
        <w:gridCol w:w="1050"/>
        <w:gridCol w:w="963"/>
      </w:tblGrid>
      <w:tr w14:paraId="40311F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96" w:type="pct"/>
            <w:vMerge w:val="restart"/>
            <w:tcBorders>
              <w:tl2br w:val="nil"/>
              <w:tr2bl w:val="nil"/>
            </w:tcBorders>
            <w:noWrap/>
            <w:vAlign w:val="center"/>
          </w:tcPr>
          <w:p w14:paraId="159710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lang w:bidi="ar"/>
              </w:rPr>
              <w:t>污水来源</w:t>
            </w:r>
          </w:p>
        </w:tc>
        <w:tc>
          <w:tcPr>
            <w:tcW w:w="297" w:type="pct"/>
            <w:vMerge w:val="restart"/>
            <w:tcBorders>
              <w:tl2br w:val="nil"/>
              <w:tr2bl w:val="nil"/>
            </w:tcBorders>
            <w:noWrap/>
            <w:vAlign w:val="center"/>
          </w:tcPr>
          <w:p w14:paraId="1BDA51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lang w:bidi="ar"/>
              </w:rPr>
              <w:t>排放方式</w:t>
            </w:r>
          </w:p>
        </w:tc>
        <w:tc>
          <w:tcPr>
            <w:tcW w:w="310" w:type="pct"/>
            <w:vMerge w:val="restart"/>
            <w:tcBorders>
              <w:tl2br w:val="nil"/>
              <w:tr2bl w:val="nil"/>
            </w:tcBorders>
            <w:noWrap/>
            <w:vAlign w:val="center"/>
          </w:tcPr>
          <w:p w14:paraId="76E28B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lang w:bidi="ar"/>
              </w:rPr>
              <w:t>废水量（t/a）</w:t>
            </w:r>
          </w:p>
        </w:tc>
        <w:tc>
          <w:tcPr>
            <w:tcW w:w="463" w:type="pct"/>
            <w:vMerge w:val="restart"/>
            <w:tcBorders>
              <w:tl2br w:val="nil"/>
              <w:tr2bl w:val="nil"/>
            </w:tcBorders>
            <w:noWrap/>
            <w:vAlign w:val="center"/>
          </w:tcPr>
          <w:p w14:paraId="44C23C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lang w:bidi="ar"/>
              </w:rPr>
              <w:t>污染物名称</w:t>
            </w:r>
          </w:p>
        </w:tc>
        <w:tc>
          <w:tcPr>
            <w:tcW w:w="922" w:type="pct"/>
            <w:gridSpan w:val="2"/>
            <w:tcBorders>
              <w:tl2br w:val="nil"/>
              <w:tr2bl w:val="nil"/>
            </w:tcBorders>
            <w:noWrap/>
            <w:vAlign w:val="center"/>
          </w:tcPr>
          <w:p w14:paraId="37B632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lang w:bidi="ar"/>
              </w:rPr>
              <w:t>污染物产生量</w:t>
            </w:r>
          </w:p>
        </w:tc>
        <w:tc>
          <w:tcPr>
            <w:tcW w:w="366" w:type="pct"/>
            <w:vMerge w:val="restart"/>
            <w:tcBorders>
              <w:tl2br w:val="nil"/>
              <w:tr2bl w:val="nil"/>
            </w:tcBorders>
            <w:noWrap/>
            <w:vAlign w:val="center"/>
          </w:tcPr>
          <w:p w14:paraId="454ACE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lang w:bidi="ar"/>
              </w:rPr>
              <w:t>治理措施</w:t>
            </w:r>
          </w:p>
        </w:tc>
        <w:tc>
          <w:tcPr>
            <w:tcW w:w="1147" w:type="pct"/>
            <w:gridSpan w:val="2"/>
            <w:tcBorders>
              <w:tl2br w:val="nil"/>
              <w:tr2bl w:val="nil"/>
            </w:tcBorders>
            <w:noWrap/>
            <w:vAlign w:val="center"/>
          </w:tcPr>
          <w:p w14:paraId="0BFEB6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lang w:bidi="ar"/>
              </w:rPr>
              <w:t>污染物排放量</w:t>
            </w:r>
          </w:p>
        </w:tc>
        <w:tc>
          <w:tcPr>
            <w:tcW w:w="623" w:type="pct"/>
            <w:vMerge w:val="restart"/>
            <w:tcBorders>
              <w:tl2br w:val="nil"/>
              <w:tr2bl w:val="nil"/>
            </w:tcBorders>
            <w:noWrap w:val="0"/>
            <w:vAlign w:val="center"/>
          </w:tcPr>
          <w:p w14:paraId="4128BD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lang w:bidi="ar"/>
              </w:rPr>
              <w:t>标准浓度限值（mg/L）</w:t>
            </w:r>
          </w:p>
        </w:tc>
        <w:tc>
          <w:tcPr>
            <w:tcW w:w="571" w:type="pct"/>
            <w:vMerge w:val="restart"/>
            <w:tcBorders>
              <w:tl2br w:val="nil"/>
              <w:tr2bl w:val="nil"/>
            </w:tcBorders>
            <w:noWrap/>
            <w:vAlign w:val="center"/>
          </w:tcPr>
          <w:p w14:paraId="38C1C0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lang w:bidi="ar"/>
              </w:rPr>
              <w:t>排放去向</w:t>
            </w:r>
          </w:p>
        </w:tc>
      </w:tr>
      <w:tr w14:paraId="3FA18C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96" w:type="pct"/>
            <w:vMerge w:val="continue"/>
            <w:tcBorders>
              <w:tl2br w:val="nil"/>
              <w:tr2bl w:val="nil"/>
            </w:tcBorders>
            <w:noWrap/>
            <w:vAlign w:val="center"/>
          </w:tcPr>
          <w:p w14:paraId="5D3693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297" w:type="pct"/>
            <w:vMerge w:val="continue"/>
            <w:tcBorders>
              <w:tl2br w:val="nil"/>
              <w:tr2bl w:val="nil"/>
            </w:tcBorders>
            <w:noWrap/>
            <w:vAlign w:val="center"/>
          </w:tcPr>
          <w:p w14:paraId="783712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310" w:type="pct"/>
            <w:vMerge w:val="continue"/>
            <w:tcBorders>
              <w:tl2br w:val="nil"/>
              <w:tr2bl w:val="nil"/>
            </w:tcBorders>
            <w:noWrap/>
            <w:vAlign w:val="center"/>
          </w:tcPr>
          <w:p w14:paraId="7B1231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463" w:type="pct"/>
            <w:vMerge w:val="continue"/>
            <w:tcBorders>
              <w:tl2br w:val="nil"/>
              <w:tr2bl w:val="nil"/>
            </w:tcBorders>
            <w:noWrap/>
            <w:vAlign w:val="center"/>
          </w:tcPr>
          <w:p w14:paraId="309072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428" w:type="pct"/>
            <w:tcBorders>
              <w:tl2br w:val="nil"/>
              <w:tr2bl w:val="nil"/>
            </w:tcBorders>
            <w:noWrap/>
            <w:vAlign w:val="center"/>
          </w:tcPr>
          <w:p w14:paraId="7D9A60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lang w:bidi="ar"/>
              </w:rPr>
              <w:t>浓度（mg/L）</w:t>
            </w:r>
          </w:p>
        </w:tc>
        <w:tc>
          <w:tcPr>
            <w:tcW w:w="494" w:type="pct"/>
            <w:tcBorders>
              <w:tl2br w:val="nil"/>
              <w:tr2bl w:val="nil"/>
            </w:tcBorders>
            <w:noWrap/>
            <w:vAlign w:val="center"/>
          </w:tcPr>
          <w:p w14:paraId="05C36B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lang w:bidi="ar"/>
              </w:rPr>
              <w:t>产生量（t/a）</w:t>
            </w:r>
          </w:p>
        </w:tc>
        <w:tc>
          <w:tcPr>
            <w:tcW w:w="366" w:type="pct"/>
            <w:vMerge w:val="continue"/>
            <w:tcBorders>
              <w:tl2br w:val="nil"/>
              <w:tr2bl w:val="nil"/>
            </w:tcBorders>
            <w:noWrap/>
            <w:vAlign w:val="center"/>
          </w:tcPr>
          <w:p w14:paraId="70DB7E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613" w:type="pct"/>
            <w:tcBorders>
              <w:tl2br w:val="nil"/>
              <w:tr2bl w:val="nil"/>
            </w:tcBorders>
            <w:noWrap/>
            <w:vAlign w:val="center"/>
          </w:tcPr>
          <w:p w14:paraId="57165E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lang w:bidi="ar"/>
              </w:rPr>
              <w:t>浓度（mg/L）</w:t>
            </w:r>
          </w:p>
        </w:tc>
        <w:tc>
          <w:tcPr>
            <w:tcW w:w="534" w:type="pct"/>
            <w:tcBorders>
              <w:tl2br w:val="nil"/>
              <w:tr2bl w:val="nil"/>
            </w:tcBorders>
            <w:noWrap/>
            <w:vAlign w:val="center"/>
          </w:tcPr>
          <w:p w14:paraId="3F24AA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lang w:bidi="ar"/>
              </w:rPr>
              <w:t>排放量（t/a）</w:t>
            </w:r>
          </w:p>
        </w:tc>
        <w:tc>
          <w:tcPr>
            <w:tcW w:w="623" w:type="pct"/>
            <w:vMerge w:val="continue"/>
            <w:tcBorders>
              <w:tl2br w:val="nil"/>
              <w:tr2bl w:val="nil"/>
            </w:tcBorders>
            <w:noWrap w:val="0"/>
            <w:vAlign w:val="center"/>
          </w:tcPr>
          <w:p w14:paraId="2F41FD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571" w:type="pct"/>
            <w:vMerge w:val="continue"/>
            <w:tcBorders>
              <w:tl2br w:val="nil"/>
              <w:tr2bl w:val="nil"/>
            </w:tcBorders>
            <w:noWrap/>
            <w:vAlign w:val="center"/>
          </w:tcPr>
          <w:p w14:paraId="4C5126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r>
      <w:tr w14:paraId="4DA9DC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96" w:type="pct"/>
            <w:vMerge w:val="restart"/>
            <w:tcBorders>
              <w:tl2br w:val="nil"/>
              <w:tr2bl w:val="nil"/>
            </w:tcBorders>
            <w:noWrap w:val="0"/>
            <w:vAlign w:val="center"/>
          </w:tcPr>
          <w:p w14:paraId="54DA7D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lang w:bidi="ar"/>
              </w:rPr>
              <w:t>生活污水</w:t>
            </w:r>
          </w:p>
        </w:tc>
        <w:tc>
          <w:tcPr>
            <w:tcW w:w="297" w:type="pct"/>
            <w:vMerge w:val="restart"/>
            <w:tcBorders>
              <w:tl2br w:val="nil"/>
              <w:tr2bl w:val="nil"/>
            </w:tcBorders>
            <w:noWrap w:val="0"/>
            <w:vAlign w:val="center"/>
          </w:tcPr>
          <w:p w14:paraId="675FAB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lang w:bidi="ar"/>
              </w:rPr>
              <w:t>间歇排放</w:t>
            </w:r>
          </w:p>
        </w:tc>
        <w:tc>
          <w:tcPr>
            <w:tcW w:w="310" w:type="pct"/>
            <w:vMerge w:val="restart"/>
            <w:tcBorders>
              <w:tl2br w:val="nil"/>
              <w:tr2bl w:val="nil"/>
            </w:tcBorders>
            <w:noWrap/>
            <w:vAlign w:val="center"/>
          </w:tcPr>
          <w:p w14:paraId="2A6038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330</w:t>
            </w:r>
          </w:p>
        </w:tc>
        <w:tc>
          <w:tcPr>
            <w:tcW w:w="463" w:type="pct"/>
            <w:tcBorders>
              <w:tl2br w:val="nil"/>
              <w:tr2bl w:val="nil"/>
            </w:tcBorders>
            <w:noWrap/>
            <w:vAlign w:val="center"/>
          </w:tcPr>
          <w:p w14:paraId="55CA95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eastAsia" w:ascii="Times New Roman" w:hAnsi="Times New Roman" w:eastAsia="宋体" w:cs="Times New Roman"/>
                <w:caps w:val="0"/>
                <w:snapToGrid/>
                <w:color w:val="auto"/>
                <w:spacing w:val="0"/>
                <w:w w:val="100"/>
                <w:kern w:val="0"/>
                <w:position w:val="0"/>
                <w:sz w:val="21"/>
                <w:szCs w:val="21"/>
                <w:highlight w:val="none"/>
                <w:lang w:eastAsia="zh-CN"/>
              </w:rPr>
            </w:pPr>
            <w:r>
              <w:rPr>
                <w:rFonts w:hint="eastAsia" w:cs="Times New Roman"/>
                <w:caps w:val="0"/>
                <w:snapToGrid/>
                <w:color w:val="auto"/>
                <w:spacing w:val="0"/>
                <w:w w:val="100"/>
                <w:kern w:val="0"/>
                <w:position w:val="0"/>
                <w:sz w:val="21"/>
                <w:szCs w:val="21"/>
                <w:highlight w:val="none"/>
                <w:lang w:eastAsia="zh-CN" w:bidi="ar"/>
              </w:rPr>
              <w:t>CODcr</w:t>
            </w:r>
          </w:p>
        </w:tc>
        <w:tc>
          <w:tcPr>
            <w:tcW w:w="428" w:type="pct"/>
            <w:tcBorders>
              <w:tl2br w:val="nil"/>
              <w:tr2bl w:val="nil"/>
            </w:tcBorders>
            <w:noWrap/>
            <w:vAlign w:val="center"/>
          </w:tcPr>
          <w:p w14:paraId="192FE3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i w:val="0"/>
                <w:iCs w:val="0"/>
                <w:color w:val="auto"/>
                <w:spacing w:val="0"/>
                <w:w w:val="100"/>
                <w:kern w:val="0"/>
                <w:position w:val="0"/>
                <w:sz w:val="21"/>
                <w:szCs w:val="21"/>
                <w:highlight w:val="none"/>
                <w:u w:val="none"/>
                <w:lang w:val="en-US" w:eastAsia="zh-CN" w:bidi="ar"/>
              </w:rPr>
              <w:t>400</w:t>
            </w:r>
          </w:p>
        </w:tc>
        <w:tc>
          <w:tcPr>
            <w:tcW w:w="494" w:type="pct"/>
            <w:tcBorders>
              <w:tl2br w:val="nil"/>
              <w:tr2bl w:val="nil"/>
            </w:tcBorders>
            <w:noWrap/>
            <w:vAlign w:val="center"/>
          </w:tcPr>
          <w:p w14:paraId="62F737D6">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
              </w:rPr>
            </w:pP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0.132</w:t>
            </w:r>
          </w:p>
        </w:tc>
        <w:tc>
          <w:tcPr>
            <w:tcW w:w="366" w:type="pct"/>
            <w:vMerge w:val="restart"/>
            <w:tcBorders>
              <w:tl2br w:val="nil"/>
              <w:tr2bl w:val="nil"/>
            </w:tcBorders>
            <w:noWrap/>
            <w:vAlign w:val="center"/>
          </w:tcPr>
          <w:p w14:paraId="7F2DA9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
              </w:rPr>
              <w:t>/</w:t>
            </w:r>
          </w:p>
        </w:tc>
        <w:tc>
          <w:tcPr>
            <w:tcW w:w="613" w:type="pct"/>
            <w:tcBorders>
              <w:tl2br w:val="nil"/>
              <w:tr2bl w:val="nil"/>
            </w:tcBorders>
            <w:noWrap/>
            <w:vAlign w:val="center"/>
          </w:tcPr>
          <w:p w14:paraId="09E742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i w:val="0"/>
                <w:iCs w:val="0"/>
                <w:color w:val="auto"/>
                <w:spacing w:val="0"/>
                <w:w w:val="100"/>
                <w:kern w:val="0"/>
                <w:position w:val="0"/>
                <w:sz w:val="21"/>
                <w:szCs w:val="21"/>
                <w:highlight w:val="none"/>
                <w:u w:val="none"/>
                <w:lang w:val="en-US" w:eastAsia="zh-CN" w:bidi="ar"/>
              </w:rPr>
              <w:t>400</w:t>
            </w:r>
          </w:p>
        </w:tc>
        <w:tc>
          <w:tcPr>
            <w:tcW w:w="534" w:type="pct"/>
            <w:tcBorders>
              <w:tl2br w:val="nil"/>
              <w:tr2bl w:val="nil"/>
            </w:tcBorders>
            <w:shd w:val="clear" w:color="auto" w:fill="auto"/>
            <w:noWrap/>
            <w:vAlign w:val="center"/>
          </w:tcPr>
          <w:p w14:paraId="4F560A64">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
              </w:rPr>
            </w:pP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0.132</w:t>
            </w:r>
          </w:p>
        </w:tc>
        <w:tc>
          <w:tcPr>
            <w:tcW w:w="623" w:type="pct"/>
            <w:tcBorders>
              <w:tl2br w:val="nil"/>
              <w:tr2bl w:val="nil"/>
            </w:tcBorders>
            <w:noWrap/>
            <w:vAlign w:val="center"/>
          </w:tcPr>
          <w:p w14:paraId="62F5C9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lang w:bidi="ar"/>
              </w:rPr>
              <w:t>≤500</w:t>
            </w:r>
          </w:p>
        </w:tc>
        <w:tc>
          <w:tcPr>
            <w:tcW w:w="571" w:type="pct"/>
            <w:vMerge w:val="restart"/>
            <w:tcBorders>
              <w:tl2br w:val="nil"/>
              <w:tr2bl w:val="nil"/>
            </w:tcBorders>
            <w:noWrap/>
            <w:vAlign w:val="center"/>
          </w:tcPr>
          <w:p w14:paraId="05E4C3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eastAsia" w:cs="Times New Roman"/>
                <w:caps w:val="0"/>
                <w:snapToGrid/>
                <w:color w:val="auto"/>
                <w:spacing w:val="0"/>
                <w:w w:val="100"/>
                <w:kern w:val="0"/>
                <w:position w:val="0"/>
                <w:sz w:val="21"/>
                <w:szCs w:val="21"/>
                <w:highlight w:val="none"/>
                <w:lang w:val="en-US" w:eastAsia="zh-CN" w:bidi="ar"/>
              </w:rPr>
              <w:t>甘泉堡工业园区中小微企业创新区阜西区污水处理厂</w:t>
            </w:r>
          </w:p>
        </w:tc>
      </w:tr>
      <w:tr w14:paraId="161B5F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96" w:type="pct"/>
            <w:vMerge w:val="continue"/>
            <w:tcBorders>
              <w:tl2br w:val="nil"/>
              <w:tr2bl w:val="nil"/>
            </w:tcBorders>
            <w:noWrap w:val="0"/>
            <w:vAlign w:val="center"/>
          </w:tcPr>
          <w:p w14:paraId="228DF9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297" w:type="pct"/>
            <w:vMerge w:val="continue"/>
            <w:tcBorders>
              <w:tl2br w:val="nil"/>
              <w:tr2bl w:val="nil"/>
            </w:tcBorders>
            <w:noWrap w:val="0"/>
            <w:vAlign w:val="center"/>
          </w:tcPr>
          <w:p w14:paraId="01A650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310" w:type="pct"/>
            <w:vMerge w:val="continue"/>
            <w:tcBorders>
              <w:tl2br w:val="nil"/>
              <w:tr2bl w:val="nil"/>
            </w:tcBorders>
            <w:noWrap/>
            <w:vAlign w:val="center"/>
          </w:tcPr>
          <w:p w14:paraId="78DB67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463" w:type="pct"/>
            <w:tcBorders>
              <w:tl2br w:val="nil"/>
              <w:tr2bl w:val="nil"/>
            </w:tcBorders>
            <w:noWrap/>
            <w:vAlign w:val="center"/>
          </w:tcPr>
          <w:p w14:paraId="3840A7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lang w:bidi="ar"/>
              </w:rPr>
              <w:t>BOD</w:t>
            </w:r>
            <w:r>
              <w:rPr>
                <w:rFonts w:hint="default" w:ascii="Times New Roman" w:hAnsi="Times New Roman" w:eastAsia="宋体" w:cs="Times New Roman"/>
                <w:caps w:val="0"/>
                <w:snapToGrid/>
                <w:color w:val="auto"/>
                <w:spacing w:val="0"/>
                <w:w w:val="100"/>
                <w:kern w:val="0"/>
                <w:position w:val="0"/>
                <w:sz w:val="21"/>
                <w:szCs w:val="21"/>
                <w:highlight w:val="none"/>
                <w:vertAlign w:val="subscript"/>
                <w:lang w:bidi="ar"/>
              </w:rPr>
              <w:t>5</w:t>
            </w:r>
          </w:p>
        </w:tc>
        <w:tc>
          <w:tcPr>
            <w:tcW w:w="428" w:type="pct"/>
            <w:tcBorders>
              <w:tl2br w:val="nil"/>
              <w:tr2bl w:val="nil"/>
            </w:tcBorders>
            <w:noWrap/>
            <w:vAlign w:val="center"/>
          </w:tcPr>
          <w:p w14:paraId="5C5182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i w:val="0"/>
                <w:iCs w:val="0"/>
                <w:color w:val="auto"/>
                <w:spacing w:val="0"/>
                <w:w w:val="100"/>
                <w:kern w:val="0"/>
                <w:position w:val="0"/>
                <w:sz w:val="21"/>
                <w:szCs w:val="21"/>
                <w:highlight w:val="none"/>
                <w:u w:val="none"/>
                <w:lang w:val="en-US" w:eastAsia="zh-CN" w:bidi="ar"/>
              </w:rPr>
              <w:t>300</w:t>
            </w:r>
          </w:p>
        </w:tc>
        <w:tc>
          <w:tcPr>
            <w:tcW w:w="494" w:type="pct"/>
            <w:tcBorders>
              <w:tl2br w:val="nil"/>
              <w:tr2bl w:val="nil"/>
            </w:tcBorders>
            <w:noWrap/>
            <w:vAlign w:val="center"/>
          </w:tcPr>
          <w:p w14:paraId="773BBD82">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
              </w:rPr>
            </w:pP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0.099</w:t>
            </w:r>
          </w:p>
        </w:tc>
        <w:tc>
          <w:tcPr>
            <w:tcW w:w="366" w:type="pct"/>
            <w:vMerge w:val="continue"/>
            <w:tcBorders>
              <w:tl2br w:val="nil"/>
              <w:tr2bl w:val="nil"/>
            </w:tcBorders>
            <w:noWrap/>
            <w:vAlign w:val="center"/>
          </w:tcPr>
          <w:p w14:paraId="78DD09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613" w:type="pct"/>
            <w:tcBorders>
              <w:tl2br w:val="nil"/>
              <w:tr2bl w:val="nil"/>
            </w:tcBorders>
            <w:noWrap/>
            <w:vAlign w:val="center"/>
          </w:tcPr>
          <w:p w14:paraId="1E9A34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i w:val="0"/>
                <w:iCs w:val="0"/>
                <w:color w:val="auto"/>
                <w:spacing w:val="0"/>
                <w:w w:val="100"/>
                <w:kern w:val="0"/>
                <w:position w:val="0"/>
                <w:sz w:val="21"/>
                <w:szCs w:val="21"/>
                <w:highlight w:val="none"/>
                <w:u w:val="none"/>
                <w:lang w:val="en-US" w:eastAsia="zh-CN" w:bidi="ar"/>
              </w:rPr>
              <w:t>300</w:t>
            </w:r>
          </w:p>
        </w:tc>
        <w:tc>
          <w:tcPr>
            <w:tcW w:w="534" w:type="pct"/>
            <w:tcBorders>
              <w:tl2br w:val="nil"/>
              <w:tr2bl w:val="nil"/>
            </w:tcBorders>
            <w:shd w:val="clear" w:color="auto" w:fill="auto"/>
            <w:noWrap/>
            <w:vAlign w:val="center"/>
          </w:tcPr>
          <w:p w14:paraId="1617D396">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
              </w:rPr>
            </w:pP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0.099</w:t>
            </w:r>
          </w:p>
        </w:tc>
        <w:tc>
          <w:tcPr>
            <w:tcW w:w="623" w:type="pct"/>
            <w:tcBorders>
              <w:tl2br w:val="nil"/>
              <w:tr2bl w:val="nil"/>
            </w:tcBorders>
            <w:noWrap/>
            <w:vAlign w:val="center"/>
          </w:tcPr>
          <w:p w14:paraId="26491C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
              </w:rPr>
            </w:pPr>
            <w:r>
              <w:rPr>
                <w:rFonts w:hint="default" w:ascii="Times New Roman" w:hAnsi="Times New Roman" w:eastAsia="宋体" w:cs="Times New Roman"/>
                <w:caps w:val="0"/>
                <w:snapToGrid/>
                <w:color w:val="auto"/>
                <w:spacing w:val="0"/>
                <w:w w:val="100"/>
                <w:kern w:val="0"/>
                <w:position w:val="0"/>
                <w:sz w:val="21"/>
                <w:szCs w:val="21"/>
                <w:highlight w:val="none"/>
                <w:lang w:bidi="ar"/>
              </w:rPr>
              <w:t>≤</w:t>
            </w:r>
            <w: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
              </w:rPr>
              <w:t>300</w:t>
            </w:r>
          </w:p>
        </w:tc>
        <w:tc>
          <w:tcPr>
            <w:tcW w:w="571" w:type="pct"/>
            <w:vMerge w:val="continue"/>
            <w:tcBorders>
              <w:tl2br w:val="nil"/>
              <w:tr2bl w:val="nil"/>
            </w:tcBorders>
            <w:noWrap/>
            <w:vAlign w:val="center"/>
          </w:tcPr>
          <w:p w14:paraId="0FF8AC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r>
      <w:tr w14:paraId="5B8267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96" w:type="pct"/>
            <w:vMerge w:val="continue"/>
            <w:tcBorders>
              <w:tl2br w:val="nil"/>
              <w:tr2bl w:val="nil"/>
            </w:tcBorders>
            <w:noWrap w:val="0"/>
            <w:vAlign w:val="center"/>
          </w:tcPr>
          <w:p w14:paraId="50A3CF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297" w:type="pct"/>
            <w:vMerge w:val="continue"/>
            <w:tcBorders>
              <w:tl2br w:val="nil"/>
              <w:tr2bl w:val="nil"/>
            </w:tcBorders>
            <w:noWrap w:val="0"/>
            <w:vAlign w:val="center"/>
          </w:tcPr>
          <w:p w14:paraId="4B6116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310" w:type="pct"/>
            <w:vMerge w:val="continue"/>
            <w:tcBorders>
              <w:tl2br w:val="nil"/>
              <w:tr2bl w:val="nil"/>
            </w:tcBorders>
            <w:noWrap/>
            <w:vAlign w:val="center"/>
          </w:tcPr>
          <w:p w14:paraId="34BE57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463" w:type="pct"/>
            <w:tcBorders>
              <w:tl2br w:val="nil"/>
              <w:tr2bl w:val="nil"/>
            </w:tcBorders>
            <w:noWrap/>
            <w:vAlign w:val="center"/>
          </w:tcPr>
          <w:p w14:paraId="7FA0B8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lang w:bidi="ar"/>
              </w:rPr>
              <w:t>SS</w:t>
            </w:r>
          </w:p>
        </w:tc>
        <w:tc>
          <w:tcPr>
            <w:tcW w:w="428" w:type="pct"/>
            <w:tcBorders>
              <w:tl2br w:val="nil"/>
              <w:tr2bl w:val="nil"/>
            </w:tcBorders>
            <w:noWrap/>
            <w:vAlign w:val="center"/>
          </w:tcPr>
          <w:p w14:paraId="26F0CD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i w:val="0"/>
                <w:iCs w:val="0"/>
                <w:color w:val="auto"/>
                <w:spacing w:val="0"/>
                <w:w w:val="100"/>
                <w:kern w:val="0"/>
                <w:position w:val="0"/>
                <w:sz w:val="21"/>
                <w:szCs w:val="21"/>
                <w:highlight w:val="none"/>
                <w:u w:val="none"/>
                <w:lang w:val="en-US" w:eastAsia="zh-CN" w:bidi="ar"/>
              </w:rPr>
              <w:t>250</w:t>
            </w:r>
          </w:p>
        </w:tc>
        <w:tc>
          <w:tcPr>
            <w:tcW w:w="494" w:type="pct"/>
            <w:tcBorders>
              <w:tl2br w:val="nil"/>
              <w:tr2bl w:val="nil"/>
            </w:tcBorders>
            <w:noWrap/>
            <w:vAlign w:val="center"/>
          </w:tcPr>
          <w:p w14:paraId="5DB37A30">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
              </w:rPr>
            </w:pP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0.08</w:t>
            </w:r>
            <w:r>
              <w:rPr>
                <w:rFonts w:hint="eastAsia" w:ascii="Times New Roman" w:hAnsi="Times New Roman" w:cs="Times New Roman"/>
                <w:i w:val="0"/>
                <w:iCs w:val="0"/>
                <w:color w:val="auto"/>
                <w:spacing w:val="0"/>
                <w:w w:val="100"/>
                <w:kern w:val="0"/>
                <w:position w:val="0"/>
                <w:sz w:val="21"/>
                <w:szCs w:val="21"/>
                <w:u w:val="none"/>
                <w:lang w:val="en-US" w:eastAsia="zh-CN" w:bidi="ar"/>
              </w:rPr>
              <w:t>3</w:t>
            </w:r>
          </w:p>
        </w:tc>
        <w:tc>
          <w:tcPr>
            <w:tcW w:w="366" w:type="pct"/>
            <w:vMerge w:val="continue"/>
            <w:tcBorders>
              <w:tl2br w:val="nil"/>
              <w:tr2bl w:val="nil"/>
            </w:tcBorders>
            <w:noWrap/>
            <w:vAlign w:val="center"/>
          </w:tcPr>
          <w:p w14:paraId="57B9AA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613" w:type="pct"/>
            <w:tcBorders>
              <w:tl2br w:val="nil"/>
              <w:tr2bl w:val="nil"/>
            </w:tcBorders>
            <w:noWrap/>
            <w:vAlign w:val="center"/>
          </w:tcPr>
          <w:p w14:paraId="5717EF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i w:val="0"/>
                <w:iCs w:val="0"/>
                <w:color w:val="auto"/>
                <w:spacing w:val="0"/>
                <w:w w:val="100"/>
                <w:kern w:val="0"/>
                <w:position w:val="0"/>
                <w:sz w:val="21"/>
                <w:szCs w:val="21"/>
                <w:highlight w:val="none"/>
                <w:u w:val="none"/>
                <w:lang w:val="en-US" w:eastAsia="zh-CN" w:bidi="ar"/>
              </w:rPr>
              <w:t>250</w:t>
            </w:r>
          </w:p>
        </w:tc>
        <w:tc>
          <w:tcPr>
            <w:tcW w:w="534" w:type="pct"/>
            <w:tcBorders>
              <w:tl2br w:val="nil"/>
              <w:tr2bl w:val="nil"/>
            </w:tcBorders>
            <w:shd w:val="clear" w:color="auto" w:fill="auto"/>
            <w:noWrap/>
            <w:vAlign w:val="center"/>
          </w:tcPr>
          <w:p w14:paraId="7697C2C1">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
              </w:rPr>
            </w:pP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0.08</w:t>
            </w:r>
            <w:r>
              <w:rPr>
                <w:rFonts w:hint="eastAsia" w:ascii="Times New Roman" w:hAnsi="Times New Roman" w:cs="Times New Roman"/>
                <w:i w:val="0"/>
                <w:iCs w:val="0"/>
                <w:color w:val="auto"/>
                <w:spacing w:val="0"/>
                <w:w w:val="100"/>
                <w:kern w:val="0"/>
                <w:position w:val="0"/>
                <w:sz w:val="21"/>
                <w:szCs w:val="21"/>
                <w:u w:val="none"/>
                <w:lang w:val="en-US" w:eastAsia="zh-CN" w:bidi="ar"/>
              </w:rPr>
              <w:t>3</w:t>
            </w:r>
          </w:p>
        </w:tc>
        <w:tc>
          <w:tcPr>
            <w:tcW w:w="623" w:type="pct"/>
            <w:tcBorders>
              <w:tl2br w:val="nil"/>
              <w:tr2bl w:val="nil"/>
            </w:tcBorders>
            <w:noWrap/>
            <w:vAlign w:val="center"/>
          </w:tcPr>
          <w:p w14:paraId="467530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caps w:val="0"/>
                <w:snapToGrid/>
                <w:color w:val="auto"/>
                <w:spacing w:val="0"/>
                <w:w w:val="100"/>
                <w:kern w:val="0"/>
                <w:position w:val="0"/>
                <w:sz w:val="21"/>
                <w:szCs w:val="21"/>
                <w:highlight w:val="none"/>
                <w:lang w:bidi="ar"/>
              </w:rPr>
            </w:pPr>
            <w:r>
              <w:rPr>
                <w:rFonts w:hint="default" w:ascii="Times New Roman" w:hAnsi="Times New Roman" w:eastAsia="宋体" w:cs="Times New Roman"/>
                <w:caps w:val="0"/>
                <w:snapToGrid/>
                <w:color w:val="auto"/>
                <w:spacing w:val="0"/>
                <w:w w:val="100"/>
                <w:kern w:val="0"/>
                <w:position w:val="0"/>
                <w:sz w:val="21"/>
                <w:szCs w:val="21"/>
                <w:highlight w:val="none"/>
                <w:lang w:bidi="ar"/>
              </w:rPr>
              <w:t>≤400</w:t>
            </w:r>
          </w:p>
        </w:tc>
        <w:tc>
          <w:tcPr>
            <w:tcW w:w="571" w:type="pct"/>
            <w:vMerge w:val="continue"/>
            <w:tcBorders>
              <w:tl2br w:val="nil"/>
              <w:tr2bl w:val="nil"/>
            </w:tcBorders>
            <w:noWrap/>
            <w:vAlign w:val="center"/>
          </w:tcPr>
          <w:p w14:paraId="738EB1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r>
      <w:tr w14:paraId="52078E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96" w:type="pct"/>
            <w:vMerge w:val="continue"/>
            <w:tcBorders>
              <w:tl2br w:val="nil"/>
              <w:tr2bl w:val="nil"/>
            </w:tcBorders>
            <w:noWrap w:val="0"/>
            <w:vAlign w:val="center"/>
          </w:tcPr>
          <w:p w14:paraId="12534D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297" w:type="pct"/>
            <w:vMerge w:val="continue"/>
            <w:tcBorders>
              <w:tl2br w:val="nil"/>
              <w:tr2bl w:val="nil"/>
            </w:tcBorders>
            <w:noWrap w:val="0"/>
            <w:vAlign w:val="center"/>
          </w:tcPr>
          <w:p w14:paraId="261D39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310" w:type="pct"/>
            <w:vMerge w:val="continue"/>
            <w:tcBorders>
              <w:tl2br w:val="nil"/>
              <w:tr2bl w:val="nil"/>
            </w:tcBorders>
            <w:noWrap/>
            <w:vAlign w:val="center"/>
          </w:tcPr>
          <w:p w14:paraId="238DFF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463" w:type="pct"/>
            <w:tcBorders>
              <w:tl2br w:val="nil"/>
              <w:tr2bl w:val="nil"/>
            </w:tcBorders>
            <w:noWrap/>
            <w:vAlign w:val="center"/>
          </w:tcPr>
          <w:p w14:paraId="3B9975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lang w:bidi="ar"/>
              </w:rPr>
              <w:t>氨氮</w:t>
            </w:r>
          </w:p>
        </w:tc>
        <w:tc>
          <w:tcPr>
            <w:tcW w:w="428" w:type="pct"/>
            <w:tcBorders>
              <w:tl2br w:val="nil"/>
              <w:tr2bl w:val="nil"/>
            </w:tcBorders>
            <w:noWrap/>
            <w:vAlign w:val="center"/>
          </w:tcPr>
          <w:p w14:paraId="20E2CD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i w:val="0"/>
                <w:iCs w:val="0"/>
                <w:color w:val="auto"/>
                <w:spacing w:val="0"/>
                <w:w w:val="100"/>
                <w:kern w:val="0"/>
                <w:position w:val="0"/>
                <w:sz w:val="21"/>
                <w:szCs w:val="21"/>
                <w:highlight w:val="none"/>
                <w:u w:val="none"/>
                <w:lang w:val="en-US" w:eastAsia="zh-CN" w:bidi="ar"/>
              </w:rPr>
              <w:t>35</w:t>
            </w:r>
          </w:p>
        </w:tc>
        <w:tc>
          <w:tcPr>
            <w:tcW w:w="494" w:type="pct"/>
            <w:tcBorders>
              <w:tl2br w:val="nil"/>
              <w:tr2bl w:val="nil"/>
            </w:tcBorders>
            <w:noWrap/>
            <w:vAlign w:val="center"/>
          </w:tcPr>
          <w:p w14:paraId="488E0C8E">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
              </w:rPr>
            </w:pP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0.01</w:t>
            </w:r>
            <w:r>
              <w:rPr>
                <w:rFonts w:hint="eastAsia" w:ascii="Times New Roman" w:hAnsi="Times New Roman" w:cs="Times New Roman"/>
                <w:i w:val="0"/>
                <w:iCs w:val="0"/>
                <w:color w:val="auto"/>
                <w:spacing w:val="0"/>
                <w:w w:val="100"/>
                <w:kern w:val="0"/>
                <w:position w:val="0"/>
                <w:sz w:val="21"/>
                <w:szCs w:val="21"/>
                <w:u w:val="none"/>
                <w:lang w:val="en-US" w:eastAsia="zh-CN" w:bidi="ar"/>
              </w:rPr>
              <w:t>2</w:t>
            </w:r>
          </w:p>
        </w:tc>
        <w:tc>
          <w:tcPr>
            <w:tcW w:w="366" w:type="pct"/>
            <w:vMerge w:val="continue"/>
            <w:tcBorders>
              <w:tl2br w:val="nil"/>
              <w:tr2bl w:val="nil"/>
            </w:tcBorders>
            <w:noWrap/>
            <w:vAlign w:val="center"/>
          </w:tcPr>
          <w:p w14:paraId="6B4B47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613" w:type="pct"/>
            <w:tcBorders>
              <w:tl2br w:val="nil"/>
              <w:tr2bl w:val="nil"/>
            </w:tcBorders>
            <w:noWrap/>
            <w:vAlign w:val="center"/>
          </w:tcPr>
          <w:p w14:paraId="44B5F0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i w:val="0"/>
                <w:iCs w:val="0"/>
                <w:color w:val="auto"/>
                <w:spacing w:val="0"/>
                <w:w w:val="100"/>
                <w:kern w:val="0"/>
                <w:position w:val="0"/>
                <w:sz w:val="21"/>
                <w:szCs w:val="21"/>
                <w:highlight w:val="none"/>
                <w:u w:val="none"/>
                <w:lang w:val="en-US" w:eastAsia="zh-CN" w:bidi="ar"/>
              </w:rPr>
              <w:t>35</w:t>
            </w:r>
          </w:p>
        </w:tc>
        <w:tc>
          <w:tcPr>
            <w:tcW w:w="534" w:type="pct"/>
            <w:tcBorders>
              <w:tl2br w:val="nil"/>
              <w:tr2bl w:val="nil"/>
            </w:tcBorders>
            <w:shd w:val="clear" w:color="auto" w:fill="auto"/>
            <w:noWrap/>
            <w:vAlign w:val="center"/>
          </w:tcPr>
          <w:p w14:paraId="298B8223">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
              </w:rPr>
            </w:pP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0.01</w:t>
            </w:r>
            <w:r>
              <w:rPr>
                <w:rFonts w:hint="eastAsia" w:ascii="Times New Roman" w:hAnsi="Times New Roman" w:cs="Times New Roman"/>
                <w:i w:val="0"/>
                <w:iCs w:val="0"/>
                <w:color w:val="auto"/>
                <w:spacing w:val="0"/>
                <w:w w:val="100"/>
                <w:kern w:val="0"/>
                <w:position w:val="0"/>
                <w:sz w:val="21"/>
                <w:szCs w:val="21"/>
                <w:u w:val="none"/>
                <w:lang w:val="en-US" w:eastAsia="zh-CN" w:bidi="ar"/>
              </w:rPr>
              <w:t>2</w:t>
            </w:r>
          </w:p>
        </w:tc>
        <w:tc>
          <w:tcPr>
            <w:tcW w:w="623" w:type="pct"/>
            <w:tcBorders>
              <w:tl2br w:val="nil"/>
              <w:tr2bl w:val="nil"/>
            </w:tcBorders>
            <w:noWrap/>
            <w:vAlign w:val="center"/>
          </w:tcPr>
          <w:p w14:paraId="43D1FC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caps w:val="0"/>
                <w:snapToGrid/>
                <w:color w:val="auto"/>
                <w:spacing w:val="0"/>
                <w:w w:val="100"/>
                <w:kern w:val="0"/>
                <w:position w:val="0"/>
                <w:sz w:val="21"/>
                <w:szCs w:val="21"/>
                <w:highlight w:val="none"/>
                <w:lang w:bidi="ar"/>
              </w:rPr>
            </w:pPr>
            <w:r>
              <w:rPr>
                <w:rFonts w:hint="default" w:ascii="Times New Roman" w:hAnsi="Times New Roman" w:eastAsia="宋体" w:cs="Times New Roman"/>
                <w:caps w:val="0"/>
                <w:snapToGrid/>
                <w:color w:val="auto"/>
                <w:spacing w:val="0"/>
                <w:w w:val="100"/>
                <w:kern w:val="0"/>
                <w:position w:val="0"/>
                <w:sz w:val="21"/>
                <w:szCs w:val="21"/>
                <w:highlight w:val="none"/>
                <w:lang w:bidi="ar"/>
              </w:rPr>
              <w:t>≤45</w:t>
            </w:r>
          </w:p>
        </w:tc>
        <w:tc>
          <w:tcPr>
            <w:tcW w:w="571" w:type="pct"/>
            <w:vMerge w:val="continue"/>
            <w:tcBorders>
              <w:tl2br w:val="nil"/>
              <w:tr2bl w:val="nil"/>
            </w:tcBorders>
            <w:noWrap/>
            <w:vAlign w:val="center"/>
          </w:tcPr>
          <w:p w14:paraId="2FF5BD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r>
    </w:tbl>
    <w:p w14:paraId="54FD3A35">
      <w:pPr>
        <w:pStyle w:val="4"/>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3.4.3噪声</w:t>
      </w:r>
    </w:p>
    <w:p w14:paraId="528605F4">
      <w:pPr>
        <w:pStyle w:val="32"/>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项目噪声源主要为设备噪声，根据国内相同企业的车间内噪声值的经验数据，其噪声级一般在70~85dB(A)之间。项目为减少噪声排放，选用低噪声设备并采取适当的减噪措施，如机组基础设置衬垫、风机进出口设置消声器等，拟建项目厂界噪声能满足《工业企业厂界环境噪声排放标准》（GB12348-2008）3类标准。</w:t>
      </w:r>
    </w:p>
    <w:p w14:paraId="08C78A73">
      <w:pPr>
        <w:pStyle w:val="32"/>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sectPr>
          <w:pgSz w:w="11906" w:h="16838"/>
          <w:pgMar w:top="1440" w:right="1800" w:bottom="1440" w:left="1800" w:header="851" w:footer="850"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color w:val="auto"/>
          <w:spacing w:val="0"/>
          <w:w w:val="100"/>
          <w:position w:val="0"/>
          <w:highlight w:val="none"/>
          <w:lang w:val="en-US" w:eastAsia="zh-CN"/>
        </w:rPr>
        <w:t>项目主要设备噪声源强具体</w:t>
      </w:r>
      <w:bookmarkStart w:id="238" w:name="OLE_LINK9"/>
      <w:r>
        <w:rPr>
          <w:rFonts w:hint="eastAsia"/>
          <w:color w:val="auto"/>
          <w:spacing w:val="0"/>
          <w:w w:val="100"/>
          <w:position w:val="0"/>
          <w:highlight w:val="none"/>
          <w:lang w:val="en-US" w:eastAsia="zh-CN"/>
        </w:rPr>
        <w:t>见表3.4.3-1、表3.4.3-2</w:t>
      </w:r>
      <w:bookmarkEnd w:id="238"/>
      <w:r>
        <w:rPr>
          <w:rFonts w:hint="eastAsia"/>
          <w:color w:val="auto"/>
          <w:spacing w:val="0"/>
          <w:w w:val="100"/>
          <w:position w:val="0"/>
          <w:highlight w:val="none"/>
          <w:lang w:val="en-US" w:eastAsia="zh-CN"/>
        </w:rPr>
        <w:t>。</w:t>
      </w:r>
    </w:p>
    <w:p w14:paraId="036EE8AB">
      <w:pPr>
        <w:pStyle w:val="33"/>
        <w:keepNext w:val="0"/>
        <w:keepLines w:val="0"/>
        <w:pageBreakBefore w:val="0"/>
        <w:widowControl w:val="0"/>
        <w:kinsoku/>
        <w:wordWrap/>
        <w:overflowPunct/>
        <w:topLinePunct w:val="0"/>
        <w:autoSpaceDE/>
        <w:autoSpaceDN/>
        <w:bidi w:val="0"/>
        <w:adjustRightInd/>
        <w:snapToGrid/>
        <w:jc w:val="center"/>
        <w:textAlignment w:val="auto"/>
        <w:rPr>
          <w:rFonts w:ascii="Times New Roman" w:hAnsi="Times New Roman" w:cs="Times New Roman" w:eastAsiaTheme="minorEastAsia"/>
          <w:color w:val="auto"/>
          <w:spacing w:val="0"/>
          <w:w w:val="100"/>
          <w:position w:val="0"/>
          <w:sz w:val="21"/>
          <w:szCs w:val="21"/>
          <w:lang w:eastAsia="zh-CN"/>
        </w:rPr>
      </w:pPr>
      <w:r>
        <w:rPr>
          <w:rFonts w:hint="default"/>
          <w:color w:val="auto"/>
          <w:spacing w:val="0"/>
          <w:w w:val="100"/>
          <w:position w:val="0"/>
          <w:highlight w:val="none"/>
        </w:rPr>
        <w:t>表</w:t>
      </w:r>
      <w:r>
        <w:rPr>
          <w:rFonts w:hint="eastAsia"/>
          <w:color w:val="auto"/>
          <w:spacing w:val="0"/>
          <w:w w:val="100"/>
          <w:position w:val="0"/>
          <w:highlight w:val="none"/>
          <w:lang w:val="en-US" w:eastAsia="zh-CN"/>
        </w:rPr>
        <w:t xml:space="preserve">3.4.3-1  </w:t>
      </w:r>
      <w:r>
        <w:rPr>
          <w:color w:val="auto"/>
          <w:spacing w:val="0"/>
          <w:w w:val="100"/>
          <w:position w:val="0"/>
          <w:highlight w:val="none"/>
        </w:rPr>
        <w:t xml:space="preserve"> </w:t>
      </w:r>
      <w:r>
        <w:rPr>
          <w:rFonts w:cs="Times New Roman" w:asciiTheme="minorEastAsia" w:hAnsiTheme="minorEastAsia" w:eastAsiaTheme="minorEastAsia"/>
          <w:b/>
          <w:bCs/>
          <w:color w:val="auto"/>
          <w:spacing w:val="0"/>
          <w:w w:val="100"/>
          <w:position w:val="0"/>
          <w:lang w:eastAsia="zh-CN"/>
        </w:rPr>
        <w:t>工业企业噪声源强调查清单（室外声源）</w:t>
      </w:r>
    </w:p>
    <w:tbl>
      <w:tblPr>
        <w:tblStyle w:val="25"/>
        <w:tblW w:w="1406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999"/>
        <w:gridCol w:w="1785"/>
        <w:gridCol w:w="999"/>
        <w:gridCol w:w="1098"/>
        <w:gridCol w:w="1430"/>
        <w:gridCol w:w="481"/>
        <w:gridCol w:w="2919"/>
        <w:gridCol w:w="2570"/>
        <w:gridCol w:w="1785"/>
      </w:tblGrid>
      <w:tr w14:paraId="372ADA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406" w:hRule="atLeast"/>
          <w:tblHeader/>
          <w:jc w:val="center"/>
        </w:trPr>
        <w:tc>
          <w:tcPr>
            <w:tcW w:w="0" w:type="auto"/>
            <w:vMerge w:val="restart"/>
            <w:tcBorders>
              <w:tl2br w:val="nil"/>
              <w:tr2bl w:val="nil"/>
            </w:tcBorders>
            <w:vAlign w:val="center"/>
          </w:tcPr>
          <w:p w14:paraId="4B1F44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b/>
                <w:color w:val="auto"/>
                <w:spacing w:val="0"/>
                <w:w w:val="100"/>
                <w:position w:val="0"/>
                <w:sz w:val="21"/>
                <w:szCs w:val="21"/>
              </w:rPr>
              <w:t>序号</w:t>
            </w:r>
          </w:p>
        </w:tc>
        <w:tc>
          <w:tcPr>
            <w:tcW w:w="0" w:type="auto"/>
            <w:vMerge w:val="restart"/>
            <w:tcBorders>
              <w:tl2br w:val="nil"/>
              <w:tr2bl w:val="nil"/>
            </w:tcBorders>
            <w:vAlign w:val="center"/>
          </w:tcPr>
          <w:p w14:paraId="47AC68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b/>
                <w:color w:val="auto"/>
                <w:spacing w:val="0"/>
                <w:w w:val="100"/>
                <w:position w:val="0"/>
                <w:sz w:val="21"/>
                <w:szCs w:val="21"/>
              </w:rPr>
              <w:t>声源名称</w:t>
            </w:r>
          </w:p>
        </w:tc>
        <w:tc>
          <w:tcPr>
            <w:tcW w:w="0" w:type="auto"/>
            <w:vMerge w:val="restart"/>
            <w:tcBorders>
              <w:tl2br w:val="nil"/>
              <w:tr2bl w:val="nil"/>
            </w:tcBorders>
            <w:vAlign w:val="center"/>
          </w:tcPr>
          <w:p w14:paraId="4D6DEB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b/>
                <w:color w:val="auto"/>
                <w:spacing w:val="0"/>
                <w:w w:val="100"/>
                <w:position w:val="0"/>
                <w:sz w:val="21"/>
                <w:szCs w:val="21"/>
              </w:rPr>
              <w:t>型号</w:t>
            </w:r>
          </w:p>
        </w:tc>
        <w:tc>
          <w:tcPr>
            <w:tcW w:w="0" w:type="auto"/>
            <w:gridSpan w:val="3"/>
            <w:tcBorders>
              <w:tl2br w:val="nil"/>
              <w:tr2bl w:val="nil"/>
            </w:tcBorders>
            <w:vAlign w:val="center"/>
          </w:tcPr>
          <w:p w14:paraId="20755C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b/>
                <w:color w:val="auto"/>
                <w:spacing w:val="0"/>
                <w:w w:val="100"/>
                <w:position w:val="0"/>
                <w:sz w:val="21"/>
                <w:szCs w:val="21"/>
              </w:rPr>
              <w:t>空间相对位置/m</w:t>
            </w:r>
          </w:p>
        </w:tc>
        <w:tc>
          <w:tcPr>
            <w:tcW w:w="0" w:type="auto"/>
            <w:tcBorders>
              <w:tl2br w:val="nil"/>
              <w:tr2bl w:val="nil"/>
            </w:tcBorders>
            <w:vAlign w:val="center"/>
          </w:tcPr>
          <w:p w14:paraId="182E96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pacing w:val="0"/>
                <w:w w:val="100"/>
                <w:position w:val="0"/>
                <w:sz w:val="21"/>
                <w:szCs w:val="21"/>
                <w:lang w:eastAsia="zh-CN"/>
              </w:rPr>
            </w:pPr>
            <w:r>
              <w:rPr>
                <w:rFonts w:hint="default" w:ascii="Times New Roman" w:hAnsi="Times New Roman" w:eastAsia="宋体" w:cs="Times New Roman"/>
                <w:b/>
                <w:color w:val="auto"/>
                <w:spacing w:val="0"/>
                <w:w w:val="100"/>
                <w:position w:val="0"/>
                <w:sz w:val="21"/>
                <w:szCs w:val="21"/>
                <w:lang w:eastAsia="zh-CN"/>
              </w:rPr>
              <w:t>声源源强</w:t>
            </w:r>
          </w:p>
        </w:tc>
        <w:tc>
          <w:tcPr>
            <w:tcW w:w="0" w:type="auto"/>
            <w:vMerge w:val="restart"/>
            <w:tcBorders>
              <w:tl2br w:val="nil"/>
              <w:tr2bl w:val="nil"/>
            </w:tcBorders>
            <w:vAlign w:val="center"/>
          </w:tcPr>
          <w:p w14:paraId="2EB59D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b/>
                <w:color w:val="auto"/>
                <w:spacing w:val="0"/>
                <w:w w:val="100"/>
                <w:position w:val="0"/>
                <w:sz w:val="21"/>
                <w:szCs w:val="21"/>
              </w:rPr>
              <w:t>声源控制措施</w:t>
            </w:r>
          </w:p>
        </w:tc>
        <w:tc>
          <w:tcPr>
            <w:tcW w:w="1785" w:type="dxa"/>
            <w:vMerge w:val="restart"/>
            <w:tcBorders>
              <w:tl2br w:val="nil"/>
              <w:tr2bl w:val="nil"/>
            </w:tcBorders>
            <w:vAlign w:val="center"/>
          </w:tcPr>
          <w:p w14:paraId="341C0D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b/>
                <w:color w:val="auto"/>
                <w:spacing w:val="0"/>
                <w:w w:val="100"/>
                <w:position w:val="0"/>
                <w:sz w:val="21"/>
                <w:szCs w:val="21"/>
              </w:rPr>
              <w:t>运行时段</w:t>
            </w:r>
          </w:p>
        </w:tc>
      </w:tr>
      <w:tr w14:paraId="5F23F1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90" w:hRule="atLeast"/>
          <w:tblHeader/>
          <w:jc w:val="center"/>
        </w:trPr>
        <w:tc>
          <w:tcPr>
            <w:tcW w:w="0" w:type="auto"/>
            <w:vMerge w:val="continue"/>
            <w:tcBorders>
              <w:tl2br w:val="nil"/>
              <w:tr2bl w:val="nil"/>
            </w:tcBorders>
            <w:shd w:val="clear" w:color="auto" w:fill="FFFFFF"/>
            <w:vAlign w:val="center"/>
          </w:tcPr>
          <w:p w14:paraId="3ACBC8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0" w:type="auto"/>
            <w:vMerge w:val="continue"/>
            <w:tcBorders>
              <w:tl2br w:val="nil"/>
              <w:tr2bl w:val="nil"/>
            </w:tcBorders>
            <w:shd w:val="clear" w:color="auto" w:fill="FFFFFF"/>
            <w:vAlign w:val="center"/>
          </w:tcPr>
          <w:p w14:paraId="137295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0" w:type="auto"/>
            <w:vMerge w:val="continue"/>
            <w:tcBorders>
              <w:tl2br w:val="nil"/>
              <w:tr2bl w:val="nil"/>
            </w:tcBorders>
            <w:shd w:val="clear" w:color="auto" w:fill="FFFFFF"/>
            <w:vAlign w:val="center"/>
          </w:tcPr>
          <w:p w14:paraId="6053AD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0" w:type="auto"/>
            <w:tcBorders>
              <w:tl2br w:val="nil"/>
              <w:tr2bl w:val="nil"/>
            </w:tcBorders>
            <w:shd w:val="clear" w:color="auto" w:fill="FFFFFF"/>
            <w:vAlign w:val="center"/>
          </w:tcPr>
          <w:p w14:paraId="569852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position w:val="0"/>
                <w:sz w:val="21"/>
                <w:szCs w:val="21"/>
              </w:rPr>
            </w:pPr>
            <w:r>
              <w:rPr>
                <w:rFonts w:hint="default" w:ascii="Times New Roman" w:hAnsi="Times New Roman" w:eastAsia="宋体" w:cs="Times New Roman"/>
                <w:b/>
                <w:bCs/>
                <w:color w:val="auto"/>
                <w:spacing w:val="0"/>
                <w:w w:val="100"/>
                <w:position w:val="0"/>
                <w:sz w:val="21"/>
                <w:szCs w:val="21"/>
              </w:rPr>
              <w:t>X</w:t>
            </w:r>
          </w:p>
        </w:tc>
        <w:tc>
          <w:tcPr>
            <w:tcW w:w="0" w:type="auto"/>
            <w:tcBorders>
              <w:tl2br w:val="nil"/>
              <w:tr2bl w:val="nil"/>
            </w:tcBorders>
            <w:shd w:val="clear" w:color="auto" w:fill="FFFFFF"/>
            <w:vAlign w:val="center"/>
          </w:tcPr>
          <w:p w14:paraId="415FC3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position w:val="0"/>
                <w:sz w:val="21"/>
                <w:szCs w:val="21"/>
              </w:rPr>
            </w:pPr>
            <w:r>
              <w:rPr>
                <w:rFonts w:hint="default" w:ascii="Times New Roman" w:hAnsi="Times New Roman" w:eastAsia="宋体" w:cs="Times New Roman"/>
                <w:b/>
                <w:bCs/>
                <w:color w:val="auto"/>
                <w:spacing w:val="0"/>
                <w:w w:val="100"/>
                <w:position w:val="0"/>
                <w:sz w:val="21"/>
                <w:szCs w:val="21"/>
              </w:rPr>
              <w:t>Y</w:t>
            </w:r>
          </w:p>
        </w:tc>
        <w:tc>
          <w:tcPr>
            <w:tcW w:w="0" w:type="auto"/>
            <w:tcBorders>
              <w:tl2br w:val="nil"/>
              <w:tr2bl w:val="nil"/>
            </w:tcBorders>
            <w:shd w:val="clear" w:color="auto" w:fill="FFFFFF"/>
            <w:vAlign w:val="center"/>
          </w:tcPr>
          <w:p w14:paraId="58206B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position w:val="0"/>
                <w:sz w:val="21"/>
                <w:szCs w:val="21"/>
              </w:rPr>
            </w:pPr>
            <w:r>
              <w:rPr>
                <w:rFonts w:hint="default" w:ascii="Times New Roman" w:hAnsi="Times New Roman" w:eastAsia="宋体" w:cs="Times New Roman"/>
                <w:b/>
                <w:bCs/>
                <w:color w:val="auto"/>
                <w:spacing w:val="0"/>
                <w:w w:val="100"/>
                <w:position w:val="0"/>
                <w:sz w:val="21"/>
                <w:szCs w:val="21"/>
              </w:rPr>
              <w:t>Z</w:t>
            </w:r>
          </w:p>
        </w:tc>
        <w:tc>
          <w:tcPr>
            <w:tcW w:w="0" w:type="auto"/>
            <w:tcBorders>
              <w:tl2br w:val="nil"/>
              <w:tr2bl w:val="nil"/>
            </w:tcBorders>
            <w:shd w:val="clear" w:color="auto" w:fill="FFFFFF"/>
            <w:vAlign w:val="center"/>
          </w:tcPr>
          <w:p w14:paraId="66DCFF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position w:val="0"/>
                <w:sz w:val="21"/>
                <w:szCs w:val="21"/>
              </w:rPr>
            </w:pPr>
            <w:r>
              <w:rPr>
                <w:rFonts w:hint="default" w:ascii="Times New Roman" w:hAnsi="Times New Roman" w:eastAsia="宋体" w:cs="Times New Roman"/>
                <w:b/>
                <w:bCs/>
                <w:color w:val="auto"/>
                <w:spacing w:val="0"/>
                <w:w w:val="100"/>
                <w:position w:val="0"/>
                <w:sz w:val="21"/>
                <w:szCs w:val="21"/>
              </w:rPr>
              <w:t>声功率级/dB(A)</w:t>
            </w:r>
          </w:p>
        </w:tc>
        <w:tc>
          <w:tcPr>
            <w:tcW w:w="0" w:type="auto"/>
            <w:vMerge w:val="continue"/>
            <w:tcBorders>
              <w:tl2br w:val="nil"/>
              <w:tr2bl w:val="nil"/>
            </w:tcBorders>
            <w:shd w:val="clear" w:color="auto" w:fill="FFFFFF"/>
            <w:vAlign w:val="center"/>
          </w:tcPr>
          <w:p w14:paraId="6199B7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1785" w:type="dxa"/>
            <w:vMerge w:val="continue"/>
            <w:tcBorders>
              <w:tl2br w:val="nil"/>
              <w:tr2bl w:val="nil"/>
            </w:tcBorders>
            <w:shd w:val="clear" w:color="auto" w:fill="FFFFFF"/>
            <w:vAlign w:val="center"/>
          </w:tcPr>
          <w:p w14:paraId="44440D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21"/>
                <w:szCs w:val="21"/>
              </w:rPr>
            </w:pPr>
          </w:p>
        </w:tc>
      </w:tr>
      <w:tr w14:paraId="0FDC5A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0" w:type="auto"/>
            <w:tcBorders>
              <w:tl2br w:val="nil"/>
              <w:tr2bl w:val="nil"/>
            </w:tcBorders>
            <w:shd w:val="clear" w:color="auto" w:fill="FFFFFF"/>
            <w:vAlign w:val="center"/>
          </w:tcPr>
          <w:p w14:paraId="45B306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1</w:t>
            </w:r>
          </w:p>
        </w:tc>
        <w:tc>
          <w:tcPr>
            <w:tcW w:w="0" w:type="auto"/>
            <w:tcBorders>
              <w:tl2br w:val="nil"/>
              <w:tr2bl w:val="nil"/>
            </w:tcBorders>
            <w:shd w:val="clear" w:color="auto" w:fill="FFFFFF"/>
            <w:vAlign w:val="center"/>
          </w:tcPr>
          <w:p w14:paraId="10A0CD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风机1</w:t>
            </w:r>
          </w:p>
        </w:tc>
        <w:tc>
          <w:tcPr>
            <w:tcW w:w="0" w:type="auto"/>
            <w:tcBorders>
              <w:tl2br w:val="nil"/>
              <w:tr2bl w:val="nil"/>
            </w:tcBorders>
            <w:shd w:val="clear" w:color="auto" w:fill="FFFFFF"/>
            <w:vAlign w:val="center"/>
          </w:tcPr>
          <w:p w14:paraId="4549EC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w:t>
            </w:r>
          </w:p>
        </w:tc>
        <w:tc>
          <w:tcPr>
            <w:tcW w:w="0" w:type="auto"/>
            <w:tcBorders>
              <w:tl2br w:val="nil"/>
              <w:tr2bl w:val="nil"/>
            </w:tcBorders>
            <w:shd w:val="clear" w:color="auto" w:fill="FFFFFF"/>
            <w:vAlign w:val="center"/>
          </w:tcPr>
          <w:p w14:paraId="5B9F83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14.89</w:t>
            </w:r>
          </w:p>
        </w:tc>
        <w:tc>
          <w:tcPr>
            <w:tcW w:w="0" w:type="auto"/>
            <w:tcBorders>
              <w:tl2br w:val="nil"/>
              <w:tr2bl w:val="nil"/>
            </w:tcBorders>
            <w:shd w:val="clear" w:color="auto" w:fill="FFFFFF"/>
            <w:vAlign w:val="center"/>
          </w:tcPr>
          <w:p w14:paraId="132273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-107.64</w:t>
            </w:r>
          </w:p>
        </w:tc>
        <w:tc>
          <w:tcPr>
            <w:tcW w:w="0" w:type="auto"/>
            <w:tcBorders>
              <w:tl2br w:val="nil"/>
              <w:tr2bl w:val="nil"/>
            </w:tcBorders>
            <w:shd w:val="clear" w:color="auto" w:fill="FFFFFF"/>
            <w:vAlign w:val="center"/>
          </w:tcPr>
          <w:p w14:paraId="559BFE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1</w:t>
            </w:r>
          </w:p>
        </w:tc>
        <w:tc>
          <w:tcPr>
            <w:tcW w:w="0" w:type="auto"/>
            <w:tcBorders>
              <w:tl2br w:val="nil"/>
              <w:tr2bl w:val="nil"/>
            </w:tcBorders>
            <w:shd w:val="clear" w:color="auto" w:fill="FFFFFF"/>
            <w:vAlign w:val="center"/>
          </w:tcPr>
          <w:p w14:paraId="3CF3AB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kern w:val="2"/>
                <w:position w:val="0"/>
                <w:sz w:val="21"/>
                <w:szCs w:val="21"/>
                <w:lang w:val="en-US" w:eastAsia="zh-CN" w:bidi="ar-SA"/>
              </w:rPr>
            </w:pPr>
            <w:r>
              <w:rPr>
                <w:rFonts w:hint="eastAsia" w:cs="Times New Roman"/>
                <w:i w:val="0"/>
                <w:iCs w:val="0"/>
                <w:color w:val="auto"/>
                <w:spacing w:val="0"/>
                <w:w w:val="100"/>
                <w:kern w:val="0"/>
                <w:position w:val="0"/>
                <w:sz w:val="21"/>
                <w:szCs w:val="21"/>
                <w:u w:val="none"/>
                <w:lang w:val="en-US" w:eastAsia="zh-CN" w:bidi="ar"/>
              </w:rPr>
              <w:t>75</w:t>
            </w:r>
          </w:p>
        </w:tc>
        <w:tc>
          <w:tcPr>
            <w:tcW w:w="0" w:type="auto"/>
            <w:vMerge w:val="restart"/>
            <w:tcBorders>
              <w:tl2br w:val="nil"/>
              <w:tr2bl w:val="nil"/>
            </w:tcBorders>
            <w:shd w:val="clear" w:color="auto" w:fill="FFFFFF"/>
            <w:vAlign w:val="center"/>
          </w:tcPr>
          <w:p w14:paraId="30C65B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基础减震</w:t>
            </w:r>
          </w:p>
        </w:tc>
        <w:tc>
          <w:tcPr>
            <w:tcW w:w="1785" w:type="dxa"/>
            <w:tcBorders>
              <w:tl2br w:val="nil"/>
              <w:tr2bl w:val="nil"/>
            </w:tcBorders>
            <w:shd w:val="clear" w:color="auto" w:fill="FFFFFF"/>
            <w:vAlign w:val="center"/>
          </w:tcPr>
          <w:p w14:paraId="5CD69E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eastAsia" w:cs="Times New Roman"/>
                <w:color w:val="auto"/>
                <w:spacing w:val="0"/>
                <w:w w:val="100"/>
                <w:kern w:val="2"/>
                <w:position w:val="0"/>
                <w:sz w:val="21"/>
                <w:szCs w:val="21"/>
                <w:lang w:val="en-US" w:eastAsia="zh-CN" w:bidi="ar-SA"/>
              </w:rPr>
              <w:t>4800</w:t>
            </w:r>
            <w:r>
              <w:rPr>
                <w:rFonts w:hint="default" w:ascii="Times New Roman" w:hAnsi="Times New Roman" w:eastAsia="宋体" w:cs="Times New Roman"/>
                <w:color w:val="auto"/>
                <w:spacing w:val="0"/>
                <w:w w:val="100"/>
                <w:kern w:val="2"/>
                <w:position w:val="0"/>
                <w:sz w:val="21"/>
                <w:szCs w:val="21"/>
                <w:lang w:val="en-US" w:eastAsia="zh-CN" w:bidi="ar-SA"/>
              </w:rPr>
              <w:t>h</w:t>
            </w:r>
          </w:p>
        </w:tc>
      </w:tr>
      <w:tr w14:paraId="4EF127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999" w:type="dxa"/>
            <w:tcBorders>
              <w:tl2br w:val="nil"/>
              <w:tr2bl w:val="nil"/>
            </w:tcBorders>
            <w:shd w:val="clear" w:color="auto" w:fill="FFFFFF"/>
            <w:vAlign w:val="center"/>
          </w:tcPr>
          <w:p w14:paraId="406411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2</w:t>
            </w:r>
          </w:p>
        </w:tc>
        <w:tc>
          <w:tcPr>
            <w:tcW w:w="1785" w:type="dxa"/>
            <w:tcBorders>
              <w:tl2br w:val="nil"/>
              <w:tr2bl w:val="nil"/>
            </w:tcBorders>
            <w:shd w:val="clear" w:color="auto" w:fill="FFFFFF"/>
            <w:vAlign w:val="center"/>
          </w:tcPr>
          <w:p w14:paraId="0CB78D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风机2</w:t>
            </w:r>
          </w:p>
        </w:tc>
        <w:tc>
          <w:tcPr>
            <w:tcW w:w="999" w:type="dxa"/>
            <w:tcBorders>
              <w:tl2br w:val="nil"/>
              <w:tr2bl w:val="nil"/>
            </w:tcBorders>
            <w:shd w:val="clear" w:color="auto" w:fill="FFFFFF"/>
            <w:vAlign w:val="center"/>
          </w:tcPr>
          <w:p w14:paraId="13D493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w:t>
            </w:r>
          </w:p>
        </w:tc>
        <w:tc>
          <w:tcPr>
            <w:tcW w:w="1098" w:type="dxa"/>
            <w:tcBorders>
              <w:tl2br w:val="nil"/>
              <w:tr2bl w:val="nil"/>
            </w:tcBorders>
            <w:shd w:val="clear" w:color="auto" w:fill="FFFFFF"/>
            <w:vAlign w:val="center"/>
          </w:tcPr>
          <w:p w14:paraId="404C46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-3.75</w:t>
            </w:r>
          </w:p>
        </w:tc>
        <w:tc>
          <w:tcPr>
            <w:tcW w:w="1430" w:type="dxa"/>
            <w:tcBorders>
              <w:tl2br w:val="nil"/>
              <w:tr2bl w:val="nil"/>
            </w:tcBorders>
            <w:shd w:val="clear" w:color="auto" w:fill="FFFFFF"/>
            <w:vAlign w:val="center"/>
          </w:tcPr>
          <w:p w14:paraId="7E72CA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-86.86</w:t>
            </w:r>
          </w:p>
        </w:tc>
        <w:tc>
          <w:tcPr>
            <w:tcW w:w="481" w:type="dxa"/>
            <w:tcBorders>
              <w:tl2br w:val="nil"/>
              <w:tr2bl w:val="nil"/>
            </w:tcBorders>
            <w:shd w:val="clear" w:color="auto" w:fill="FFFFFF"/>
            <w:vAlign w:val="center"/>
          </w:tcPr>
          <w:p w14:paraId="75CCF2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1</w:t>
            </w:r>
          </w:p>
        </w:tc>
        <w:tc>
          <w:tcPr>
            <w:tcW w:w="2919" w:type="dxa"/>
            <w:tcBorders>
              <w:tl2br w:val="nil"/>
              <w:tr2bl w:val="nil"/>
            </w:tcBorders>
            <w:shd w:val="clear" w:color="auto" w:fill="FFFFFF"/>
            <w:vAlign w:val="center"/>
          </w:tcPr>
          <w:p w14:paraId="322E43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21"/>
                <w:szCs w:val="21"/>
                <w:lang w:val="en-US"/>
              </w:rPr>
            </w:pPr>
            <w:r>
              <w:rPr>
                <w:rFonts w:hint="eastAsia" w:cs="Times New Roman"/>
                <w:i w:val="0"/>
                <w:iCs w:val="0"/>
                <w:color w:val="auto"/>
                <w:spacing w:val="0"/>
                <w:w w:val="100"/>
                <w:kern w:val="0"/>
                <w:position w:val="0"/>
                <w:sz w:val="21"/>
                <w:szCs w:val="21"/>
                <w:u w:val="none"/>
                <w:lang w:val="en-US" w:eastAsia="zh-CN" w:bidi="ar"/>
              </w:rPr>
              <w:t>75</w:t>
            </w:r>
          </w:p>
        </w:tc>
        <w:tc>
          <w:tcPr>
            <w:tcW w:w="2570" w:type="dxa"/>
            <w:vMerge w:val="continue"/>
            <w:tcBorders>
              <w:tl2br w:val="nil"/>
              <w:tr2bl w:val="nil"/>
            </w:tcBorders>
            <w:shd w:val="clear" w:color="auto" w:fill="FFFFFF"/>
            <w:vAlign w:val="center"/>
          </w:tcPr>
          <w:p w14:paraId="75F384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p>
        </w:tc>
        <w:tc>
          <w:tcPr>
            <w:tcW w:w="1785" w:type="dxa"/>
            <w:tcBorders>
              <w:tl2br w:val="nil"/>
              <w:tr2bl w:val="nil"/>
            </w:tcBorders>
            <w:shd w:val="clear" w:color="auto" w:fill="FFFFFF"/>
            <w:vAlign w:val="center"/>
          </w:tcPr>
          <w:p w14:paraId="4160AD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eastAsia" w:cs="Times New Roman"/>
                <w:color w:val="auto"/>
                <w:spacing w:val="0"/>
                <w:w w:val="100"/>
                <w:kern w:val="2"/>
                <w:position w:val="0"/>
                <w:sz w:val="21"/>
                <w:szCs w:val="21"/>
                <w:lang w:val="en-US" w:eastAsia="zh-CN" w:bidi="ar-SA"/>
              </w:rPr>
              <w:t>4800</w:t>
            </w:r>
            <w:r>
              <w:rPr>
                <w:rFonts w:hint="default" w:ascii="Times New Roman" w:hAnsi="Times New Roman" w:eastAsia="宋体" w:cs="Times New Roman"/>
                <w:color w:val="auto"/>
                <w:spacing w:val="0"/>
                <w:w w:val="100"/>
                <w:kern w:val="2"/>
                <w:position w:val="0"/>
                <w:sz w:val="21"/>
                <w:szCs w:val="21"/>
                <w:lang w:val="en-US" w:eastAsia="zh-CN" w:bidi="ar-SA"/>
              </w:rPr>
              <w:t>h</w:t>
            </w:r>
          </w:p>
        </w:tc>
      </w:tr>
    </w:tbl>
    <w:p w14:paraId="6C3510B2">
      <w:pPr>
        <w:pStyle w:val="33"/>
        <w:keepNext w:val="0"/>
        <w:keepLines w:val="0"/>
        <w:pageBreakBefore w:val="0"/>
        <w:widowControl w:val="0"/>
        <w:kinsoku/>
        <w:wordWrap/>
        <w:overflowPunct/>
        <w:topLinePunct w:val="0"/>
        <w:autoSpaceDE/>
        <w:autoSpaceDN/>
        <w:bidi w:val="0"/>
        <w:adjustRightInd/>
        <w:snapToGrid/>
        <w:spacing w:before="166" w:beforeLines="50"/>
        <w:jc w:val="center"/>
        <w:textAlignment w:val="auto"/>
        <w:rPr>
          <w:rFonts w:hint="default" w:ascii="Times New Roman" w:hAnsi="Times New Roman" w:eastAsia="宋体" w:cs="Times New Roman"/>
          <w:color w:val="auto"/>
          <w:spacing w:val="0"/>
          <w:w w:val="100"/>
          <w:position w:val="0"/>
          <w:sz w:val="21"/>
          <w:szCs w:val="21"/>
          <w:highlight w:val="none"/>
          <w:lang w:eastAsia="zh-CN"/>
        </w:rPr>
      </w:pPr>
      <w:r>
        <w:rPr>
          <w:rFonts w:hint="default" w:ascii="Times New Roman" w:hAnsi="Times New Roman" w:eastAsia="宋体" w:cs="Times New Roman"/>
          <w:color w:val="auto"/>
          <w:spacing w:val="0"/>
          <w:w w:val="100"/>
          <w:position w:val="0"/>
          <w:sz w:val="21"/>
          <w:szCs w:val="21"/>
          <w:highlight w:val="none"/>
          <w:lang w:eastAsia="zh-CN"/>
        </w:rPr>
        <w:t>表</w:t>
      </w:r>
      <w:r>
        <w:rPr>
          <w:rFonts w:hint="eastAsia" w:ascii="Times New Roman" w:hAnsi="Times New Roman" w:eastAsia="宋体" w:cs="Times New Roman"/>
          <w:color w:val="auto"/>
          <w:spacing w:val="0"/>
          <w:w w:val="100"/>
          <w:position w:val="0"/>
          <w:sz w:val="21"/>
          <w:szCs w:val="21"/>
          <w:highlight w:val="none"/>
          <w:lang w:val="en-US" w:eastAsia="zh-CN"/>
        </w:rPr>
        <w:t>3.</w:t>
      </w:r>
      <w:r>
        <w:rPr>
          <w:rFonts w:hint="eastAsia" w:cs="Times New Roman"/>
          <w:color w:val="auto"/>
          <w:spacing w:val="0"/>
          <w:w w:val="100"/>
          <w:position w:val="0"/>
          <w:sz w:val="21"/>
          <w:szCs w:val="21"/>
          <w:highlight w:val="none"/>
          <w:lang w:val="en-US" w:eastAsia="zh-CN"/>
        </w:rPr>
        <w:t>4.3-2</w:t>
      </w:r>
      <w:r>
        <w:rPr>
          <w:rFonts w:hint="default" w:ascii="Times New Roman" w:hAnsi="Times New Roman" w:eastAsia="宋体" w:cs="Times New Roman"/>
          <w:color w:val="auto"/>
          <w:spacing w:val="0"/>
          <w:w w:val="100"/>
          <w:position w:val="0"/>
          <w:sz w:val="21"/>
          <w:szCs w:val="21"/>
          <w:highlight w:val="none"/>
          <w:lang w:val="en-US" w:eastAsia="zh-CN"/>
        </w:rPr>
        <w:t xml:space="preserve">  </w:t>
      </w:r>
      <w:r>
        <w:rPr>
          <w:rFonts w:hint="default" w:ascii="Times New Roman" w:hAnsi="Times New Roman" w:eastAsia="宋体" w:cs="Times New Roman"/>
          <w:color w:val="auto"/>
          <w:spacing w:val="0"/>
          <w:w w:val="100"/>
          <w:position w:val="0"/>
          <w:sz w:val="21"/>
          <w:szCs w:val="21"/>
          <w:highlight w:val="none"/>
          <w:lang w:eastAsia="zh-CN"/>
        </w:rPr>
        <w:t>工业企业噪声源强调查清单（室内声源）</w:t>
      </w:r>
    </w:p>
    <w:tbl>
      <w:tblPr>
        <w:tblStyle w:val="25"/>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295"/>
        <w:gridCol w:w="423"/>
        <w:gridCol w:w="787"/>
        <w:gridCol w:w="295"/>
        <w:gridCol w:w="770"/>
        <w:gridCol w:w="939"/>
        <w:gridCol w:w="647"/>
        <w:gridCol w:w="647"/>
        <w:gridCol w:w="235"/>
        <w:gridCol w:w="519"/>
        <w:gridCol w:w="519"/>
        <w:gridCol w:w="519"/>
        <w:gridCol w:w="717"/>
        <w:gridCol w:w="519"/>
        <w:gridCol w:w="519"/>
        <w:gridCol w:w="519"/>
        <w:gridCol w:w="630"/>
        <w:gridCol w:w="388"/>
        <w:gridCol w:w="368"/>
        <w:gridCol w:w="376"/>
        <w:gridCol w:w="376"/>
        <w:gridCol w:w="402"/>
        <w:gridCol w:w="519"/>
        <w:gridCol w:w="519"/>
        <w:gridCol w:w="519"/>
        <w:gridCol w:w="519"/>
        <w:gridCol w:w="579"/>
      </w:tblGrid>
      <w:tr w14:paraId="08CD56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tblHeader/>
          <w:jc w:val="center"/>
        </w:trPr>
        <w:tc>
          <w:tcPr>
            <w:tcW w:w="104" w:type="pct"/>
            <w:vMerge w:val="restart"/>
            <w:tcBorders>
              <w:tl2br w:val="nil"/>
              <w:tr2bl w:val="nil"/>
            </w:tcBorders>
            <w:vAlign w:val="center"/>
          </w:tcPr>
          <w:p w14:paraId="1663A0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bookmarkStart w:id="239" w:name="PT_6"/>
            <w:r>
              <w:rPr>
                <w:rFonts w:hint="default" w:ascii="Times New Roman" w:hAnsi="Times New Roman" w:eastAsia="宋体" w:cs="Times New Roman"/>
                <w:b/>
                <w:color w:val="auto"/>
                <w:spacing w:val="0"/>
                <w:w w:val="100"/>
                <w:position w:val="0"/>
                <w:sz w:val="18"/>
                <w:szCs w:val="18"/>
              </w:rPr>
              <w:t>序号</w:t>
            </w:r>
          </w:p>
        </w:tc>
        <w:tc>
          <w:tcPr>
            <w:tcW w:w="151" w:type="pct"/>
            <w:vMerge w:val="restart"/>
            <w:tcBorders>
              <w:tl2br w:val="nil"/>
              <w:tr2bl w:val="nil"/>
            </w:tcBorders>
            <w:vAlign w:val="center"/>
          </w:tcPr>
          <w:p w14:paraId="4FFA62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b/>
                <w:color w:val="auto"/>
                <w:spacing w:val="0"/>
                <w:w w:val="100"/>
                <w:position w:val="0"/>
                <w:sz w:val="18"/>
                <w:szCs w:val="18"/>
              </w:rPr>
              <w:t>建筑物名称</w:t>
            </w:r>
          </w:p>
        </w:tc>
        <w:tc>
          <w:tcPr>
            <w:tcW w:w="280" w:type="pct"/>
            <w:vMerge w:val="restart"/>
            <w:tcBorders>
              <w:tl2br w:val="nil"/>
              <w:tr2bl w:val="nil"/>
            </w:tcBorders>
            <w:vAlign w:val="center"/>
          </w:tcPr>
          <w:p w14:paraId="4632BF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b/>
                <w:color w:val="auto"/>
                <w:spacing w:val="0"/>
                <w:w w:val="100"/>
                <w:position w:val="0"/>
                <w:sz w:val="18"/>
                <w:szCs w:val="18"/>
              </w:rPr>
              <w:t>声源名称</w:t>
            </w:r>
          </w:p>
        </w:tc>
        <w:tc>
          <w:tcPr>
            <w:tcW w:w="104" w:type="pct"/>
            <w:vMerge w:val="restart"/>
            <w:tcBorders>
              <w:tl2br w:val="nil"/>
              <w:tr2bl w:val="nil"/>
            </w:tcBorders>
            <w:vAlign w:val="center"/>
          </w:tcPr>
          <w:p w14:paraId="00A8E6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val="0"/>
                <w:color w:val="auto"/>
                <w:spacing w:val="0"/>
                <w:w w:val="100"/>
                <w:position w:val="0"/>
                <w:sz w:val="18"/>
                <w:szCs w:val="18"/>
              </w:rPr>
            </w:pPr>
            <w:r>
              <w:rPr>
                <w:rFonts w:hint="default" w:ascii="Times New Roman" w:hAnsi="Times New Roman" w:eastAsia="宋体" w:cs="Times New Roman"/>
                <w:b/>
                <w:bCs w:val="0"/>
                <w:color w:val="auto"/>
                <w:spacing w:val="0"/>
                <w:w w:val="100"/>
                <w:position w:val="0"/>
                <w:sz w:val="18"/>
                <w:szCs w:val="18"/>
              </w:rPr>
              <w:t>型号</w:t>
            </w:r>
          </w:p>
        </w:tc>
        <w:tc>
          <w:tcPr>
            <w:tcW w:w="274" w:type="pct"/>
            <w:tcBorders>
              <w:tl2br w:val="nil"/>
              <w:tr2bl w:val="nil"/>
            </w:tcBorders>
            <w:vAlign w:val="center"/>
          </w:tcPr>
          <w:p w14:paraId="70C987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val="0"/>
                <w:color w:val="auto"/>
                <w:spacing w:val="0"/>
                <w:w w:val="100"/>
                <w:position w:val="0"/>
                <w:sz w:val="18"/>
                <w:szCs w:val="18"/>
                <w:lang w:eastAsia="zh-CN"/>
              </w:rPr>
            </w:pPr>
            <w:r>
              <w:rPr>
                <w:rFonts w:hint="default" w:ascii="Times New Roman" w:hAnsi="Times New Roman" w:eastAsia="宋体" w:cs="Times New Roman"/>
                <w:b/>
                <w:bCs w:val="0"/>
                <w:color w:val="auto"/>
                <w:spacing w:val="0"/>
                <w:w w:val="100"/>
                <w:position w:val="0"/>
                <w:sz w:val="18"/>
                <w:szCs w:val="18"/>
                <w:lang w:eastAsia="zh-CN"/>
              </w:rPr>
              <w:t>声源源强</w:t>
            </w:r>
          </w:p>
        </w:tc>
        <w:tc>
          <w:tcPr>
            <w:tcW w:w="334" w:type="pct"/>
            <w:vMerge w:val="restart"/>
            <w:tcBorders>
              <w:tl2br w:val="nil"/>
              <w:tr2bl w:val="nil"/>
            </w:tcBorders>
            <w:vAlign w:val="center"/>
          </w:tcPr>
          <w:p w14:paraId="3022DF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b/>
                <w:color w:val="auto"/>
                <w:spacing w:val="0"/>
                <w:w w:val="100"/>
                <w:position w:val="0"/>
                <w:sz w:val="18"/>
                <w:szCs w:val="18"/>
              </w:rPr>
              <w:t>声源控制措施</w:t>
            </w:r>
          </w:p>
        </w:tc>
        <w:tc>
          <w:tcPr>
            <w:tcW w:w="543" w:type="pct"/>
            <w:gridSpan w:val="3"/>
            <w:tcBorders>
              <w:tl2br w:val="nil"/>
              <w:tr2bl w:val="nil"/>
            </w:tcBorders>
            <w:vAlign w:val="center"/>
          </w:tcPr>
          <w:p w14:paraId="6E405B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b/>
                <w:color w:val="auto"/>
                <w:spacing w:val="0"/>
                <w:w w:val="100"/>
                <w:position w:val="0"/>
                <w:sz w:val="18"/>
                <w:szCs w:val="18"/>
              </w:rPr>
              <w:t>空间相对位置/m</w:t>
            </w:r>
          </w:p>
        </w:tc>
        <w:tc>
          <w:tcPr>
            <w:tcW w:w="807" w:type="pct"/>
            <w:gridSpan w:val="4"/>
            <w:tcBorders>
              <w:tl2br w:val="nil"/>
              <w:tr2bl w:val="nil"/>
            </w:tcBorders>
            <w:vAlign w:val="center"/>
          </w:tcPr>
          <w:p w14:paraId="4A2706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pacing w:val="0"/>
                <w:w w:val="100"/>
                <w:position w:val="0"/>
                <w:sz w:val="18"/>
                <w:szCs w:val="18"/>
              </w:rPr>
            </w:pPr>
            <w:r>
              <w:rPr>
                <w:rFonts w:hint="default" w:ascii="Times New Roman" w:hAnsi="Times New Roman" w:eastAsia="宋体" w:cs="Times New Roman"/>
                <w:b/>
                <w:color w:val="auto"/>
                <w:spacing w:val="0"/>
                <w:w w:val="100"/>
                <w:position w:val="0"/>
                <w:sz w:val="18"/>
                <w:szCs w:val="18"/>
              </w:rPr>
              <w:t>距室内边界距离/m</w:t>
            </w:r>
          </w:p>
        </w:tc>
        <w:tc>
          <w:tcPr>
            <w:tcW w:w="776" w:type="pct"/>
            <w:gridSpan w:val="4"/>
            <w:tcBorders>
              <w:tl2br w:val="nil"/>
              <w:tr2bl w:val="nil"/>
            </w:tcBorders>
            <w:vAlign w:val="center"/>
          </w:tcPr>
          <w:p w14:paraId="5C9E36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pacing w:val="0"/>
                <w:w w:val="100"/>
                <w:position w:val="0"/>
                <w:sz w:val="18"/>
                <w:szCs w:val="18"/>
              </w:rPr>
            </w:pPr>
            <w:r>
              <w:rPr>
                <w:rFonts w:hint="default" w:ascii="Times New Roman" w:hAnsi="Times New Roman" w:eastAsia="宋体" w:cs="Times New Roman"/>
                <w:b/>
                <w:color w:val="auto"/>
                <w:spacing w:val="0"/>
                <w:w w:val="100"/>
                <w:position w:val="0"/>
                <w:sz w:val="18"/>
                <w:szCs w:val="18"/>
              </w:rPr>
              <w:t>室内边界声级/dB(A)</w:t>
            </w:r>
          </w:p>
        </w:tc>
        <w:tc>
          <w:tcPr>
            <w:tcW w:w="138" w:type="pct"/>
            <w:vMerge w:val="restart"/>
            <w:tcBorders>
              <w:tl2br w:val="nil"/>
              <w:tr2bl w:val="nil"/>
            </w:tcBorders>
            <w:vAlign w:val="center"/>
          </w:tcPr>
          <w:p w14:paraId="665F1B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b/>
                <w:color w:val="auto"/>
                <w:spacing w:val="0"/>
                <w:w w:val="100"/>
                <w:position w:val="0"/>
                <w:sz w:val="18"/>
                <w:szCs w:val="18"/>
              </w:rPr>
              <w:t>运行时段</w:t>
            </w:r>
          </w:p>
        </w:tc>
        <w:tc>
          <w:tcPr>
            <w:tcW w:w="542" w:type="pct"/>
            <w:gridSpan w:val="4"/>
            <w:tcBorders>
              <w:tl2br w:val="nil"/>
              <w:tr2bl w:val="nil"/>
            </w:tcBorders>
            <w:vAlign w:val="center"/>
          </w:tcPr>
          <w:p w14:paraId="1CA0C2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color w:val="auto"/>
                <w:spacing w:val="0"/>
                <w:w w:val="100"/>
                <w:position w:val="0"/>
                <w:sz w:val="18"/>
                <w:szCs w:val="18"/>
              </w:rPr>
            </w:pPr>
            <w:r>
              <w:rPr>
                <w:rFonts w:hint="default" w:ascii="Times New Roman" w:hAnsi="Times New Roman" w:eastAsia="宋体" w:cs="Times New Roman"/>
                <w:b/>
                <w:color w:val="auto"/>
                <w:spacing w:val="0"/>
                <w:w w:val="100"/>
                <w:position w:val="0"/>
                <w:sz w:val="18"/>
                <w:szCs w:val="18"/>
              </w:rPr>
              <w:t>建筑物插入损失/dB(A)</w:t>
            </w:r>
            <w:bookmarkStart w:id="240" w:name="PT_10"/>
            <w:bookmarkEnd w:id="240"/>
          </w:p>
        </w:tc>
        <w:tc>
          <w:tcPr>
            <w:tcW w:w="942" w:type="pct"/>
            <w:gridSpan w:val="5"/>
            <w:tcBorders>
              <w:tl2br w:val="nil"/>
              <w:tr2bl w:val="nil"/>
            </w:tcBorders>
            <w:vAlign w:val="center"/>
          </w:tcPr>
          <w:p w14:paraId="2DF031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val="0"/>
                <w:color w:val="auto"/>
                <w:spacing w:val="0"/>
                <w:w w:val="100"/>
                <w:position w:val="0"/>
                <w:sz w:val="18"/>
                <w:szCs w:val="18"/>
              </w:rPr>
            </w:pPr>
            <w:r>
              <w:rPr>
                <w:rFonts w:hint="default" w:ascii="Times New Roman" w:hAnsi="Times New Roman" w:eastAsia="宋体" w:cs="Times New Roman"/>
                <w:b/>
                <w:bCs w:val="0"/>
                <w:color w:val="auto"/>
                <w:spacing w:val="0"/>
                <w:w w:val="100"/>
                <w:position w:val="0"/>
                <w:sz w:val="18"/>
                <w:szCs w:val="18"/>
              </w:rPr>
              <w:t>建筑物外噪声声压级/dB(A)</w:t>
            </w:r>
          </w:p>
        </w:tc>
      </w:tr>
      <w:tr w14:paraId="2E66EB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tblHeader/>
          <w:jc w:val="center"/>
        </w:trPr>
        <w:tc>
          <w:tcPr>
            <w:tcW w:w="104" w:type="pct"/>
            <w:vMerge w:val="continue"/>
            <w:tcBorders>
              <w:tl2br w:val="nil"/>
              <w:tr2bl w:val="nil"/>
            </w:tcBorders>
            <w:shd w:val="clear" w:color="auto" w:fill="FFFFFF"/>
            <w:vAlign w:val="center"/>
          </w:tcPr>
          <w:p w14:paraId="743D89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p>
        </w:tc>
        <w:tc>
          <w:tcPr>
            <w:tcW w:w="151" w:type="pct"/>
            <w:vMerge w:val="continue"/>
            <w:tcBorders>
              <w:tl2br w:val="nil"/>
              <w:tr2bl w:val="nil"/>
            </w:tcBorders>
            <w:shd w:val="clear" w:color="auto" w:fill="FFFFFF"/>
            <w:vAlign w:val="center"/>
          </w:tcPr>
          <w:p w14:paraId="783FF3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25B393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104" w:type="pct"/>
            <w:vMerge w:val="continue"/>
            <w:tcBorders>
              <w:tl2br w:val="nil"/>
              <w:tr2bl w:val="nil"/>
            </w:tcBorders>
            <w:shd w:val="clear" w:color="auto" w:fill="FFFFFF"/>
            <w:vAlign w:val="center"/>
          </w:tcPr>
          <w:p w14:paraId="1F4062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val="0"/>
                <w:color w:val="auto"/>
                <w:spacing w:val="0"/>
                <w:w w:val="100"/>
                <w:position w:val="0"/>
                <w:sz w:val="18"/>
                <w:szCs w:val="18"/>
              </w:rPr>
            </w:pPr>
          </w:p>
        </w:tc>
        <w:tc>
          <w:tcPr>
            <w:tcW w:w="274" w:type="pct"/>
            <w:tcBorders>
              <w:tl2br w:val="nil"/>
              <w:tr2bl w:val="nil"/>
            </w:tcBorders>
            <w:shd w:val="clear" w:color="auto" w:fill="FFFFFF"/>
            <w:vAlign w:val="center"/>
          </w:tcPr>
          <w:p w14:paraId="5B6498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val="0"/>
                <w:color w:val="auto"/>
                <w:spacing w:val="0"/>
                <w:w w:val="100"/>
                <w:position w:val="0"/>
                <w:sz w:val="18"/>
                <w:szCs w:val="18"/>
              </w:rPr>
            </w:pPr>
            <w:r>
              <w:rPr>
                <w:rFonts w:hint="default" w:ascii="Times New Roman" w:hAnsi="Times New Roman" w:eastAsia="宋体" w:cs="Times New Roman"/>
                <w:b/>
                <w:bCs w:val="0"/>
                <w:color w:val="auto"/>
                <w:spacing w:val="0"/>
                <w:w w:val="100"/>
                <w:position w:val="0"/>
                <w:sz w:val="18"/>
                <w:szCs w:val="18"/>
              </w:rPr>
              <w:t>声功率级/dB</w:t>
            </w:r>
          </w:p>
          <w:p w14:paraId="1FB175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val="0"/>
                <w:color w:val="auto"/>
                <w:spacing w:val="0"/>
                <w:w w:val="100"/>
                <w:position w:val="0"/>
                <w:sz w:val="18"/>
                <w:szCs w:val="18"/>
              </w:rPr>
            </w:pPr>
            <w:r>
              <w:rPr>
                <w:rFonts w:hint="default" w:ascii="Times New Roman" w:hAnsi="Times New Roman" w:eastAsia="宋体" w:cs="Times New Roman"/>
                <w:b/>
                <w:bCs w:val="0"/>
                <w:color w:val="auto"/>
                <w:spacing w:val="0"/>
                <w:w w:val="100"/>
                <w:position w:val="0"/>
                <w:sz w:val="18"/>
                <w:szCs w:val="18"/>
              </w:rPr>
              <w:t>(A)</w:t>
            </w:r>
          </w:p>
        </w:tc>
        <w:tc>
          <w:tcPr>
            <w:tcW w:w="334" w:type="pct"/>
            <w:vMerge w:val="continue"/>
            <w:tcBorders>
              <w:tl2br w:val="nil"/>
              <w:tr2bl w:val="nil"/>
            </w:tcBorders>
            <w:shd w:val="clear" w:color="auto" w:fill="FFFFFF"/>
            <w:vAlign w:val="center"/>
          </w:tcPr>
          <w:p w14:paraId="3AFC14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0D3D18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position w:val="0"/>
                <w:sz w:val="18"/>
                <w:szCs w:val="18"/>
              </w:rPr>
            </w:pPr>
            <w:r>
              <w:rPr>
                <w:rFonts w:hint="default" w:ascii="Times New Roman" w:hAnsi="Times New Roman" w:eastAsia="宋体" w:cs="Times New Roman"/>
                <w:b/>
                <w:bCs/>
                <w:color w:val="auto"/>
                <w:spacing w:val="0"/>
                <w:w w:val="100"/>
                <w:position w:val="0"/>
                <w:sz w:val="18"/>
                <w:szCs w:val="18"/>
              </w:rPr>
              <w:t>X</w:t>
            </w:r>
          </w:p>
        </w:tc>
        <w:tc>
          <w:tcPr>
            <w:tcW w:w="230" w:type="pct"/>
            <w:tcBorders>
              <w:tl2br w:val="nil"/>
              <w:tr2bl w:val="nil"/>
            </w:tcBorders>
            <w:shd w:val="clear" w:color="auto" w:fill="FFFFFF"/>
            <w:vAlign w:val="center"/>
          </w:tcPr>
          <w:p w14:paraId="06D800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position w:val="0"/>
                <w:sz w:val="18"/>
                <w:szCs w:val="18"/>
              </w:rPr>
            </w:pPr>
            <w:r>
              <w:rPr>
                <w:rFonts w:hint="default" w:ascii="Times New Roman" w:hAnsi="Times New Roman" w:eastAsia="宋体" w:cs="Times New Roman"/>
                <w:b/>
                <w:bCs/>
                <w:color w:val="auto"/>
                <w:spacing w:val="0"/>
                <w:w w:val="100"/>
                <w:position w:val="0"/>
                <w:sz w:val="18"/>
                <w:szCs w:val="18"/>
              </w:rPr>
              <w:t>Y</w:t>
            </w:r>
          </w:p>
        </w:tc>
        <w:tc>
          <w:tcPr>
            <w:tcW w:w="83" w:type="pct"/>
            <w:tcBorders>
              <w:tl2br w:val="nil"/>
              <w:tr2bl w:val="nil"/>
            </w:tcBorders>
            <w:shd w:val="clear" w:color="auto" w:fill="FFFFFF"/>
            <w:vAlign w:val="center"/>
          </w:tcPr>
          <w:p w14:paraId="188CD1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position w:val="0"/>
                <w:sz w:val="18"/>
                <w:szCs w:val="18"/>
              </w:rPr>
            </w:pPr>
            <w:r>
              <w:rPr>
                <w:rFonts w:hint="default" w:ascii="Times New Roman" w:hAnsi="Times New Roman" w:eastAsia="宋体" w:cs="Times New Roman"/>
                <w:b/>
                <w:bCs/>
                <w:color w:val="auto"/>
                <w:spacing w:val="0"/>
                <w:w w:val="100"/>
                <w:position w:val="0"/>
                <w:sz w:val="18"/>
                <w:szCs w:val="18"/>
              </w:rPr>
              <w:t>Z</w:t>
            </w:r>
          </w:p>
        </w:tc>
        <w:tc>
          <w:tcPr>
            <w:tcW w:w="184" w:type="pct"/>
            <w:tcBorders>
              <w:tl2br w:val="nil"/>
              <w:tr2bl w:val="nil"/>
            </w:tcBorders>
            <w:shd w:val="clear" w:color="auto" w:fill="FFFFFF"/>
            <w:vAlign w:val="center"/>
          </w:tcPr>
          <w:p w14:paraId="37E43B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position w:val="0"/>
                <w:sz w:val="18"/>
                <w:szCs w:val="18"/>
              </w:rPr>
            </w:pPr>
            <w:r>
              <w:rPr>
                <w:rFonts w:hint="default" w:ascii="Times New Roman" w:hAnsi="Times New Roman" w:eastAsia="宋体" w:cs="Times New Roman"/>
                <w:b/>
                <w:bCs/>
                <w:color w:val="auto"/>
                <w:spacing w:val="0"/>
                <w:w w:val="100"/>
                <w:position w:val="0"/>
                <w:sz w:val="18"/>
                <w:szCs w:val="18"/>
                <w:lang w:val="en-US" w:eastAsia="zh-CN"/>
              </w:rPr>
              <w:t>东</w:t>
            </w:r>
          </w:p>
        </w:tc>
        <w:tc>
          <w:tcPr>
            <w:tcW w:w="184" w:type="pct"/>
            <w:tcBorders>
              <w:tl2br w:val="nil"/>
              <w:tr2bl w:val="nil"/>
            </w:tcBorders>
            <w:shd w:val="clear" w:color="auto" w:fill="FFFFFF"/>
            <w:vAlign w:val="center"/>
          </w:tcPr>
          <w:p w14:paraId="7374A9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position w:val="0"/>
                <w:sz w:val="18"/>
                <w:szCs w:val="18"/>
              </w:rPr>
            </w:pPr>
            <w:r>
              <w:rPr>
                <w:rFonts w:hint="default" w:ascii="Times New Roman" w:hAnsi="Times New Roman" w:eastAsia="宋体" w:cs="Times New Roman"/>
                <w:b/>
                <w:bCs/>
                <w:color w:val="auto"/>
                <w:spacing w:val="0"/>
                <w:w w:val="100"/>
                <w:position w:val="0"/>
                <w:sz w:val="18"/>
                <w:szCs w:val="18"/>
                <w:lang w:val="en-US" w:eastAsia="zh-CN"/>
              </w:rPr>
              <w:t>南</w:t>
            </w:r>
          </w:p>
        </w:tc>
        <w:tc>
          <w:tcPr>
            <w:tcW w:w="184" w:type="pct"/>
            <w:tcBorders>
              <w:tl2br w:val="nil"/>
              <w:tr2bl w:val="nil"/>
            </w:tcBorders>
            <w:shd w:val="clear" w:color="auto" w:fill="FFFFFF"/>
            <w:vAlign w:val="center"/>
          </w:tcPr>
          <w:p w14:paraId="2F9616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position w:val="0"/>
                <w:sz w:val="18"/>
                <w:szCs w:val="18"/>
              </w:rPr>
            </w:pPr>
            <w:r>
              <w:rPr>
                <w:rFonts w:hint="default" w:ascii="Times New Roman" w:hAnsi="Times New Roman" w:eastAsia="宋体" w:cs="Times New Roman"/>
                <w:b/>
                <w:bCs/>
                <w:color w:val="auto"/>
                <w:spacing w:val="0"/>
                <w:w w:val="100"/>
                <w:position w:val="0"/>
                <w:sz w:val="18"/>
                <w:szCs w:val="18"/>
                <w:lang w:val="en-US" w:eastAsia="zh-CN"/>
              </w:rPr>
              <w:t>西</w:t>
            </w:r>
          </w:p>
        </w:tc>
        <w:tc>
          <w:tcPr>
            <w:tcW w:w="253" w:type="pct"/>
            <w:tcBorders>
              <w:tl2br w:val="nil"/>
              <w:tr2bl w:val="nil"/>
            </w:tcBorders>
            <w:shd w:val="clear" w:color="auto" w:fill="FFFFFF"/>
            <w:vAlign w:val="center"/>
          </w:tcPr>
          <w:p w14:paraId="605A88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position w:val="0"/>
                <w:sz w:val="18"/>
                <w:szCs w:val="18"/>
              </w:rPr>
            </w:pPr>
            <w:r>
              <w:rPr>
                <w:rFonts w:hint="default" w:ascii="Times New Roman" w:hAnsi="Times New Roman" w:eastAsia="宋体" w:cs="Times New Roman"/>
                <w:b/>
                <w:bCs/>
                <w:color w:val="auto"/>
                <w:spacing w:val="0"/>
                <w:w w:val="100"/>
                <w:position w:val="0"/>
                <w:sz w:val="18"/>
                <w:szCs w:val="18"/>
                <w:lang w:val="en-US" w:eastAsia="zh-CN"/>
              </w:rPr>
              <w:t>北</w:t>
            </w:r>
          </w:p>
        </w:tc>
        <w:tc>
          <w:tcPr>
            <w:tcW w:w="184" w:type="pct"/>
            <w:tcBorders>
              <w:tl2br w:val="nil"/>
              <w:tr2bl w:val="nil"/>
            </w:tcBorders>
            <w:shd w:val="clear" w:color="auto" w:fill="FFFFFF"/>
            <w:vAlign w:val="center"/>
          </w:tcPr>
          <w:p w14:paraId="6FBAEB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position w:val="0"/>
                <w:sz w:val="18"/>
                <w:szCs w:val="18"/>
              </w:rPr>
            </w:pPr>
            <w:r>
              <w:rPr>
                <w:rFonts w:hint="default" w:ascii="Times New Roman" w:hAnsi="Times New Roman" w:eastAsia="宋体" w:cs="Times New Roman"/>
                <w:b/>
                <w:bCs/>
                <w:color w:val="auto"/>
                <w:spacing w:val="0"/>
                <w:w w:val="100"/>
                <w:position w:val="0"/>
                <w:sz w:val="18"/>
                <w:szCs w:val="18"/>
                <w:lang w:val="en-US" w:eastAsia="zh-CN"/>
              </w:rPr>
              <w:t>东</w:t>
            </w:r>
          </w:p>
        </w:tc>
        <w:tc>
          <w:tcPr>
            <w:tcW w:w="184" w:type="pct"/>
            <w:tcBorders>
              <w:tl2br w:val="nil"/>
              <w:tr2bl w:val="nil"/>
            </w:tcBorders>
            <w:shd w:val="clear" w:color="auto" w:fill="FFFFFF"/>
            <w:vAlign w:val="center"/>
          </w:tcPr>
          <w:p w14:paraId="389422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position w:val="0"/>
                <w:sz w:val="18"/>
                <w:szCs w:val="18"/>
              </w:rPr>
            </w:pPr>
            <w:r>
              <w:rPr>
                <w:rFonts w:hint="default" w:ascii="Times New Roman" w:hAnsi="Times New Roman" w:eastAsia="宋体" w:cs="Times New Roman"/>
                <w:b/>
                <w:bCs/>
                <w:color w:val="auto"/>
                <w:spacing w:val="0"/>
                <w:w w:val="100"/>
                <w:position w:val="0"/>
                <w:sz w:val="18"/>
                <w:szCs w:val="18"/>
                <w:lang w:val="en-US" w:eastAsia="zh-CN"/>
              </w:rPr>
              <w:t>南</w:t>
            </w:r>
          </w:p>
        </w:tc>
        <w:tc>
          <w:tcPr>
            <w:tcW w:w="184" w:type="pct"/>
            <w:tcBorders>
              <w:tl2br w:val="nil"/>
              <w:tr2bl w:val="nil"/>
            </w:tcBorders>
            <w:shd w:val="clear" w:color="auto" w:fill="FFFFFF"/>
            <w:vAlign w:val="center"/>
          </w:tcPr>
          <w:p w14:paraId="3DF9B9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position w:val="0"/>
                <w:sz w:val="18"/>
                <w:szCs w:val="18"/>
              </w:rPr>
            </w:pPr>
            <w:r>
              <w:rPr>
                <w:rFonts w:hint="default" w:ascii="Times New Roman" w:hAnsi="Times New Roman" w:eastAsia="宋体" w:cs="Times New Roman"/>
                <w:b/>
                <w:bCs/>
                <w:color w:val="auto"/>
                <w:spacing w:val="0"/>
                <w:w w:val="100"/>
                <w:position w:val="0"/>
                <w:sz w:val="18"/>
                <w:szCs w:val="18"/>
                <w:lang w:val="en-US" w:eastAsia="zh-CN"/>
              </w:rPr>
              <w:t>西</w:t>
            </w:r>
          </w:p>
        </w:tc>
        <w:tc>
          <w:tcPr>
            <w:tcW w:w="222" w:type="pct"/>
            <w:tcBorders>
              <w:tl2br w:val="nil"/>
              <w:tr2bl w:val="nil"/>
            </w:tcBorders>
            <w:shd w:val="clear" w:color="auto" w:fill="FFFFFF"/>
            <w:vAlign w:val="center"/>
          </w:tcPr>
          <w:p w14:paraId="70E85E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position w:val="0"/>
                <w:sz w:val="18"/>
                <w:szCs w:val="18"/>
              </w:rPr>
            </w:pPr>
            <w:r>
              <w:rPr>
                <w:rFonts w:hint="default" w:ascii="Times New Roman" w:hAnsi="Times New Roman" w:eastAsia="宋体" w:cs="Times New Roman"/>
                <w:b/>
                <w:bCs/>
                <w:color w:val="auto"/>
                <w:spacing w:val="0"/>
                <w:w w:val="100"/>
                <w:position w:val="0"/>
                <w:sz w:val="18"/>
                <w:szCs w:val="18"/>
                <w:lang w:val="en-US" w:eastAsia="zh-CN"/>
              </w:rPr>
              <w:t>北</w:t>
            </w:r>
          </w:p>
        </w:tc>
        <w:tc>
          <w:tcPr>
            <w:tcW w:w="138" w:type="pct"/>
            <w:vMerge w:val="continue"/>
            <w:tcBorders>
              <w:tl2br w:val="nil"/>
              <w:tr2bl w:val="nil"/>
            </w:tcBorders>
            <w:shd w:val="clear" w:color="auto" w:fill="FFFFFF"/>
            <w:vAlign w:val="center"/>
          </w:tcPr>
          <w:p w14:paraId="5ABAEE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131" w:type="pct"/>
            <w:tcBorders>
              <w:tl2br w:val="nil"/>
              <w:tr2bl w:val="nil"/>
            </w:tcBorders>
            <w:shd w:val="clear" w:color="auto" w:fill="FFFFFF"/>
            <w:vAlign w:val="center"/>
          </w:tcPr>
          <w:p w14:paraId="25193F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position w:val="0"/>
                <w:sz w:val="18"/>
                <w:szCs w:val="18"/>
              </w:rPr>
            </w:pPr>
            <w:r>
              <w:rPr>
                <w:rFonts w:hint="default" w:ascii="Times New Roman" w:hAnsi="Times New Roman" w:eastAsia="宋体" w:cs="Times New Roman"/>
                <w:b/>
                <w:bCs/>
                <w:color w:val="auto"/>
                <w:spacing w:val="0"/>
                <w:w w:val="100"/>
                <w:position w:val="0"/>
                <w:sz w:val="18"/>
                <w:szCs w:val="18"/>
                <w:lang w:val="en-US" w:eastAsia="zh-CN"/>
              </w:rPr>
              <w:t>东</w:t>
            </w:r>
          </w:p>
        </w:tc>
        <w:tc>
          <w:tcPr>
            <w:tcW w:w="134" w:type="pct"/>
            <w:tcBorders>
              <w:tl2br w:val="nil"/>
              <w:tr2bl w:val="nil"/>
            </w:tcBorders>
            <w:shd w:val="clear" w:color="auto" w:fill="FFFFFF"/>
            <w:vAlign w:val="center"/>
          </w:tcPr>
          <w:p w14:paraId="411457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position w:val="0"/>
                <w:sz w:val="18"/>
                <w:szCs w:val="18"/>
              </w:rPr>
            </w:pPr>
            <w:r>
              <w:rPr>
                <w:rFonts w:hint="default" w:ascii="Times New Roman" w:hAnsi="Times New Roman" w:eastAsia="宋体" w:cs="Times New Roman"/>
                <w:b/>
                <w:bCs/>
                <w:color w:val="auto"/>
                <w:spacing w:val="0"/>
                <w:w w:val="100"/>
                <w:position w:val="0"/>
                <w:sz w:val="18"/>
                <w:szCs w:val="18"/>
                <w:lang w:val="en-US" w:eastAsia="zh-CN"/>
              </w:rPr>
              <w:t>南</w:t>
            </w:r>
          </w:p>
        </w:tc>
        <w:tc>
          <w:tcPr>
            <w:tcW w:w="134" w:type="pct"/>
            <w:tcBorders>
              <w:tl2br w:val="nil"/>
              <w:tr2bl w:val="nil"/>
            </w:tcBorders>
            <w:shd w:val="clear" w:color="auto" w:fill="FFFFFF"/>
            <w:vAlign w:val="center"/>
          </w:tcPr>
          <w:p w14:paraId="018964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position w:val="0"/>
                <w:sz w:val="18"/>
                <w:szCs w:val="18"/>
              </w:rPr>
            </w:pPr>
            <w:r>
              <w:rPr>
                <w:rFonts w:hint="default" w:ascii="Times New Roman" w:hAnsi="Times New Roman" w:eastAsia="宋体" w:cs="Times New Roman"/>
                <w:b/>
                <w:bCs/>
                <w:color w:val="auto"/>
                <w:spacing w:val="0"/>
                <w:w w:val="100"/>
                <w:position w:val="0"/>
                <w:sz w:val="18"/>
                <w:szCs w:val="18"/>
                <w:lang w:val="en-US" w:eastAsia="zh-CN"/>
              </w:rPr>
              <w:t>西</w:t>
            </w:r>
          </w:p>
        </w:tc>
        <w:tc>
          <w:tcPr>
            <w:tcW w:w="140" w:type="pct"/>
            <w:tcBorders>
              <w:tl2br w:val="nil"/>
              <w:tr2bl w:val="nil"/>
            </w:tcBorders>
            <w:shd w:val="clear" w:color="auto" w:fill="FFFFFF"/>
            <w:vAlign w:val="center"/>
          </w:tcPr>
          <w:p w14:paraId="74FCFA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position w:val="0"/>
                <w:sz w:val="18"/>
                <w:szCs w:val="18"/>
              </w:rPr>
            </w:pPr>
            <w:r>
              <w:rPr>
                <w:rFonts w:hint="default" w:ascii="Times New Roman" w:hAnsi="Times New Roman" w:eastAsia="宋体" w:cs="Times New Roman"/>
                <w:b/>
                <w:bCs/>
                <w:color w:val="auto"/>
                <w:spacing w:val="0"/>
                <w:w w:val="100"/>
                <w:position w:val="0"/>
                <w:sz w:val="18"/>
                <w:szCs w:val="18"/>
                <w:lang w:val="en-US" w:eastAsia="zh-CN"/>
              </w:rPr>
              <w:t>北</w:t>
            </w:r>
          </w:p>
        </w:tc>
        <w:tc>
          <w:tcPr>
            <w:tcW w:w="184" w:type="pct"/>
            <w:tcBorders>
              <w:tl2br w:val="nil"/>
              <w:tr2bl w:val="nil"/>
            </w:tcBorders>
            <w:shd w:val="clear" w:color="auto" w:fill="FFFFFF"/>
            <w:vAlign w:val="center"/>
          </w:tcPr>
          <w:p w14:paraId="4925E8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position w:val="0"/>
                <w:sz w:val="18"/>
                <w:szCs w:val="18"/>
              </w:rPr>
            </w:pPr>
            <w:r>
              <w:rPr>
                <w:rFonts w:hint="default" w:ascii="Times New Roman" w:hAnsi="Times New Roman" w:eastAsia="宋体" w:cs="Times New Roman"/>
                <w:b/>
                <w:bCs/>
                <w:color w:val="auto"/>
                <w:spacing w:val="0"/>
                <w:w w:val="100"/>
                <w:position w:val="0"/>
                <w:sz w:val="18"/>
                <w:szCs w:val="18"/>
                <w:lang w:val="en-US" w:eastAsia="zh-CN"/>
              </w:rPr>
              <w:t>东</w:t>
            </w:r>
          </w:p>
        </w:tc>
        <w:tc>
          <w:tcPr>
            <w:tcW w:w="184" w:type="pct"/>
            <w:tcBorders>
              <w:tl2br w:val="nil"/>
              <w:tr2bl w:val="nil"/>
            </w:tcBorders>
            <w:shd w:val="clear" w:color="auto" w:fill="FFFFFF"/>
            <w:vAlign w:val="center"/>
          </w:tcPr>
          <w:p w14:paraId="7AAB54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position w:val="0"/>
                <w:sz w:val="18"/>
                <w:szCs w:val="18"/>
              </w:rPr>
            </w:pPr>
            <w:r>
              <w:rPr>
                <w:rFonts w:hint="default" w:ascii="Times New Roman" w:hAnsi="Times New Roman" w:eastAsia="宋体" w:cs="Times New Roman"/>
                <w:b/>
                <w:bCs/>
                <w:color w:val="auto"/>
                <w:spacing w:val="0"/>
                <w:w w:val="100"/>
                <w:position w:val="0"/>
                <w:sz w:val="18"/>
                <w:szCs w:val="18"/>
                <w:lang w:val="en-US" w:eastAsia="zh-CN"/>
              </w:rPr>
              <w:t>南</w:t>
            </w:r>
          </w:p>
        </w:tc>
        <w:tc>
          <w:tcPr>
            <w:tcW w:w="184" w:type="pct"/>
            <w:tcBorders>
              <w:tl2br w:val="nil"/>
              <w:tr2bl w:val="nil"/>
            </w:tcBorders>
            <w:shd w:val="clear" w:color="auto" w:fill="FFFFFF"/>
            <w:vAlign w:val="center"/>
          </w:tcPr>
          <w:p w14:paraId="4C0E2A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position w:val="0"/>
                <w:sz w:val="18"/>
                <w:szCs w:val="18"/>
              </w:rPr>
            </w:pPr>
            <w:r>
              <w:rPr>
                <w:rFonts w:hint="default" w:ascii="Times New Roman" w:hAnsi="Times New Roman" w:eastAsia="宋体" w:cs="Times New Roman"/>
                <w:b/>
                <w:bCs/>
                <w:color w:val="auto"/>
                <w:spacing w:val="0"/>
                <w:w w:val="100"/>
                <w:position w:val="0"/>
                <w:sz w:val="18"/>
                <w:szCs w:val="18"/>
                <w:lang w:val="en-US" w:eastAsia="zh-CN"/>
              </w:rPr>
              <w:t>西</w:t>
            </w:r>
          </w:p>
        </w:tc>
        <w:tc>
          <w:tcPr>
            <w:tcW w:w="184" w:type="pct"/>
            <w:tcBorders>
              <w:tl2br w:val="nil"/>
              <w:tr2bl w:val="nil"/>
            </w:tcBorders>
            <w:shd w:val="clear" w:color="auto" w:fill="FFFFFF"/>
            <w:vAlign w:val="center"/>
          </w:tcPr>
          <w:p w14:paraId="1D6220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position w:val="0"/>
                <w:sz w:val="18"/>
                <w:szCs w:val="18"/>
              </w:rPr>
            </w:pPr>
            <w:r>
              <w:rPr>
                <w:rFonts w:hint="default" w:ascii="Times New Roman" w:hAnsi="Times New Roman" w:eastAsia="宋体" w:cs="Times New Roman"/>
                <w:b/>
                <w:bCs/>
                <w:color w:val="auto"/>
                <w:spacing w:val="0"/>
                <w:w w:val="100"/>
                <w:position w:val="0"/>
                <w:sz w:val="18"/>
                <w:szCs w:val="18"/>
                <w:lang w:val="en-US" w:eastAsia="zh-CN"/>
              </w:rPr>
              <w:t>北</w:t>
            </w:r>
          </w:p>
        </w:tc>
        <w:tc>
          <w:tcPr>
            <w:tcW w:w="204" w:type="pct"/>
            <w:tcBorders>
              <w:tl2br w:val="nil"/>
              <w:tr2bl w:val="nil"/>
            </w:tcBorders>
            <w:shd w:val="clear" w:color="auto" w:fill="FFFFFF"/>
            <w:vAlign w:val="center"/>
          </w:tcPr>
          <w:p w14:paraId="283F3F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position w:val="0"/>
                <w:sz w:val="18"/>
                <w:szCs w:val="18"/>
              </w:rPr>
            </w:pPr>
            <w:r>
              <w:rPr>
                <w:rFonts w:hint="default" w:ascii="Times New Roman" w:hAnsi="Times New Roman" w:eastAsia="宋体" w:cs="Times New Roman"/>
                <w:b/>
                <w:bCs/>
                <w:color w:val="auto"/>
                <w:spacing w:val="0"/>
                <w:w w:val="100"/>
                <w:position w:val="0"/>
                <w:sz w:val="18"/>
                <w:szCs w:val="18"/>
              </w:rPr>
              <w:t>建筑物外距离</w:t>
            </w:r>
          </w:p>
        </w:tc>
      </w:tr>
      <w:tr w14:paraId="479080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7C664C4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51" w:type="pct"/>
            <w:vMerge w:val="restart"/>
            <w:tcBorders>
              <w:tl2br w:val="nil"/>
              <w:tr2bl w:val="nil"/>
            </w:tcBorders>
            <w:shd w:val="clear" w:color="auto" w:fill="FFFFFF"/>
            <w:vAlign w:val="center"/>
          </w:tcPr>
          <w:p w14:paraId="524C81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default" w:ascii="Times New Roman" w:hAnsi="Times New Roman" w:cs="Times New Roman"/>
                <w:color w:val="auto"/>
                <w:spacing w:val="0"/>
                <w:w w:val="100"/>
                <w:position w:val="0"/>
                <w:sz w:val="18"/>
                <w:szCs w:val="18"/>
                <w:lang w:val="en-US" w:eastAsia="zh-CN"/>
              </w:rPr>
              <w:t>生产车间</w:t>
            </w:r>
          </w:p>
        </w:tc>
        <w:tc>
          <w:tcPr>
            <w:tcW w:w="280" w:type="pct"/>
            <w:vMerge w:val="restart"/>
            <w:tcBorders>
              <w:tl2br w:val="nil"/>
              <w:tr2bl w:val="nil"/>
            </w:tcBorders>
            <w:shd w:val="clear" w:color="auto" w:fill="FFFFFF"/>
            <w:vAlign w:val="center"/>
          </w:tcPr>
          <w:p w14:paraId="77CCD4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cs="Times New Roman"/>
                <w:i w:val="0"/>
                <w:iCs w:val="0"/>
                <w:color w:val="auto"/>
                <w:spacing w:val="0"/>
                <w:w w:val="100"/>
                <w:kern w:val="0"/>
                <w:position w:val="0"/>
                <w:sz w:val="18"/>
                <w:szCs w:val="18"/>
                <w:u w:val="none"/>
                <w:lang w:val="en-US" w:eastAsia="zh-CN" w:bidi="ar"/>
              </w:rPr>
              <w:t>混料搅拌</w:t>
            </w: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机</w:t>
            </w:r>
          </w:p>
        </w:tc>
        <w:tc>
          <w:tcPr>
            <w:tcW w:w="104" w:type="pct"/>
            <w:tcBorders>
              <w:tl2br w:val="nil"/>
              <w:tr2bl w:val="nil"/>
            </w:tcBorders>
            <w:shd w:val="clear" w:color="auto" w:fill="FFFFFF"/>
            <w:vAlign w:val="center"/>
          </w:tcPr>
          <w:p w14:paraId="4DC53B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62CB42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lang w:val="en-US"/>
              </w:rPr>
            </w:pPr>
            <w:r>
              <w:rPr>
                <w:rFonts w:hint="eastAsia" w:cs="Times New Roman"/>
                <w:i w:val="0"/>
                <w:iCs w:val="0"/>
                <w:color w:val="auto"/>
                <w:spacing w:val="0"/>
                <w:w w:val="100"/>
                <w:kern w:val="0"/>
                <w:position w:val="0"/>
                <w:sz w:val="18"/>
                <w:szCs w:val="18"/>
                <w:u w:val="none"/>
                <w:lang w:val="en-US" w:eastAsia="zh-CN" w:bidi="ar"/>
              </w:rPr>
              <w:t>85</w:t>
            </w:r>
          </w:p>
        </w:tc>
        <w:tc>
          <w:tcPr>
            <w:tcW w:w="334" w:type="pct"/>
            <w:vMerge w:val="restart"/>
            <w:tcBorders>
              <w:tl2br w:val="nil"/>
              <w:tr2bl w:val="nil"/>
            </w:tcBorders>
            <w:shd w:val="clear" w:color="auto" w:fill="FFFFFF"/>
            <w:vAlign w:val="center"/>
          </w:tcPr>
          <w:p w14:paraId="6A6419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default" w:ascii="Times New Roman" w:hAnsi="Times New Roman" w:eastAsia="宋体" w:cs="Times New Roman"/>
                <w:color w:val="auto"/>
                <w:spacing w:val="0"/>
                <w:w w:val="100"/>
                <w:position w:val="0"/>
                <w:sz w:val="18"/>
                <w:szCs w:val="18"/>
                <w:lang w:val="en-US" w:eastAsia="zh-CN"/>
              </w:rPr>
              <w:t>基础减震、厂房隔声、距离衰减</w:t>
            </w:r>
          </w:p>
        </w:tc>
        <w:tc>
          <w:tcPr>
            <w:tcW w:w="230" w:type="pct"/>
            <w:tcBorders>
              <w:tl2br w:val="nil"/>
              <w:tr2bl w:val="nil"/>
            </w:tcBorders>
            <w:shd w:val="clear" w:color="auto" w:fill="FFFFFF"/>
            <w:vAlign w:val="center"/>
          </w:tcPr>
          <w:p w14:paraId="63004C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10.92</w:t>
            </w:r>
          </w:p>
        </w:tc>
        <w:tc>
          <w:tcPr>
            <w:tcW w:w="230" w:type="pct"/>
            <w:tcBorders>
              <w:tl2br w:val="nil"/>
              <w:tr2bl w:val="nil"/>
            </w:tcBorders>
            <w:shd w:val="clear" w:color="auto" w:fill="FFFFFF"/>
            <w:vAlign w:val="center"/>
          </w:tcPr>
          <w:p w14:paraId="29F114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-97.89</w:t>
            </w:r>
          </w:p>
        </w:tc>
        <w:tc>
          <w:tcPr>
            <w:tcW w:w="83" w:type="pct"/>
            <w:tcBorders>
              <w:tl2br w:val="nil"/>
              <w:tr2bl w:val="nil"/>
            </w:tcBorders>
            <w:shd w:val="clear" w:color="auto" w:fill="FFFFFF"/>
            <w:vAlign w:val="center"/>
          </w:tcPr>
          <w:p w14:paraId="518A62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765892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13.09</w:t>
            </w:r>
          </w:p>
        </w:tc>
        <w:tc>
          <w:tcPr>
            <w:tcW w:w="184" w:type="pct"/>
            <w:tcBorders>
              <w:tl2br w:val="nil"/>
              <w:tr2bl w:val="nil"/>
            </w:tcBorders>
            <w:shd w:val="clear" w:color="auto" w:fill="FFFFFF"/>
            <w:vAlign w:val="center"/>
          </w:tcPr>
          <w:p w14:paraId="457AA9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7.23</w:t>
            </w:r>
          </w:p>
        </w:tc>
        <w:tc>
          <w:tcPr>
            <w:tcW w:w="184" w:type="pct"/>
            <w:tcBorders>
              <w:tl2br w:val="nil"/>
              <w:tr2bl w:val="nil"/>
            </w:tcBorders>
            <w:shd w:val="clear" w:color="auto" w:fill="FFFFFF"/>
            <w:vAlign w:val="center"/>
          </w:tcPr>
          <w:p w14:paraId="66AC13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11.18</w:t>
            </w:r>
          </w:p>
        </w:tc>
        <w:tc>
          <w:tcPr>
            <w:tcW w:w="253" w:type="pct"/>
            <w:tcBorders>
              <w:tl2br w:val="nil"/>
              <w:tr2bl w:val="nil"/>
            </w:tcBorders>
            <w:shd w:val="clear" w:color="auto" w:fill="FFFFFF"/>
            <w:vAlign w:val="center"/>
          </w:tcPr>
          <w:p w14:paraId="78DD4A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134.90</w:t>
            </w:r>
          </w:p>
        </w:tc>
        <w:tc>
          <w:tcPr>
            <w:tcW w:w="184" w:type="pct"/>
            <w:tcBorders>
              <w:tl2br w:val="nil"/>
              <w:tr2bl w:val="nil"/>
            </w:tcBorders>
            <w:shd w:val="clear" w:color="auto" w:fill="FFFFFF"/>
            <w:vAlign w:val="center"/>
          </w:tcPr>
          <w:p w14:paraId="04E40F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65.67</w:t>
            </w:r>
          </w:p>
        </w:tc>
        <w:tc>
          <w:tcPr>
            <w:tcW w:w="184" w:type="pct"/>
            <w:tcBorders>
              <w:tl2br w:val="nil"/>
              <w:tr2bl w:val="nil"/>
            </w:tcBorders>
            <w:shd w:val="clear" w:color="auto" w:fill="FFFFFF"/>
            <w:vAlign w:val="center"/>
          </w:tcPr>
          <w:p w14:paraId="03F616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70.82</w:t>
            </w:r>
          </w:p>
        </w:tc>
        <w:tc>
          <w:tcPr>
            <w:tcW w:w="184" w:type="pct"/>
            <w:tcBorders>
              <w:tl2br w:val="nil"/>
              <w:tr2bl w:val="nil"/>
            </w:tcBorders>
            <w:shd w:val="clear" w:color="auto" w:fill="FFFFFF"/>
            <w:vAlign w:val="center"/>
          </w:tcPr>
          <w:p w14:paraId="28EFBA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67.04</w:t>
            </w:r>
          </w:p>
        </w:tc>
        <w:tc>
          <w:tcPr>
            <w:tcW w:w="222" w:type="pct"/>
            <w:tcBorders>
              <w:tl2br w:val="nil"/>
              <w:tr2bl w:val="nil"/>
            </w:tcBorders>
            <w:shd w:val="clear" w:color="auto" w:fill="FFFFFF"/>
            <w:vAlign w:val="center"/>
          </w:tcPr>
          <w:p w14:paraId="09E68F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45.41</w:t>
            </w:r>
          </w:p>
        </w:tc>
        <w:tc>
          <w:tcPr>
            <w:tcW w:w="138" w:type="pct"/>
            <w:vMerge w:val="restart"/>
            <w:tcBorders>
              <w:tl2br w:val="nil"/>
              <w:tr2bl w:val="nil"/>
            </w:tcBorders>
            <w:shd w:val="clear" w:color="auto" w:fill="FFFFFF"/>
            <w:vAlign w:val="center"/>
          </w:tcPr>
          <w:p w14:paraId="3E03DA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昼间</w:t>
            </w:r>
          </w:p>
        </w:tc>
        <w:tc>
          <w:tcPr>
            <w:tcW w:w="131" w:type="pct"/>
            <w:tcBorders>
              <w:tl2br w:val="nil"/>
              <w:tr2bl w:val="nil"/>
            </w:tcBorders>
            <w:shd w:val="clear" w:color="auto" w:fill="FFFFFF"/>
            <w:vAlign w:val="center"/>
          </w:tcPr>
          <w:p w14:paraId="2358E9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7F312E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6701E7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70BC5E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45B404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39.03</w:t>
            </w:r>
          </w:p>
        </w:tc>
        <w:tc>
          <w:tcPr>
            <w:tcW w:w="184" w:type="pct"/>
            <w:tcBorders>
              <w:tl2br w:val="nil"/>
              <w:tr2bl w:val="nil"/>
            </w:tcBorders>
            <w:shd w:val="clear" w:color="auto" w:fill="FFFFFF"/>
            <w:vAlign w:val="center"/>
          </w:tcPr>
          <w:p w14:paraId="5D2A00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43.70</w:t>
            </w:r>
          </w:p>
        </w:tc>
        <w:tc>
          <w:tcPr>
            <w:tcW w:w="184" w:type="pct"/>
            <w:tcBorders>
              <w:tl2br w:val="nil"/>
              <w:tr2bl w:val="nil"/>
            </w:tcBorders>
            <w:shd w:val="clear" w:color="auto" w:fill="FFFFFF"/>
            <w:vAlign w:val="center"/>
          </w:tcPr>
          <w:p w14:paraId="6182C5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40.30</w:t>
            </w:r>
          </w:p>
        </w:tc>
        <w:tc>
          <w:tcPr>
            <w:tcW w:w="184" w:type="pct"/>
            <w:tcBorders>
              <w:tl2br w:val="nil"/>
              <w:tr2bl w:val="nil"/>
            </w:tcBorders>
            <w:shd w:val="clear" w:color="auto" w:fill="FFFFFF"/>
            <w:vAlign w:val="center"/>
          </w:tcPr>
          <w:p w14:paraId="238DDF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19.35</w:t>
            </w:r>
          </w:p>
        </w:tc>
        <w:tc>
          <w:tcPr>
            <w:tcW w:w="204" w:type="pct"/>
            <w:tcBorders>
              <w:tl2br w:val="nil"/>
              <w:tr2bl w:val="nil"/>
            </w:tcBorders>
            <w:shd w:val="clear" w:color="auto" w:fill="FFFFFF"/>
            <w:vAlign w:val="center"/>
          </w:tcPr>
          <w:p w14:paraId="76122A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default" w:ascii="Times New Roman" w:hAnsi="Times New Roman" w:eastAsia="宋体" w:cs="Times New Roman"/>
                <w:color w:val="auto"/>
                <w:spacing w:val="0"/>
                <w:w w:val="100"/>
                <w:position w:val="0"/>
                <w:sz w:val="18"/>
                <w:szCs w:val="18"/>
                <w:lang w:val="en-US" w:eastAsia="zh-CN"/>
              </w:rPr>
              <w:t>1</w:t>
            </w:r>
          </w:p>
        </w:tc>
      </w:tr>
      <w:tr w14:paraId="2540D4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46467A4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51" w:type="pct"/>
            <w:vMerge w:val="continue"/>
            <w:tcBorders>
              <w:tl2br w:val="nil"/>
              <w:tr2bl w:val="nil"/>
            </w:tcBorders>
            <w:shd w:val="clear" w:color="auto" w:fill="FFFFFF"/>
            <w:vAlign w:val="center"/>
          </w:tcPr>
          <w:p w14:paraId="4EF0EE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position w:val="0"/>
                <w:sz w:val="18"/>
                <w:szCs w:val="18"/>
                <w:lang w:val="en-US" w:eastAsia="zh-CN"/>
              </w:rPr>
            </w:pPr>
          </w:p>
        </w:tc>
        <w:tc>
          <w:tcPr>
            <w:tcW w:w="280" w:type="pct"/>
            <w:vMerge w:val="continue"/>
            <w:tcBorders>
              <w:tl2br w:val="nil"/>
              <w:tr2bl w:val="nil"/>
            </w:tcBorders>
            <w:shd w:val="clear" w:color="auto" w:fill="FFFFFF"/>
            <w:vAlign w:val="center"/>
          </w:tcPr>
          <w:p w14:paraId="76AFEE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spacing w:val="0"/>
                <w:w w:val="100"/>
                <w:kern w:val="0"/>
                <w:position w:val="0"/>
                <w:sz w:val="18"/>
                <w:szCs w:val="18"/>
                <w:u w:val="none"/>
                <w:lang w:val="en-US" w:eastAsia="zh-CN" w:bidi="ar"/>
              </w:rPr>
            </w:pPr>
          </w:p>
        </w:tc>
        <w:tc>
          <w:tcPr>
            <w:tcW w:w="104" w:type="pct"/>
            <w:tcBorders>
              <w:tl2br w:val="nil"/>
              <w:tr2bl w:val="nil"/>
            </w:tcBorders>
            <w:shd w:val="clear" w:color="auto" w:fill="FFFFFF"/>
            <w:vAlign w:val="center"/>
          </w:tcPr>
          <w:p w14:paraId="7F646C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eastAsia"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446800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cs="Times New Roman"/>
                <w:i w:val="0"/>
                <w:iCs w:val="0"/>
                <w:color w:val="auto"/>
                <w:spacing w:val="0"/>
                <w:w w:val="100"/>
                <w:kern w:val="0"/>
                <w:position w:val="0"/>
                <w:sz w:val="18"/>
                <w:szCs w:val="18"/>
                <w:u w:val="none"/>
                <w:lang w:val="en-US" w:eastAsia="zh-CN" w:bidi="ar"/>
              </w:rPr>
            </w:pPr>
            <w:r>
              <w:rPr>
                <w:rFonts w:hint="eastAsia" w:cs="Times New Roman"/>
                <w:i w:val="0"/>
                <w:iCs w:val="0"/>
                <w:color w:val="auto"/>
                <w:spacing w:val="0"/>
                <w:w w:val="100"/>
                <w:kern w:val="0"/>
                <w:position w:val="0"/>
                <w:sz w:val="18"/>
                <w:szCs w:val="18"/>
                <w:u w:val="none"/>
                <w:lang w:val="en-US" w:eastAsia="zh-CN" w:bidi="ar"/>
              </w:rPr>
              <w:t>85</w:t>
            </w:r>
          </w:p>
        </w:tc>
        <w:tc>
          <w:tcPr>
            <w:tcW w:w="334" w:type="pct"/>
            <w:vMerge w:val="continue"/>
            <w:tcBorders>
              <w:tl2br w:val="nil"/>
              <w:tr2bl w:val="nil"/>
            </w:tcBorders>
            <w:shd w:val="clear" w:color="auto" w:fill="FFFFFF"/>
            <w:vAlign w:val="center"/>
          </w:tcPr>
          <w:p w14:paraId="283414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p>
        </w:tc>
        <w:tc>
          <w:tcPr>
            <w:tcW w:w="230" w:type="pct"/>
            <w:tcBorders>
              <w:tl2br w:val="nil"/>
              <w:tr2bl w:val="nil"/>
            </w:tcBorders>
            <w:shd w:val="clear" w:color="auto" w:fill="FFFFFF"/>
            <w:vAlign w:val="center"/>
          </w:tcPr>
          <w:p w14:paraId="5EE190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10.92</w:t>
            </w:r>
          </w:p>
        </w:tc>
        <w:tc>
          <w:tcPr>
            <w:tcW w:w="230" w:type="pct"/>
            <w:tcBorders>
              <w:tl2br w:val="nil"/>
              <w:tr2bl w:val="nil"/>
            </w:tcBorders>
            <w:shd w:val="clear" w:color="auto" w:fill="FFFFFF"/>
            <w:vAlign w:val="center"/>
          </w:tcPr>
          <w:p w14:paraId="70D0FF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-97.89</w:t>
            </w:r>
          </w:p>
        </w:tc>
        <w:tc>
          <w:tcPr>
            <w:tcW w:w="83" w:type="pct"/>
            <w:tcBorders>
              <w:tl2br w:val="nil"/>
              <w:tr2bl w:val="nil"/>
            </w:tcBorders>
            <w:shd w:val="clear" w:color="auto" w:fill="FFFFFF"/>
            <w:vAlign w:val="center"/>
          </w:tcPr>
          <w:p w14:paraId="46E83A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12F010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13.09</w:t>
            </w:r>
          </w:p>
        </w:tc>
        <w:tc>
          <w:tcPr>
            <w:tcW w:w="184" w:type="pct"/>
            <w:tcBorders>
              <w:tl2br w:val="nil"/>
              <w:tr2bl w:val="nil"/>
            </w:tcBorders>
            <w:shd w:val="clear" w:color="auto" w:fill="FFFFFF"/>
            <w:vAlign w:val="center"/>
          </w:tcPr>
          <w:p w14:paraId="1A67C2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7.23</w:t>
            </w:r>
          </w:p>
        </w:tc>
        <w:tc>
          <w:tcPr>
            <w:tcW w:w="184" w:type="pct"/>
            <w:tcBorders>
              <w:tl2br w:val="nil"/>
              <w:tr2bl w:val="nil"/>
            </w:tcBorders>
            <w:shd w:val="clear" w:color="auto" w:fill="FFFFFF"/>
            <w:vAlign w:val="center"/>
          </w:tcPr>
          <w:p w14:paraId="72AC50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11.18</w:t>
            </w:r>
          </w:p>
        </w:tc>
        <w:tc>
          <w:tcPr>
            <w:tcW w:w="253" w:type="pct"/>
            <w:tcBorders>
              <w:tl2br w:val="nil"/>
              <w:tr2bl w:val="nil"/>
            </w:tcBorders>
            <w:shd w:val="clear" w:color="auto" w:fill="FFFFFF"/>
            <w:vAlign w:val="center"/>
          </w:tcPr>
          <w:p w14:paraId="0673D7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134.90</w:t>
            </w:r>
          </w:p>
        </w:tc>
        <w:tc>
          <w:tcPr>
            <w:tcW w:w="184" w:type="pct"/>
            <w:tcBorders>
              <w:tl2br w:val="nil"/>
              <w:tr2bl w:val="nil"/>
            </w:tcBorders>
            <w:shd w:val="clear" w:color="auto" w:fill="FFFFFF"/>
            <w:vAlign w:val="center"/>
          </w:tcPr>
          <w:p w14:paraId="26AD47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65.67</w:t>
            </w:r>
          </w:p>
        </w:tc>
        <w:tc>
          <w:tcPr>
            <w:tcW w:w="184" w:type="pct"/>
            <w:tcBorders>
              <w:tl2br w:val="nil"/>
              <w:tr2bl w:val="nil"/>
            </w:tcBorders>
            <w:shd w:val="clear" w:color="auto" w:fill="FFFFFF"/>
            <w:vAlign w:val="center"/>
          </w:tcPr>
          <w:p w14:paraId="52AE61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70.82</w:t>
            </w:r>
          </w:p>
        </w:tc>
        <w:tc>
          <w:tcPr>
            <w:tcW w:w="184" w:type="pct"/>
            <w:tcBorders>
              <w:tl2br w:val="nil"/>
              <w:tr2bl w:val="nil"/>
            </w:tcBorders>
            <w:shd w:val="clear" w:color="auto" w:fill="FFFFFF"/>
            <w:vAlign w:val="center"/>
          </w:tcPr>
          <w:p w14:paraId="65960A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67.04</w:t>
            </w:r>
          </w:p>
        </w:tc>
        <w:tc>
          <w:tcPr>
            <w:tcW w:w="222" w:type="pct"/>
            <w:tcBorders>
              <w:tl2br w:val="nil"/>
              <w:tr2bl w:val="nil"/>
            </w:tcBorders>
            <w:shd w:val="clear" w:color="auto" w:fill="FFFFFF"/>
            <w:vAlign w:val="center"/>
          </w:tcPr>
          <w:p w14:paraId="1243DD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45.41</w:t>
            </w:r>
          </w:p>
        </w:tc>
        <w:tc>
          <w:tcPr>
            <w:tcW w:w="138" w:type="pct"/>
            <w:vMerge w:val="continue"/>
            <w:tcBorders>
              <w:tl2br w:val="nil"/>
              <w:tr2bl w:val="nil"/>
            </w:tcBorders>
            <w:shd w:val="clear" w:color="auto" w:fill="FFFFFF"/>
            <w:vAlign w:val="center"/>
          </w:tcPr>
          <w:p w14:paraId="77E0DB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2CAA6B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414179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739E96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485F15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5EF766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39.03</w:t>
            </w:r>
          </w:p>
        </w:tc>
        <w:tc>
          <w:tcPr>
            <w:tcW w:w="184" w:type="pct"/>
            <w:tcBorders>
              <w:tl2br w:val="nil"/>
              <w:tr2bl w:val="nil"/>
            </w:tcBorders>
            <w:shd w:val="clear" w:color="auto" w:fill="FFFFFF"/>
            <w:vAlign w:val="center"/>
          </w:tcPr>
          <w:p w14:paraId="66EDBF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43.70</w:t>
            </w:r>
          </w:p>
        </w:tc>
        <w:tc>
          <w:tcPr>
            <w:tcW w:w="184" w:type="pct"/>
            <w:tcBorders>
              <w:tl2br w:val="nil"/>
              <w:tr2bl w:val="nil"/>
            </w:tcBorders>
            <w:shd w:val="clear" w:color="auto" w:fill="FFFFFF"/>
            <w:vAlign w:val="center"/>
          </w:tcPr>
          <w:p w14:paraId="494138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40.30</w:t>
            </w:r>
          </w:p>
        </w:tc>
        <w:tc>
          <w:tcPr>
            <w:tcW w:w="184" w:type="pct"/>
            <w:tcBorders>
              <w:tl2br w:val="nil"/>
              <w:tr2bl w:val="nil"/>
            </w:tcBorders>
            <w:shd w:val="clear" w:color="auto" w:fill="FFFFFF"/>
            <w:vAlign w:val="center"/>
          </w:tcPr>
          <w:p w14:paraId="3F1A23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19.35</w:t>
            </w:r>
          </w:p>
        </w:tc>
        <w:tc>
          <w:tcPr>
            <w:tcW w:w="204" w:type="pct"/>
            <w:tcBorders>
              <w:tl2br w:val="nil"/>
              <w:tr2bl w:val="nil"/>
            </w:tcBorders>
            <w:shd w:val="clear" w:color="auto" w:fill="FFFFFF"/>
            <w:vAlign w:val="center"/>
          </w:tcPr>
          <w:p w14:paraId="3479E2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2"/>
                <w:position w:val="0"/>
                <w:sz w:val="18"/>
                <w:szCs w:val="18"/>
                <w:lang w:val="en-US" w:eastAsia="zh-CN" w:bidi="ar-SA"/>
              </w:rPr>
            </w:pPr>
            <w:r>
              <w:rPr>
                <w:rFonts w:hint="default" w:ascii="Times New Roman" w:hAnsi="Times New Roman" w:eastAsia="宋体" w:cs="Times New Roman"/>
                <w:color w:val="auto"/>
                <w:spacing w:val="0"/>
                <w:w w:val="100"/>
                <w:position w:val="0"/>
                <w:sz w:val="18"/>
                <w:szCs w:val="18"/>
                <w:lang w:val="en-US" w:eastAsia="zh-CN"/>
              </w:rPr>
              <w:t>1</w:t>
            </w:r>
          </w:p>
        </w:tc>
      </w:tr>
      <w:tr w14:paraId="3AF9AC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483030C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w:t>
            </w:r>
          </w:p>
        </w:tc>
        <w:tc>
          <w:tcPr>
            <w:tcW w:w="151" w:type="pct"/>
            <w:vMerge w:val="continue"/>
            <w:tcBorders>
              <w:tl2br w:val="nil"/>
              <w:tr2bl w:val="nil"/>
            </w:tcBorders>
            <w:shd w:val="clear" w:color="auto" w:fill="FFFFFF"/>
            <w:vAlign w:val="center"/>
          </w:tcPr>
          <w:p w14:paraId="1F4775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0DB467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00C529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1CB599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lang w:val="en-US"/>
              </w:rPr>
            </w:pPr>
            <w:r>
              <w:rPr>
                <w:rFonts w:hint="eastAsia" w:cs="Times New Roman"/>
                <w:i w:val="0"/>
                <w:iCs w:val="0"/>
                <w:color w:val="auto"/>
                <w:spacing w:val="0"/>
                <w:w w:val="100"/>
                <w:kern w:val="0"/>
                <w:position w:val="0"/>
                <w:sz w:val="18"/>
                <w:szCs w:val="18"/>
                <w:u w:val="none"/>
                <w:lang w:val="en-US" w:eastAsia="zh-CN" w:bidi="ar"/>
              </w:rPr>
              <w:t>85</w:t>
            </w:r>
          </w:p>
        </w:tc>
        <w:tc>
          <w:tcPr>
            <w:tcW w:w="334" w:type="pct"/>
            <w:vMerge w:val="continue"/>
            <w:tcBorders>
              <w:tl2br w:val="nil"/>
              <w:tr2bl w:val="nil"/>
            </w:tcBorders>
            <w:shd w:val="clear" w:color="auto" w:fill="FFFFFF"/>
            <w:vAlign w:val="center"/>
          </w:tcPr>
          <w:p w14:paraId="6F7EDD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6CB831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10.92</w:t>
            </w:r>
          </w:p>
        </w:tc>
        <w:tc>
          <w:tcPr>
            <w:tcW w:w="230" w:type="pct"/>
            <w:tcBorders>
              <w:tl2br w:val="nil"/>
              <w:tr2bl w:val="nil"/>
            </w:tcBorders>
            <w:shd w:val="clear" w:color="auto" w:fill="FFFFFF"/>
            <w:vAlign w:val="center"/>
          </w:tcPr>
          <w:p w14:paraId="546AE1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-97.89</w:t>
            </w:r>
          </w:p>
        </w:tc>
        <w:tc>
          <w:tcPr>
            <w:tcW w:w="83" w:type="pct"/>
            <w:tcBorders>
              <w:tl2br w:val="nil"/>
              <w:tr2bl w:val="nil"/>
            </w:tcBorders>
            <w:shd w:val="clear" w:color="auto" w:fill="FFFFFF"/>
            <w:vAlign w:val="center"/>
          </w:tcPr>
          <w:p w14:paraId="112767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337218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13.09</w:t>
            </w:r>
          </w:p>
        </w:tc>
        <w:tc>
          <w:tcPr>
            <w:tcW w:w="184" w:type="pct"/>
            <w:tcBorders>
              <w:tl2br w:val="nil"/>
              <w:tr2bl w:val="nil"/>
            </w:tcBorders>
            <w:shd w:val="clear" w:color="auto" w:fill="FFFFFF"/>
            <w:vAlign w:val="center"/>
          </w:tcPr>
          <w:p w14:paraId="132559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7.23</w:t>
            </w:r>
          </w:p>
        </w:tc>
        <w:tc>
          <w:tcPr>
            <w:tcW w:w="184" w:type="pct"/>
            <w:tcBorders>
              <w:tl2br w:val="nil"/>
              <w:tr2bl w:val="nil"/>
            </w:tcBorders>
            <w:shd w:val="clear" w:color="auto" w:fill="FFFFFF"/>
            <w:vAlign w:val="center"/>
          </w:tcPr>
          <w:p w14:paraId="61A367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11.18</w:t>
            </w:r>
          </w:p>
        </w:tc>
        <w:tc>
          <w:tcPr>
            <w:tcW w:w="253" w:type="pct"/>
            <w:tcBorders>
              <w:tl2br w:val="nil"/>
              <w:tr2bl w:val="nil"/>
            </w:tcBorders>
            <w:shd w:val="clear" w:color="auto" w:fill="FFFFFF"/>
            <w:vAlign w:val="center"/>
          </w:tcPr>
          <w:p w14:paraId="2E5605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134.90</w:t>
            </w:r>
          </w:p>
        </w:tc>
        <w:tc>
          <w:tcPr>
            <w:tcW w:w="184" w:type="pct"/>
            <w:tcBorders>
              <w:tl2br w:val="nil"/>
              <w:tr2bl w:val="nil"/>
            </w:tcBorders>
            <w:shd w:val="clear" w:color="auto" w:fill="FFFFFF"/>
            <w:vAlign w:val="center"/>
          </w:tcPr>
          <w:p w14:paraId="2CD6D9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65.67</w:t>
            </w:r>
          </w:p>
        </w:tc>
        <w:tc>
          <w:tcPr>
            <w:tcW w:w="184" w:type="pct"/>
            <w:tcBorders>
              <w:tl2br w:val="nil"/>
              <w:tr2bl w:val="nil"/>
            </w:tcBorders>
            <w:shd w:val="clear" w:color="auto" w:fill="FFFFFF"/>
            <w:vAlign w:val="center"/>
          </w:tcPr>
          <w:p w14:paraId="23005A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70.82</w:t>
            </w:r>
          </w:p>
        </w:tc>
        <w:tc>
          <w:tcPr>
            <w:tcW w:w="184" w:type="pct"/>
            <w:tcBorders>
              <w:tl2br w:val="nil"/>
              <w:tr2bl w:val="nil"/>
            </w:tcBorders>
            <w:shd w:val="clear" w:color="auto" w:fill="FFFFFF"/>
            <w:vAlign w:val="center"/>
          </w:tcPr>
          <w:p w14:paraId="7E410B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67.04</w:t>
            </w:r>
          </w:p>
        </w:tc>
        <w:tc>
          <w:tcPr>
            <w:tcW w:w="222" w:type="pct"/>
            <w:tcBorders>
              <w:tl2br w:val="nil"/>
              <w:tr2bl w:val="nil"/>
            </w:tcBorders>
            <w:shd w:val="clear" w:color="auto" w:fill="FFFFFF"/>
            <w:vAlign w:val="center"/>
          </w:tcPr>
          <w:p w14:paraId="1672AD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45.41</w:t>
            </w:r>
          </w:p>
        </w:tc>
        <w:tc>
          <w:tcPr>
            <w:tcW w:w="138" w:type="pct"/>
            <w:vMerge w:val="continue"/>
            <w:tcBorders>
              <w:tl2br w:val="nil"/>
              <w:tr2bl w:val="nil"/>
            </w:tcBorders>
            <w:shd w:val="clear" w:color="auto" w:fill="FFFFFF"/>
            <w:vAlign w:val="center"/>
          </w:tcPr>
          <w:p w14:paraId="2761E8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72ED7C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11915D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69643B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179584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3B6634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39.03</w:t>
            </w:r>
          </w:p>
        </w:tc>
        <w:tc>
          <w:tcPr>
            <w:tcW w:w="184" w:type="pct"/>
            <w:tcBorders>
              <w:tl2br w:val="nil"/>
              <w:tr2bl w:val="nil"/>
            </w:tcBorders>
            <w:shd w:val="clear" w:color="auto" w:fill="FFFFFF"/>
            <w:vAlign w:val="center"/>
          </w:tcPr>
          <w:p w14:paraId="2C885C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43.70</w:t>
            </w:r>
          </w:p>
        </w:tc>
        <w:tc>
          <w:tcPr>
            <w:tcW w:w="184" w:type="pct"/>
            <w:tcBorders>
              <w:tl2br w:val="nil"/>
              <w:tr2bl w:val="nil"/>
            </w:tcBorders>
            <w:shd w:val="clear" w:color="auto" w:fill="FFFFFF"/>
            <w:vAlign w:val="center"/>
          </w:tcPr>
          <w:p w14:paraId="34EEF4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40.30</w:t>
            </w:r>
          </w:p>
        </w:tc>
        <w:tc>
          <w:tcPr>
            <w:tcW w:w="184" w:type="pct"/>
            <w:tcBorders>
              <w:tl2br w:val="nil"/>
              <w:tr2bl w:val="nil"/>
            </w:tcBorders>
            <w:shd w:val="clear" w:color="auto" w:fill="FFFFFF"/>
            <w:vAlign w:val="center"/>
          </w:tcPr>
          <w:p w14:paraId="283B34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19.35</w:t>
            </w:r>
          </w:p>
        </w:tc>
        <w:tc>
          <w:tcPr>
            <w:tcW w:w="204" w:type="pct"/>
            <w:tcBorders>
              <w:tl2br w:val="nil"/>
              <w:tr2bl w:val="nil"/>
            </w:tcBorders>
            <w:shd w:val="clear" w:color="auto" w:fill="FFFFFF"/>
            <w:vAlign w:val="center"/>
          </w:tcPr>
          <w:p w14:paraId="550A8D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default" w:ascii="Times New Roman" w:hAnsi="Times New Roman" w:eastAsia="宋体" w:cs="Times New Roman"/>
                <w:color w:val="auto"/>
                <w:spacing w:val="0"/>
                <w:w w:val="100"/>
                <w:position w:val="0"/>
                <w:sz w:val="18"/>
                <w:szCs w:val="18"/>
                <w:lang w:val="en-US" w:eastAsia="zh-CN"/>
              </w:rPr>
              <w:t>1</w:t>
            </w:r>
          </w:p>
        </w:tc>
      </w:tr>
      <w:tr w14:paraId="608024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1D82C42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w:t>
            </w:r>
          </w:p>
        </w:tc>
        <w:tc>
          <w:tcPr>
            <w:tcW w:w="151" w:type="pct"/>
            <w:vMerge w:val="continue"/>
            <w:tcBorders>
              <w:tl2br w:val="nil"/>
              <w:tr2bl w:val="nil"/>
            </w:tcBorders>
            <w:shd w:val="clear" w:color="auto" w:fill="FFFFFF"/>
            <w:vAlign w:val="center"/>
          </w:tcPr>
          <w:p w14:paraId="6C930D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restart"/>
            <w:tcBorders>
              <w:tl2br w:val="nil"/>
              <w:tr2bl w:val="nil"/>
            </w:tcBorders>
            <w:shd w:val="clear" w:color="auto" w:fill="FFFFFF"/>
            <w:vAlign w:val="center"/>
          </w:tcPr>
          <w:p w14:paraId="10A5A5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cs="Times New Roman"/>
                <w:i w:val="0"/>
                <w:iCs w:val="0"/>
                <w:color w:val="auto"/>
                <w:spacing w:val="0"/>
                <w:w w:val="100"/>
                <w:kern w:val="0"/>
                <w:position w:val="0"/>
                <w:sz w:val="18"/>
                <w:szCs w:val="18"/>
                <w:u w:val="none"/>
                <w:lang w:val="en-US" w:eastAsia="zh-CN" w:bidi="ar"/>
              </w:rPr>
              <w:t>挤出机</w:t>
            </w:r>
          </w:p>
        </w:tc>
        <w:tc>
          <w:tcPr>
            <w:tcW w:w="104" w:type="pct"/>
            <w:tcBorders>
              <w:tl2br w:val="nil"/>
              <w:tr2bl w:val="nil"/>
            </w:tcBorders>
            <w:shd w:val="clear" w:color="auto" w:fill="FFFFFF"/>
            <w:vAlign w:val="center"/>
          </w:tcPr>
          <w:p w14:paraId="47B7A7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5FD9B6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80</w:t>
            </w:r>
          </w:p>
        </w:tc>
        <w:tc>
          <w:tcPr>
            <w:tcW w:w="334" w:type="pct"/>
            <w:vMerge w:val="continue"/>
            <w:tcBorders>
              <w:tl2br w:val="nil"/>
              <w:tr2bl w:val="nil"/>
            </w:tcBorders>
            <w:shd w:val="clear" w:color="auto" w:fill="FFFFFF"/>
            <w:vAlign w:val="center"/>
          </w:tcPr>
          <w:p w14:paraId="5E9149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4B567E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8.35</w:t>
            </w:r>
          </w:p>
        </w:tc>
        <w:tc>
          <w:tcPr>
            <w:tcW w:w="230" w:type="pct"/>
            <w:tcBorders>
              <w:tl2br w:val="nil"/>
              <w:tr2bl w:val="nil"/>
            </w:tcBorders>
            <w:shd w:val="clear" w:color="auto" w:fill="FFFFFF"/>
            <w:vAlign w:val="center"/>
          </w:tcPr>
          <w:p w14:paraId="51F456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-88.04</w:t>
            </w:r>
          </w:p>
        </w:tc>
        <w:tc>
          <w:tcPr>
            <w:tcW w:w="83" w:type="pct"/>
            <w:tcBorders>
              <w:tl2br w:val="nil"/>
              <w:tr2bl w:val="nil"/>
            </w:tcBorders>
            <w:shd w:val="clear" w:color="auto" w:fill="FFFFFF"/>
            <w:vAlign w:val="center"/>
          </w:tcPr>
          <w:p w14:paraId="763710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3A8811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33.47</w:t>
            </w:r>
          </w:p>
        </w:tc>
        <w:tc>
          <w:tcPr>
            <w:tcW w:w="184" w:type="pct"/>
            <w:tcBorders>
              <w:tl2br w:val="nil"/>
              <w:tr2bl w:val="nil"/>
            </w:tcBorders>
            <w:shd w:val="clear" w:color="auto" w:fill="FFFFFF"/>
            <w:vAlign w:val="center"/>
          </w:tcPr>
          <w:p w14:paraId="6C1675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18.49</w:t>
            </w:r>
          </w:p>
        </w:tc>
        <w:tc>
          <w:tcPr>
            <w:tcW w:w="184" w:type="pct"/>
            <w:tcBorders>
              <w:tl2br w:val="nil"/>
              <w:tr2bl w:val="nil"/>
            </w:tcBorders>
            <w:shd w:val="clear" w:color="auto" w:fill="FFFFFF"/>
            <w:vAlign w:val="center"/>
          </w:tcPr>
          <w:p w14:paraId="42A3A4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10.73</w:t>
            </w:r>
          </w:p>
        </w:tc>
        <w:tc>
          <w:tcPr>
            <w:tcW w:w="253" w:type="pct"/>
            <w:tcBorders>
              <w:tl2br w:val="nil"/>
              <w:tr2bl w:val="nil"/>
            </w:tcBorders>
            <w:shd w:val="clear" w:color="auto" w:fill="FFFFFF"/>
            <w:vAlign w:val="center"/>
          </w:tcPr>
          <w:p w14:paraId="7AAD1F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135.49</w:t>
            </w:r>
          </w:p>
        </w:tc>
        <w:tc>
          <w:tcPr>
            <w:tcW w:w="184" w:type="pct"/>
            <w:tcBorders>
              <w:tl2br w:val="nil"/>
              <w:tr2bl w:val="nil"/>
            </w:tcBorders>
            <w:shd w:val="clear" w:color="auto" w:fill="FFFFFF"/>
            <w:vAlign w:val="center"/>
          </w:tcPr>
          <w:p w14:paraId="263A7A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55.53</w:t>
            </w:r>
          </w:p>
        </w:tc>
        <w:tc>
          <w:tcPr>
            <w:tcW w:w="184" w:type="pct"/>
            <w:tcBorders>
              <w:tl2br w:val="nil"/>
              <w:tr2bl w:val="nil"/>
            </w:tcBorders>
            <w:shd w:val="clear" w:color="auto" w:fill="FFFFFF"/>
            <w:vAlign w:val="center"/>
          </w:tcPr>
          <w:p w14:paraId="73B9F1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60.68</w:t>
            </w:r>
          </w:p>
        </w:tc>
        <w:tc>
          <w:tcPr>
            <w:tcW w:w="184" w:type="pct"/>
            <w:tcBorders>
              <w:tl2br w:val="nil"/>
              <w:tr2bl w:val="nil"/>
            </w:tcBorders>
            <w:shd w:val="clear" w:color="auto" w:fill="FFFFFF"/>
            <w:vAlign w:val="center"/>
          </w:tcPr>
          <w:p w14:paraId="3B34C3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65.41</w:t>
            </w:r>
          </w:p>
        </w:tc>
        <w:tc>
          <w:tcPr>
            <w:tcW w:w="222" w:type="pct"/>
            <w:tcBorders>
              <w:tl2br w:val="nil"/>
              <w:tr2bl w:val="nil"/>
            </w:tcBorders>
            <w:shd w:val="clear" w:color="auto" w:fill="FFFFFF"/>
            <w:vAlign w:val="center"/>
          </w:tcPr>
          <w:p w14:paraId="1A6291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43.38</w:t>
            </w:r>
          </w:p>
        </w:tc>
        <w:tc>
          <w:tcPr>
            <w:tcW w:w="138" w:type="pct"/>
            <w:vMerge w:val="continue"/>
            <w:tcBorders>
              <w:tl2br w:val="nil"/>
              <w:tr2bl w:val="nil"/>
            </w:tcBorders>
            <w:shd w:val="clear" w:color="auto" w:fill="FFFFFF"/>
            <w:vAlign w:val="center"/>
          </w:tcPr>
          <w:p w14:paraId="1F3BE9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58A63C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0EF67E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3ACA25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12580F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3C5627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29.27</w:t>
            </w:r>
          </w:p>
        </w:tc>
        <w:tc>
          <w:tcPr>
            <w:tcW w:w="184" w:type="pct"/>
            <w:tcBorders>
              <w:tl2br w:val="nil"/>
              <w:tr2bl w:val="nil"/>
            </w:tcBorders>
            <w:shd w:val="clear" w:color="auto" w:fill="FFFFFF"/>
            <w:vAlign w:val="center"/>
          </w:tcPr>
          <w:p w14:paraId="2255DD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34.22</w:t>
            </w:r>
          </w:p>
        </w:tc>
        <w:tc>
          <w:tcPr>
            <w:tcW w:w="184" w:type="pct"/>
            <w:tcBorders>
              <w:tl2br w:val="nil"/>
              <w:tr2bl w:val="nil"/>
            </w:tcBorders>
            <w:shd w:val="clear" w:color="auto" w:fill="FFFFFF"/>
            <w:vAlign w:val="center"/>
          </w:tcPr>
          <w:p w14:paraId="7738E1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38.63</w:t>
            </w:r>
          </w:p>
        </w:tc>
        <w:tc>
          <w:tcPr>
            <w:tcW w:w="184" w:type="pct"/>
            <w:tcBorders>
              <w:tl2br w:val="nil"/>
              <w:tr2bl w:val="nil"/>
            </w:tcBorders>
            <w:shd w:val="clear" w:color="auto" w:fill="FFFFFF"/>
            <w:vAlign w:val="center"/>
          </w:tcPr>
          <w:p w14:paraId="347D50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17.32</w:t>
            </w:r>
          </w:p>
        </w:tc>
        <w:tc>
          <w:tcPr>
            <w:tcW w:w="204" w:type="pct"/>
            <w:tcBorders>
              <w:tl2br w:val="nil"/>
              <w:tr2bl w:val="nil"/>
            </w:tcBorders>
            <w:shd w:val="clear" w:color="auto" w:fill="FFFFFF"/>
            <w:vAlign w:val="center"/>
          </w:tcPr>
          <w:p w14:paraId="746D96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7AD8C3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6146F79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w:t>
            </w:r>
          </w:p>
        </w:tc>
        <w:tc>
          <w:tcPr>
            <w:tcW w:w="151" w:type="pct"/>
            <w:vMerge w:val="continue"/>
            <w:tcBorders>
              <w:tl2br w:val="nil"/>
              <w:tr2bl w:val="nil"/>
            </w:tcBorders>
            <w:shd w:val="clear" w:color="auto" w:fill="FFFFFF"/>
            <w:vAlign w:val="center"/>
          </w:tcPr>
          <w:p w14:paraId="667035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0ACD41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749F00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6E7BA8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80</w:t>
            </w:r>
          </w:p>
        </w:tc>
        <w:tc>
          <w:tcPr>
            <w:tcW w:w="334" w:type="pct"/>
            <w:vMerge w:val="continue"/>
            <w:tcBorders>
              <w:tl2br w:val="nil"/>
              <w:tr2bl w:val="nil"/>
            </w:tcBorders>
            <w:shd w:val="clear" w:color="auto" w:fill="FFFFFF"/>
            <w:vAlign w:val="center"/>
          </w:tcPr>
          <w:p w14:paraId="68B2B4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5BD4A5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8.35</w:t>
            </w:r>
          </w:p>
        </w:tc>
        <w:tc>
          <w:tcPr>
            <w:tcW w:w="230" w:type="pct"/>
            <w:tcBorders>
              <w:tl2br w:val="nil"/>
              <w:tr2bl w:val="nil"/>
            </w:tcBorders>
            <w:shd w:val="clear" w:color="auto" w:fill="FFFFFF"/>
            <w:vAlign w:val="center"/>
          </w:tcPr>
          <w:p w14:paraId="5CEF75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-88.04</w:t>
            </w:r>
          </w:p>
        </w:tc>
        <w:tc>
          <w:tcPr>
            <w:tcW w:w="83" w:type="pct"/>
            <w:tcBorders>
              <w:tl2br w:val="nil"/>
              <w:tr2bl w:val="nil"/>
            </w:tcBorders>
            <w:shd w:val="clear" w:color="auto" w:fill="FFFFFF"/>
            <w:vAlign w:val="center"/>
          </w:tcPr>
          <w:p w14:paraId="3A6E3E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0AC78A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33.47</w:t>
            </w:r>
          </w:p>
        </w:tc>
        <w:tc>
          <w:tcPr>
            <w:tcW w:w="184" w:type="pct"/>
            <w:tcBorders>
              <w:tl2br w:val="nil"/>
              <w:tr2bl w:val="nil"/>
            </w:tcBorders>
            <w:shd w:val="clear" w:color="auto" w:fill="FFFFFF"/>
            <w:vAlign w:val="center"/>
          </w:tcPr>
          <w:p w14:paraId="6F89AB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18.49</w:t>
            </w:r>
          </w:p>
        </w:tc>
        <w:tc>
          <w:tcPr>
            <w:tcW w:w="184" w:type="pct"/>
            <w:tcBorders>
              <w:tl2br w:val="nil"/>
              <w:tr2bl w:val="nil"/>
            </w:tcBorders>
            <w:shd w:val="clear" w:color="auto" w:fill="FFFFFF"/>
            <w:vAlign w:val="center"/>
          </w:tcPr>
          <w:p w14:paraId="5DBE4A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10.73</w:t>
            </w:r>
          </w:p>
        </w:tc>
        <w:tc>
          <w:tcPr>
            <w:tcW w:w="253" w:type="pct"/>
            <w:tcBorders>
              <w:tl2br w:val="nil"/>
              <w:tr2bl w:val="nil"/>
            </w:tcBorders>
            <w:shd w:val="clear" w:color="auto" w:fill="FFFFFF"/>
            <w:vAlign w:val="center"/>
          </w:tcPr>
          <w:p w14:paraId="6EDA5D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135.49</w:t>
            </w:r>
          </w:p>
        </w:tc>
        <w:tc>
          <w:tcPr>
            <w:tcW w:w="184" w:type="pct"/>
            <w:tcBorders>
              <w:tl2br w:val="nil"/>
              <w:tr2bl w:val="nil"/>
            </w:tcBorders>
            <w:shd w:val="clear" w:color="auto" w:fill="FFFFFF"/>
            <w:vAlign w:val="center"/>
          </w:tcPr>
          <w:p w14:paraId="578D75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55.53</w:t>
            </w:r>
          </w:p>
        </w:tc>
        <w:tc>
          <w:tcPr>
            <w:tcW w:w="184" w:type="pct"/>
            <w:tcBorders>
              <w:tl2br w:val="nil"/>
              <w:tr2bl w:val="nil"/>
            </w:tcBorders>
            <w:shd w:val="clear" w:color="auto" w:fill="FFFFFF"/>
            <w:vAlign w:val="center"/>
          </w:tcPr>
          <w:p w14:paraId="15665B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60.68</w:t>
            </w:r>
          </w:p>
        </w:tc>
        <w:tc>
          <w:tcPr>
            <w:tcW w:w="184" w:type="pct"/>
            <w:tcBorders>
              <w:tl2br w:val="nil"/>
              <w:tr2bl w:val="nil"/>
            </w:tcBorders>
            <w:shd w:val="clear" w:color="auto" w:fill="FFFFFF"/>
            <w:vAlign w:val="center"/>
          </w:tcPr>
          <w:p w14:paraId="556968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65.41</w:t>
            </w:r>
          </w:p>
        </w:tc>
        <w:tc>
          <w:tcPr>
            <w:tcW w:w="222" w:type="pct"/>
            <w:tcBorders>
              <w:tl2br w:val="nil"/>
              <w:tr2bl w:val="nil"/>
            </w:tcBorders>
            <w:shd w:val="clear" w:color="auto" w:fill="FFFFFF"/>
            <w:vAlign w:val="center"/>
          </w:tcPr>
          <w:p w14:paraId="658D3F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43.38</w:t>
            </w:r>
          </w:p>
        </w:tc>
        <w:tc>
          <w:tcPr>
            <w:tcW w:w="138" w:type="pct"/>
            <w:vMerge w:val="continue"/>
            <w:tcBorders>
              <w:tl2br w:val="nil"/>
              <w:tr2bl w:val="nil"/>
            </w:tcBorders>
            <w:shd w:val="clear" w:color="auto" w:fill="FFFFFF"/>
            <w:vAlign w:val="center"/>
          </w:tcPr>
          <w:p w14:paraId="4FE04B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27C046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35871B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2B3276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5733DB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4E5181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29.27</w:t>
            </w:r>
          </w:p>
        </w:tc>
        <w:tc>
          <w:tcPr>
            <w:tcW w:w="184" w:type="pct"/>
            <w:tcBorders>
              <w:tl2br w:val="nil"/>
              <w:tr2bl w:val="nil"/>
            </w:tcBorders>
            <w:shd w:val="clear" w:color="auto" w:fill="FFFFFF"/>
            <w:vAlign w:val="center"/>
          </w:tcPr>
          <w:p w14:paraId="7F4609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34.22</w:t>
            </w:r>
          </w:p>
        </w:tc>
        <w:tc>
          <w:tcPr>
            <w:tcW w:w="184" w:type="pct"/>
            <w:tcBorders>
              <w:tl2br w:val="nil"/>
              <w:tr2bl w:val="nil"/>
            </w:tcBorders>
            <w:shd w:val="clear" w:color="auto" w:fill="FFFFFF"/>
            <w:vAlign w:val="center"/>
          </w:tcPr>
          <w:p w14:paraId="317B0D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38.63</w:t>
            </w:r>
          </w:p>
        </w:tc>
        <w:tc>
          <w:tcPr>
            <w:tcW w:w="184" w:type="pct"/>
            <w:tcBorders>
              <w:tl2br w:val="nil"/>
              <w:tr2bl w:val="nil"/>
            </w:tcBorders>
            <w:shd w:val="clear" w:color="auto" w:fill="FFFFFF"/>
            <w:vAlign w:val="center"/>
          </w:tcPr>
          <w:p w14:paraId="68CA00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17.32</w:t>
            </w:r>
          </w:p>
        </w:tc>
        <w:tc>
          <w:tcPr>
            <w:tcW w:w="204" w:type="pct"/>
            <w:tcBorders>
              <w:tl2br w:val="nil"/>
              <w:tr2bl w:val="nil"/>
            </w:tcBorders>
            <w:shd w:val="clear" w:color="auto" w:fill="FFFFFF"/>
            <w:vAlign w:val="center"/>
          </w:tcPr>
          <w:p w14:paraId="00F820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471894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295CFCA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w:t>
            </w:r>
          </w:p>
        </w:tc>
        <w:tc>
          <w:tcPr>
            <w:tcW w:w="151" w:type="pct"/>
            <w:vMerge w:val="continue"/>
            <w:tcBorders>
              <w:tl2br w:val="nil"/>
              <w:tr2bl w:val="nil"/>
            </w:tcBorders>
            <w:shd w:val="clear" w:color="auto" w:fill="FFFFFF"/>
            <w:vAlign w:val="center"/>
          </w:tcPr>
          <w:p w14:paraId="67BC71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72EE22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415AAB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39F997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80</w:t>
            </w:r>
          </w:p>
        </w:tc>
        <w:tc>
          <w:tcPr>
            <w:tcW w:w="334" w:type="pct"/>
            <w:vMerge w:val="continue"/>
            <w:tcBorders>
              <w:tl2br w:val="nil"/>
              <w:tr2bl w:val="nil"/>
            </w:tcBorders>
            <w:shd w:val="clear" w:color="auto" w:fill="FFFFFF"/>
            <w:vAlign w:val="center"/>
          </w:tcPr>
          <w:p w14:paraId="4C6D3B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65D0AE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8.35</w:t>
            </w:r>
          </w:p>
        </w:tc>
        <w:tc>
          <w:tcPr>
            <w:tcW w:w="230" w:type="pct"/>
            <w:tcBorders>
              <w:tl2br w:val="nil"/>
              <w:tr2bl w:val="nil"/>
            </w:tcBorders>
            <w:shd w:val="clear" w:color="auto" w:fill="FFFFFF"/>
            <w:vAlign w:val="center"/>
          </w:tcPr>
          <w:p w14:paraId="78091E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-88.04</w:t>
            </w:r>
          </w:p>
        </w:tc>
        <w:tc>
          <w:tcPr>
            <w:tcW w:w="83" w:type="pct"/>
            <w:tcBorders>
              <w:tl2br w:val="nil"/>
              <w:tr2bl w:val="nil"/>
            </w:tcBorders>
            <w:shd w:val="clear" w:color="auto" w:fill="FFFFFF"/>
            <w:vAlign w:val="center"/>
          </w:tcPr>
          <w:p w14:paraId="45A08F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7121F8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33.47</w:t>
            </w:r>
          </w:p>
        </w:tc>
        <w:tc>
          <w:tcPr>
            <w:tcW w:w="184" w:type="pct"/>
            <w:tcBorders>
              <w:tl2br w:val="nil"/>
              <w:tr2bl w:val="nil"/>
            </w:tcBorders>
            <w:shd w:val="clear" w:color="auto" w:fill="FFFFFF"/>
            <w:vAlign w:val="center"/>
          </w:tcPr>
          <w:p w14:paraId="51B32C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18.49</w:t>
            </w:r>
          </w:p>
        </w:tc>
        <w:tc>
          <w:tcPr>
            <w:tcW w:w="184" w:type="pct"/>
            <w:tcBorders>
              <w:tl2br w:val="nil"/>
              <w:tr2bl w:val="nil"/>
            </w:tcBorders>
            <w:shd w:val="clear" w:color="auto" w:fill="FFFFFF"/>
            <w:vAlign w:val="center"/>
          </w:tcPr>
          <w:p w14:paraId="0AA999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10.73</w:t>
            </w:r>
          </w:p>
        </w:tc>
        <w:tc>
          <w:tcPr>
            <w:tcW w:w="253" w:type="pct"/>
            <w:tcBorders>
              <w:tl2br w:val="nil"/>
              <w:tr2bl w:val="nil"/>
            </w:tcBorders>
            <w:shd w:val="clear" w:color="auto" w:fill="FFFFFF"/>
            <w:vAlign w:val="center"/>
          </w:tcPr>
          <w:p w14:paraId="6B7E0F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135.49</w:t>
            </w:r>
          </w:p>
        </w:tc>
        <w:tc>
          <w:tcPr>
            <w:tcW w:w="184" w:type="pct"/>
            <w:tcBorders>
              <w:tl2br w:val="nil"/>
              <w:tr2bl w:val="nil"/>
            </w:tcBorders>
            <w:shd w:val="clear" w:color="auto" w:fill="FFFFFF"/>
            <w:vAlign w:val="center"/>
          </w:tcPr>
          <w:p w14:paraId="6F29FB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55.53</w:t>
            </w:r>
          </w:p>
        </w:tc>
        <w:tc>
          <w:tcPr>
            <w:tcW w:w="184" w:type="pct"/>
            <w:tcBorders>
              <w:tl2br w:val="nil"/>
              <w:tr2bl w:val="nil"/>
            </w:tcBorders>
            <w:shd w:val="clear" w:color="auto" w:fill="FFFFFF"/>
            <w:vAlign w:val="center"/>
          </w:tcPr>
          <w:p w14:paraId="0EDEA2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60.68</w:t>
            </w:r>
          </w:p>
        </w:tc>
        <w:tc>
          <w:tcPr>
            <w:tcW w:w="184" w:type="pct"/>
            <w:tcBorders>
              <w:tl2br w:val="nil"/>
              <w:tr2bl w:val="nil"/>
            </w:tcBorders>
            <w:shd w:val="clear" w:color="auto" w:fill="FFFFFF"/>
            <w:vAlign w:val="center"/>
          </w:tcPr>
          <w:p w14:paraId="15D955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65.41</w:t>
            </w:r>
          </w:p>
        </w:tc>
        <w:tc>
          <w:tcPr>
            <w:tcW w:w="222" w:type="pct"/>
            <w:tcBorders>
              <w:tl2br w:val="nil"/>
              <w:tr2bl w:val="nil"/>
            </w:tcBorders>
            <w:shd w:val="clear" w:color="auto" w:fill="FFFFFF"/>
            <w:vAlign w:val="center"/>
          </w:tcPr>
          <w:p w14:paraId="207E3A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43.38</w:t>
            </w:r>
          </w:p>
        </w:tc>
        <w:tc>
          <w:tcPr>
            <w:tcW w:w="138" w:type="pct"/>
            <w:vMerge w:val="continue"/>
            <w:tcBorders>
              <w:tl2br w:val="nil"/>
              <w:tr2bl w:val="nil"/>
            </w:tcBorders>
            <w:shd w:val="clear" w:color="auto" w:fill="FFFFFF"/>
            <w:vAlign w:val="center"/>
          </w:tcPr>
          <w:p w14:paraId="69533E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681BCA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07EDCA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7605E2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20DF5E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7BC04F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29.27</w:t>
            </w:r>
          </w:p>
        </w:tc>
        <w:tc>
          <w:tcPr>
            <w:tcW w:w="184" w:type="pct"/>
            <w:tcBorders>
              <w:tl2br w:val="nil"/>
              <w:tr2bl w:val="nil"/>
            </w:tcBorders>
            <w:shd w:val="clear" w:color="auto" w:fill="FFFFFF"/>
            <w:vAlign w:val="center"/>
          </w:tcPr>
          <w:p w14:paraId="65A133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34.22</w:t>
            </w:r>
          </w:p>
        </w:tc>
        <w:tc>
          <w:tcPr>
            <w:tcW w:w="184" w:type="pct"/>
            <w:tcBorders>
              <w:tl2br w:val="nil"/>
              <w:tr2bl w:val="nil"/>
            </w:tcBorders>
            <w:shd w:val="clear" w:color="auto" w:fill="FFFFFF"/>
            <w:vAlign w:val="center"/>
          </w:tcPr>
          <w:p w14:paraId="0F67AB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38.63</w:t>
            </w:r>
          </w:p>
        </w:tc>
        <w:tc>
          <w:tcPr>
            <w:tcW w:w="184" w:type="pct"/>
            <w:tcBorders>
              <w:tl2br w:val="nil"/>
              <w:tr2bl w:val="nil"/>
            </w:tcBorders>
            <w:shd w:val="clear" w:color="auto" w:fill="FFFFFF"/>
            <w:vAlign w:val="center"/>
          </w:tcPr>
          <w:p w14:paraId="138E9B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17.32</w:t>
            </w:r>
          </w:p>
        </w:tc>
        <w:tc>
          <w:tcPr>
            <w:tcW w:w="204" w:type="pct"/>
            <w:tcBorders>
              <w:tl2br w:val="nil"/>
              <w:tr2bl w:val="nil"/>
            </w:tcBorders>
            <w:shd w:val="clear" w:color="auto" w:fill="FFFFFF"/>
            <w:vAlign w:val="center"/>
          </w:tcPr>
          <w:p w14:paraId="522BE2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13AB40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4606008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w:t>
            </w:r>
          </w:p>
        </w:tc>
        <w:tc>
          <w:tcPr>
            <w:tcW w:w="151" w:type="pct"/>
            <w:vMerge w:val="continue"/>
            <w:tcBorders>
              <w:tl2br w:val="nil"/>
              <w:tr2bl w:val="nil"/>
            </w:tcBorders>
            <w:shd w:val="clear" w:color="auto" w:fill="FFFFFF"/>
            <w:vAlign w:val="center"/>
          </w:tcPr>
          <w:p w14:paraId="20F827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restart"/>
            <w:tcBorders>
              <w:tl2br w:val="nil"/>
              <w:tr2bl w:val="nil"/>
            </w:tcBorders>
            <w:shd w:val="clear" w:color="auto" w:fill="FFFFFF"/>
            <w:vAlign w:val="center"/>
          </w:tcPr>
          <w:p w14:paraId="2171CA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cs="Times New Roman"/>
                <w:caps w:val="0"/>
                <w:snapToGrid/>
                <w:color w:val="auto"/>
                <w:spacing w:val="0"/>
                <w:w w:val="100"/>
                <w:kern w:val="21"/>
                <w:position w:val="0"/>
                <w:sz w:val="18"/>
                <w:szCs w:val="18"/>
                <w:highlight w:val="none"/>
                <w:lang w:val="en-US" w:eastAsia="zh-CN"/>
              </w:rPr>
              <w:t>五辊压光机</w:t>
            </w:r>
          </w:p>
        </w:tc>
        <w:tc>
          <w:tcPr>
            <w:tcW w:w="104" w:type="pct"/>
            <w:tcBorders>
              <w:tl2br w:val="nil"/>
              <w:tr2bl w:val="nil"/>
            </w:tcBorders>
            <w:shd w:val="clear" w:color="auto" w:fill="FFFFFF"/>
            <w:vAlign w:val="center"/>
          </w:tcPr>
          <w:p w14:paraId="43ACD5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2D1B06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80</w:t>
            </w:r>
          </w:p>
        </w:tc>
        <w:tc>
          <w:tcPr>
            <w:tcW w:w="334" w:type="pct"/>
            <w:vMerge w:val="continue"/>
            <w:tcBorders>
              <w:tl2br w:val="nil"/>
              <w:tr2bl w:val="nil"/>
            </w:tcBorders>
            <w:shd w:val="clear" w:color="auto" w:fill="FFFFFF"/>
            <w:vAlign w:val="center"/>
          </w:tcPr>
          <w:p w14:paraId="083F36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019819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5.78</w:t>
            </w:r>
          </w:p>
        </w:tc>
        <w:tc>
          <w:tcPr>
            <w:tcW w:w="230" w:type="pct"/>
            <w:tcBorders>
              <w:tl2br w:val="nil"/>
              <w:tr2bl w:val="nil"/>
            </w:tcBorders>
            <w:shd w:val="clear" w:color="auto" w:fill="FFFFFF"/>
            <w:vAlign w:val="center"/>
          </w:tcPr>
          <w:p w14:paraId="61A414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-78.61</w:t>
            </w:r>
          </w:p>
        </w:tc>
        <w:tc>
          <w:tcPr>
            <w:tcW w:w="83" w:type="pct"/>
            <w:tcBorders>
              <w:tl2br w:val="nil"/>
              <w:tr2bl w:val="nil"/>
            </w:tcBorders>
            <w:shd w:val="clear" w:color="auto" w:fill="FFFFFF"/>
            <w:vAlign w:val="center"/>
          </w:tcPr>
          <w:p w14:paraId="1507C5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5FEA6E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33.72</w:t>
            </w:r>
          </w:p>
        </w:tc>
        <w:tc>
          <w:tcPr>
            <w:tcW w:w="184" w:type="pct"/>
            <w:tcBorders>
              <w:tl2br w:val="nil"/>
              <w:tr2bl w:val="nil"/>
            </w:tcBorders>
            <w:shd w:val="clear" w:color="auto" w:fill="FFFFFF"/>
            <w:vAlign w:val="center"/>
          </w:tcPr>
          <w:p w14:paraId="3F0E78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29.32</w:t>
            </w:r>
          </w:p>
        </w:tc>
        <w:tc>
          <w:tcPr>
            <w:tcW w:w="184" w:type="pct"/>
            <w:tcBorders>
              <w:tl2br w:val="nil"/>
              <w:tr2bl w:val="nil"/>
            </w:tcBorders>
            <w:shd w:val="clear" w:color="auto" w:fill="FFFFFF"/>
            <w:vAlign w:val="center"/>
          </w:tcPr>
          <w:p w14:paraId="3D8192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10.20</w:t>
            </w:r>
          </w:p>
        </w:tc>
        <w:tc>
          <w:tcPr>
            <w:tcW w:w="253" w:type="pct"/>
            <w:tcBorders>
              <w:tl2br w:val="nil"/>
              <w:tr2bl w:val="nil"/>
            </w:tcBorders>
            <w:shd w:val="clear" w:color="auto" w:fill="FFFFFF"/>
            <w:vAlign w:val="center"/>
          </w:tcPr>
          <w:p w14:paraId="5D0936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136.50</w:t>
            </w:r>
          </w:p>
        </w:tc>
        <w:tc>
          <w:tcPr>
            <w:tcW w:w="184" w:type="pct"/>
            <w:tcBorders>
              <w:tl2br w:val="nil"/>
              <w:tr2bl w:val="nil"/>
            </w:tcBorders>
            <w:shd w:val="clear" w:color="auto" w:fill="FFFFFF"/>
            <w:vAlign w:val="center"/>
          </w:tcPr>
          <w:p w14:paraId="1A4BA7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55.46</w:t>
            </w:r>
          </w:p>
        </w:tc>
        <w:tc>
          <w:tcPr>
            <w:tcW w:w="184" w:type="pct"/>
            <w:tcBorders>
              <w:tl2br w:val="nil"/>
              <w:tr2bl w:val="nil"/>
            </w:tcBorders>
            <w:shd w:val="clear" w:color="auto" w:fill="FFFFFF"/>
            <w:vAlign w:val="center"/>
          </w:tcPr>
          <w:p w14:paraId="144157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56.68</w:t>
            </w:r>
          </w:p>
        </w:tc>
        <w:tc>
          <w:tcPr>
            <w:tcW w:w="184" w:type="pct"/>
            <w:tcBorders>
              <w:tl2br w:val="nil"/>
              <w:tr2bl w:val="nil"/>
            </w:tcBorders>
            <w:shd w:val="clear" w:color="auto" w:fill="FFFFFF"/>
            <w:vAlign w:val="center"/>
          </w:tcPr>
          <w:p w14:paraId="72BF9D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65.85</w:t>
            </w:r>
          </w:p>
        </w:tc>
        <w:tc>
          <w:tcPr>
            <w:tcW w:w="222" w:type="pct"/>
            <w:tcBorders>
              <w:tl2br w:val="nil"/>
              <w:tr2bl w:val="nil"/>
            </w:tcBorders>
            <w:shd w:val="clear" w:color="auto" w:fill="FFFFFF"/>
            <w:vAlign w:val="center"/>
          </w:tcPr>
          <w:p w14:paraId="7502F7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43.32</w:t>
            </w:r>
          </w:p>
        </w:tc>
        <w:tc>
          <w:tcPr>
            <w:tcW w:w="138" w:type="pct"/>
            <w:vMerge w:val="continue"/>
            <w:tcBorders>
              <w:tl2br w:val="nil"/>
              <w:tr2bl w:val="nil"/>
            </w:tcBorders>
            <w:shd w:val="clear" w:color="auto" w:fill="FFFFFF"/>
            <w:vAlign w:val="center"/>
          </w:tcPr>
          <w:p w14:paraId="4C0A29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5E287D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1A504F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556508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0729C7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08C0F8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29.21</w:t>
            </w:r>
          </w:p>
        </w:tc>
        <w:tc>
          <w:tcPr>
            <w:tcW w:w="184" w:type="pct"/>
            <w:tcBorders>
              <w:tl2br w:val="nil"/>
              <w:tr2bl w:val="nil"/>
            </w:tcBorders>
            <w:shd w:val="clear" w:color="auto" w:fill="FFFFFF"/>
            <w:vAlign w:val="center"/>
          </w:tcPr>
          <w:p w14:paraId="56EB02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30.39</w:t>
            </w:r>
          </w:p>
        </w:tc>
        <w:tc>
          <w:tcPr>
            <w:tcW w:w="184" w:type="pct"/>
            <w:tcBorders>
              <w:tl2br w:val="nil"/>
              <w:tr2bl w:val="nil"/>
            </w:tcBorders>
            <w:shd w:val="clear" w:color="auto" w:fill="FFFFFF"/>
            <w:vAlign w:val="center"/>
          </w:tcPr>
          <w:p w14:paraId="2530FF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39.04</w:t>
            </w:r>
          </w:p>
        </w:tc>
        <w:tc>
          <w:tcPr>
            <w:tcW w:w="184" w:type="pct"/>
            <w:tcBorders>
              <w:tl2br w:val="nil"/>
              <w:tr2bl w:val="nil"/>
            </w:tcBorders>
            <w:shd w:val="clear" w:color="auto" w:fill="FFFFFF"/>
            <w:vAlign w:val="center"/>
          </w:tcPr>
          <w:p w14:paraId="350EC7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17.25</w:t>
            </w:r>
          </w:p>
        </w:tc>
        <w:tc>
          <w:tcPr>
            <w:tcW w:w="204" w:type="pct"/>
            <w:tcBorders>
              <w:tl2br w:val="nil"/>
              <w:tr2bl w:val="nil"/>
            </w:tcBorders>
            <w:shd w:val="clear" w:color="auto" w:fill="FFFFFF"/>
            <w:vAlign w:val="center"/>
          </w:tcPr>
          <w:p w14:paraId="4F40AD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6045F5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6ECE3F5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w:t>
            </w:r>
          </w:p>
        </w:tc>
        <w:tc>
          <w:tcPr>
            <w:tcW w:w="151" w:type="pct"/>
            <w:vMerge w:val="continue"/>
            <w:tcBorders>
              <w:tl2br w:val="nil"/>
              <w:tr2bl w:val="nil"/>
            </w:tcBorders>
            <w:shd w:val="clear" w:color="auto" w:fill="FFFFFF"/>
            <w:vAlign w:val="center"/>
          </w:tcPr>
          <w:p w14:paraId="0B8355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473D01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5CD4EA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40A454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80</w:t>
            </w:r>
          </w:p>
        </w:tc>
        <w:tc>
          <w:tcPr>
            <w:tcW w:w="334" w:type="pct"/>
            <w:vMerge w:val="continue"/>
            <w:tcBorders>
              <w:tl2br w:val="nil"/>
              <w:tr2bl w:val="nil"/>
            </w:tcBorders>
            <w:shd w:val="clear" w:color="auto" w:fill="FFFFFF"/>
            <w:vAlign w:val="center"/>
          </w:tcPr>
          <w:p w14:paraId="4B3757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624C47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5.78</w:t>
            </w:r>
          </w:p>
        </w:tc>
        <w:tc>
          <w:tcPr>
            <w:tcW w:w="230" w:type="pct"/>
            <w:tcBorders>
              <w:tl2br w:val="nil"/>
              <w:tr2bl w:val="nil"/>
            </w:tcBorders>
            <w:shd w:val="clear" w:color="auto" w:fill="FFFFFF"/>
            <w:vAlign w:val="center"/>
          </w:tcPr>
          <w:p w14:paraId="364BD6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-78.61</w:t>
            </w:r>
          </w:p>
        </w:tc>
        <w:tc>
          <w:tcPr>
            <w:tcW w:w="83" w:type="pct"/>
            <w:tcBorders>
              <w:tl2br w:val="nil"/>
              <w:tr2bl w:val="nil"/>
            </w:tcBorders>
            <w:shd w:val="clear" w:color="auto" w:fill="FFFFFF"/>
            <w:vAlign w:val="center"/>
          </w:tcPr>
          <w:p w14:paraId="0164BD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58BC53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33.72</w:t>
            </w:r>
          </w:p>
        </w:tc>
        <w:tc>
          <w:tcPr>
            <w:tcW w:w="184" w:type="pct"/>
            <w:tcBorders>
              <w:tl2br w:val="nil"/>
              <w:tr2bl w:val="nil"/>
            </w:tcBorders>
            <w:shd w:val="clear" w:color="auto" w:fill="FFFFFF"/>
            <w:vAlign w:val="center"/>
          </w:tcPr>
          <w:p w14:paraId="63B18E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29.32</w:t>
            </w:r>
          </w:p>
        </w:tc>
        <w:tc>
          <w:tcPr>
            <w:tcW w:w="184" w:type="pct"/>
            <w:tcBorders>
              <w:tl2br w:val="nil"/>
              <w:tr2bl w:val="nil"/>
            </w:tcBorders>
            <w:shd w:val="clear" w:color="auto" w:fill="FFFFFF"/>
            <w:vAlign w:val="center"/>
          </w:tcPr>
          <w:p w14:paraId="450432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10.20</w:t>
            </w:r>
          </w:p>
        </w:tc>
        <w:tc>
          <w:tcPr>
            <w:tcW w:w="253" w:type="pct"/>
            <w:tcBorders>
              <w:tl2br w:val="nil"/>
              <w:tr2bl w:val="nil"/>
            </w:tcBorders>
            <w:shd w:val="clear" w:color="auto" w:fill="FFFFFF"/>
            <w:vAlign w:val="center"/>
          </w:tcPr>
          <w:p w14:paraId="55E8CF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136.50</w:t>
            </w:r>
          </w:p>
        </w:tc>
        <w:tc>
          <w:tcPr>
            <w:tcW w:w="184" w:type="pct"/>
            <w:tcBorders>
              <w:tl2br w:val="nil"/>
              <w:tr2bl w:val="nil"/>
            </w:tcBorders>
            <w:shd w:val="clear" w:color="auto" w:fill="FFFFFF"/>
            <w:vAlign w:val="center"/>
          </w:tcPr>
          <w:p w14:paraId="4B772D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55.46</w:t>
            </w:r>
          </w:p>
        </w:tc>
        <w:tc>
          <w:tcPr>
            <w:tcW w:w="184" w:type="pct"/>
            <w:tcBorders>
              <w:tl2br w:val="nil"/>
              <w:tr2bl w:val="nil"/>
            </w:tcBorders>
            <w:shd w:val="clear" w:color="auto" w:fill="FFFFFF"/>
            <w:vAlign w:val="center"/>
          </w:tcPr>
          <w:p w14:paraId="0F6932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56.68</w:t>
            </w:r>
          </w:p>
        </w:tc>
        <w:tc>
          <w:tcPr>
            <w:tcW w:w="184" w:type="pct"/>
            <w:tcBorders>
              <w:tl2br w:val="nil"/>
              <w:tr2bl w:val="nil"/>
            </w:tcBorders>
            <w:shd w:val="clear" w:color="auto" w:fill="FFFFFF"/>
            <w:vAlign w:val="center"/>
          </w:tcPr>
          <w:p w14:paraId="2DDDED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65.85</w:t>
            </w:r>
          </w:p>
        </w:tc>
        <w:tc>
          <w:tcPr>
            <w:tcW w:w="222" w:type="pct"/>
            <w:tcBorders>
              <w:tl2br w:val="nil"/>
              <w:tr2bl w:val="nil"/>
            </w:tcBorders>
            <w:shd w:val="clear" w:color="auto" w:fill="FFFFFF"/>
            <w:vAlign w:val="center"/>
          </w:tcPr>
          <w:p w14:paraId="012484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43.32</w:t>
            </w:r>
          </w:p>
        </w:tc>
        <w:tc>
          <w:tcPr>
            <w:tcW w:w="138" w:type="pct"/>
            <w:vMerge w:val="continue"/>
            <w:tcBorders>
              <w:tl2br w:val="nil"/>
              <w:tr2bl w:val="nil"/>
            </w:tcBorders>
            <w:shd w:val="clear" w:color="auto" w:fill="FFFFFF"/>
            <w:vAlign w:val="center"/>
          </w:tcPr>
          <w:p w14:paraId="18CDF7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71144A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40EF40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7741AB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310B75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04C670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29.21</w:t>
            </w:r>
          </w:p>
        </w:tc>
        <w:tc>
          <w:tcPr>
            <w:tcW w:w="184" w:type="pct"/>
            <w:tcBorders>
              <w:tl2br w:val="nil"/>
              <w:tr2bl w:val="nil"/>
            </w:tcBorders>
            <w:shd w:val="clear" w:color="auto" w:fill="FFFFFF"/>
            <w:vAlign w:val="center"/>
          </w:tcPr>
          <w:p w14:paraId="3F006C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30.39</w:t>
            </w:r>
          </w:p>
        </w:tc>
        <w:tc>
          <w:tcPr>
            <w:tcW w:w="184" w:type="pct"/>
            <w:tcBorders>
              <w:tl2br w:val="nil"/>
              <w:tr2bl w:val="nil"/>
            </w:tcBorders>
            <w:shd w:val="clear" w:color="auto" w:fill="FFFFFF"/>
            <w:vAlign w:val="center"/>
          </w:tcPr>
          <w:p w14:paraId="3BA47E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39.04</w:t>
            </w:r>
          </w:p>
        </w:tc>
        <w:tc>
          <w:tcPr>
            <w:tcW w:w="184" w:type="pct"/>
            <w:tcBorders>
              <w:tl2br w:val="nil"/>
              <w:tr2bl w:val="nil"/>
            </w:tcBorders>
            <w:shd w:val="clear" w:color="auto" w:fill="FFFFFF"/>
            <w:vAlign w:val="center"/>
          </w:tcPr>
          <w:p w14:paraId="1B4DBC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17.25</w:t>
            </w:r>
          </w:p>
        </w:tc>
        <w:tc>
          <w:tcPr>
            <w:tcW w:w="204" w:type="pct"/>
            <w:tcBorders>
              <w:tl2br w:val="nil"/>
              <w:tr2bl w:val="nil"/>
            </w:tcBorders>
            <w:shd w:val="clear" w:color="auto" w:fill="FFFFFF"/>
            <w:vAlign w:val="center"/>
          </w:tcPr>
          <w:p w14:paraId="72D066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67AB21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6899FF5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9</w:t>
            </w:r>
          </w:p>
        </w:tc>
        <w:tc>
          <w:tcPr>
            <w:tcW w:w="151" w:type="pct"/>
            <w:vMerge w:val="continue"/>
            <w:tcBorders>
              <w:tl2br w:val="nil"/>
              <w:tr2bl w:val="nil"/>
            </w:tcBorders>
            <w:shd w:val="clear" w:color="auto" w:fill="FFFFFF"/>
            <w:vAlign w:val="center"/>
          </w:tcPr>
          <w:p w14:paraId="79094A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6D70BA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2481B6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5DBF5E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80</w:t>
            </w:r>
          </w:p>
        </w:tc>
        <w:tc>
          <w:tcPr>
            <w:tcW w:w="334" w:type="pct"/>
            <w:vMerge w:val="continue"/>
            <w:tcBorders>
              <w:tl2br w:val="nil"/>
              <w:tr2bl w:val="nil"/>
            </w:tcBorders>
            <w:shd w:val="clear" w:color="auto" w:fill="FFFFFF"/>
            <w:vAlign w:val="center"/>
          </w:tcPr>
          <w:p w14:paraId="6A92F9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33D08F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5.78</w:t>
            </w:r>
          </w:p>
        </w:tc>
        <w:tc>
          <w:tcPr>
            <w:tcW w:w="230" w:type="pct"/>
            <w:tcBorders>
              <w:tl2br w:val="nil"/>
              <w:tr2bl w:val="nil"/>
            </w:tcBorders>
            <w:shd w:val="clear" w:color="auto" w:fill="FFFFFF"/>
            <w:vAlign w:val="center"/>
          </w:tcPr>
          <w:p w14:paraId="545882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-78.61</w:t>
            </w:r>
          </w:p>
        </w:tc>
        <w:tc>
          <w:tcPr>
            <w:tcW w:w="83" w:type="pct"/>
            <w:tcBorders>
              <w:tl2br w:val="nil"/>
              <w:tr2bl w:val="nil"/>
            </w:tcBorders>
            <w:shd w:val="clear" w:color="auto" w:fill="FFFFFF"/>
            <w:vAlign w:val="center"/>
          </w:tcPr>
          <w:p w14:paraId="2846F9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196DA0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33.72</w:t>
            </w:r>
          </w:p>
        </w:tc>
        <w:tc>
          <w:tcPr>
            <w:tcW w:w="184" w:type="pct"/>
            <w:tcBorders>
              <w:tl2br w:val="nil"/>
              <w:tr2bl w:val="nil"/>
            </w:tcBorders>
            <w:shd w:val="clear" w:color="auto" w:fill="FFFFFF"/>
            <w:vAlign w:val="center"/>
          </w:tcPr>
          <w:p w14:paraId="1A3036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29.32</w:t>
            </w:r>
          </w:p>
        </w:tc>
        <w:tc>
          <w:tcPr>
            <w:tcW w:w="184" w:type="pct"/>
            <w:tcBorders>
              <w:tl2br w:val="nil"/>
              <w:tr2bl w:val="nil"/>
            </w:tcBorders>
            <w:shd w:val="clear" w:color="auto" w:fill="FFFFFF"/>
            <w:vAlign w:val="center"/>
          </w:tcPr>
          <w:p w14:paraId="185604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10.20</w:t>
            </w:r>
          </w:p>
        </w:tc>
        <w:tc>
          <w:tcPr>
            <w:tcW w:w="253" w:type="pct"/>
            <w:tcBorders>
              <w:tl2br w:val="nil"/>
              <w:tr2bl w:val="nil"/>
            </w:tcBorders>
            <w:shd w:val="clear" w:color="auto" w:fill="FFFFFF"/>
            <w:vAlign w:val="center"/>
          </w:tcPr>
          <w:p w14:paraId="25B764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136.50</w:t>
            </w:r>
          </w:p>
        </w:tc>
        <w:tc>
          <w:tcPr>
            <w:tcW w:w="184" w:type="pct"/>
            <w:tcBorders>
              <w:tl2br w:val="nil"/>
              <w:tr2bl w:val="nil"/>
            </w:tcBorders>
            <w:shd w:val="clear" w:color="auto" w:fill="FFFFFF"/>
            <w:vAlign w:val="center"/>
          </w:tcPr>
          <w:p w14:paraId="1E1CE2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55.46</w:t>
            </w:r>
          </w:p>
        </w:tc>
        <w:tc>
          <w:tcPr>
            <w:tcW w:w="184" w:type="pct"/>
            <w:tcBorders>
              <w:tl2br w:val="nil"/>
              <w:tr2bl w:val="nil"/>
            </w:tcBorders>
            <w:shd w:val="clear" w:color="auto" w:fill="FFFFFF"/>
            <w:vAlign w:val="center"/>
          </w:tcPr>
          <w:p w14:paraId="6D391D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56.68</w:t>
            </w:r>
          </w:p>
        </w:tc>
        <w:tc>
          <w:tcPr>
            <w:tcW w:w="184" w:type="pct"/>
            <w:tcBorders>
              <w:tl2br w:val="nil"/>
              <w:tr2bl w:val="nil"/>
            </w:tcBorders>
            <w:shd w:val="clear" w:color="auto" w:fill="FFFFFF"/>
            <w:vAlign w:val="center"/>
          </w:tcPr>
          <w:p w14:paraId="564D1A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65.85</w:t>
            </w:r>
          </w:p>
        </w:tc>
        <w:tc>
          <w:tcPr>
            <w:tcW w:w="222" w:type="pct"/>
            <w:tcBorders>
              <w:tl2br w:val="nil"/>
              <w:tr2bl w:val="nil"/>
            </w:tcBorders>
            <w:shd w:val="clear" w:color="auto" w:fill="FFFFFF"/>
            <w:vAlign w:val="center"/>
          </w:tcPr>
          <w:p w14:paraId="46D053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43.32</w:t>
            </w:r>
          </w:p>
        </w:tc>
        <w:tc>
          <w:tcPr>
            <w:tcW w:w="138" w:type="pct"/>
            <w:vMerge w:val="continue"/>
            <w:tcBorders>
              <w:tl2br w:val="nil"/>
              <w:tr2bl w:val="nil"/>
            </w:tcBorders>
            <w:shd w:val="clear" w:color="auto" w:fill="FFFFFF"/>
            <w:vAlign w:val="center"/>
          </w:tcPr>
          <w:p w14:paraId="299E3B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5950FC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1A5E0F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3F5DE4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28B999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354E58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29.21</w:t>
            </w:r>
          </w:p>
        </w:tc>
        <w:tc>
          <w:tcPr>
            <w:tcW w:w="184" w:type="pct"/>
            <w:tcBorders>
              <w:tl2br w:val="nil"/>
              <w:tr2bl w:val="nil"/>
            </w:tcBorders>
            <w:shd w:val="clear" w:color="auto" w:fill="FFFFFF"/>
            <w:vAlign w:val="center"/>
          </w:tcPr>
          <w:p w14:paraId="26C1AD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30.39</w:t>
            </w:r>
          </w:p>
        </w:tc>
        <w:tc>
          <w:tcPr>
            <w:tcW w:w="184" w:type="pct"/>
            <w:tcBorders>
              <w:tl2br w:val="nil"/>
              <w:tr2bl w:val="nil"/>
            </w:tcBorders>
            <w:shd w:val="clear" w:color="auto" w:fill="FFFFFF"/>
            <w:vAlign w:val="center"/>
          </w:tcPr>
          <w:p w14:paraId="47D171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39.04</w:t>
            </w:r>
          </w:p>
        </w:tc>
        <w:tc>
          <w:tcPr>
            <w:tcW w:w="184" w:type="pct"/>
            <w:tcBorders>
              <w:tl2br w:val="nil"/>
              <w:tr2bl w:val="nil"/>
            </w:tcBorders>
            <w:shd w:val="clear" w:color="auto" w:fill="FFFFFF"/>
            <w:vAlign w:val="center"/>
          </w:tcPr>
          <w:p w14:paraId="31F1A2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17.25</w:t>
            </w:r>
          </w:p>
        </w:tc>
        <w:tc>
          <w:tcPr>
            <w:tcW w:w="204" w:type="pct"/>
            <w:tcBorders>
              <w:tl2br w:val="nil"/>
              <w:tr2bl w:val="nil"/>
            </w:tcBorders>
            <w:shd w:val="clear" w:color="auto" w:fill="FFFFFF"/>
            <w:vAlign w:val="center"/>
          </w:tcPr>
          <w:p w14:paraId="7695E6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418CEE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7F4049B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11</w:t>
            </w:r>
          </w:p>
        </w:tc>
        <w:tc>
          <w:tcPr>
            <w:tcW w:w="151" w:type="pct"/>
            <w:vMerge w:val="continue"/>
            <w:tcBorders>
              <w:tl2br w:val="nil"/>
              <w:tr2bl w:val="nil"/>
            </w:tcBorders>
            <w:shd w:val="clear" w:color="auto" w:fill="FFFFFF"/>
            <w:vAlign w:val="center"/>
          </w:tcPr>
          <w:p w14:paraId="3969D5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restart"/>
            <w:tcBorders>
              <w:tl2br w:val="nil"/>
              <w:tr2bl w:val="nil"/>
            </w:tcBorders>
            <w:shd w:val="clear" w:color="auto" w:fill="FFFFFF"/>
            <w:vAlign w:val="center"/>
          </w:tcPr>
          <w:p w14:paraId="67A4AD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cs="Times New Roman"/>
                <w:color w:val="auto"/>
                <w:spacing w:val="0"/>
                <w:w w:val="100"/>
                <w:position w:val="0"/>
                <w:sz w:val="18"/>
                <w:szCs w:val="18"/>
                <w:highlight w:val="none"/>
                <w:lang w:val="en-US" w:eastAsia="zh-CN"/>
              </w:rPr>
              <w:t>高分子膜覆膜机</w:t>
            </w:r>
          </w:p>
        </w:tc>
        <w:tc>
          <w:tcPr>
            <w:tcW w:w="104" w:type="pct"/>
            <w:tcBorders>
              <w:tl2br w:val="nil"/>
              <w:tr2bl w:val="nil"/>
            </w:tcBorders>
            <w:shd w:val="clear" w:color="auto" w:fill="FFFFFF"/>
            <w:vAlign w:val="center"/>
          </w:tcPr>
          <w:p w14:paraId="6CFF43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308740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80</w:t>
            </w:r>
          </w:p>
        </w:tc>
        <w:tc>
          <w:tcPr>
            <w:tcW w:w="334" w:type="pct"/>
            <w:vMerge w:val="continue"/>
            <w:tcBorders>
              <w:tl2br w:val="nil"/>
              <w:tr2bl w:val="nil"/>
            </w:tcBorders>
            <w:shd w:val="clear" w:color="auto" w:fill="FFFFFF"/>
            <w:vAlign w:val="center"/>
          </w:tcPr>
          <w:p w14:paraId="6B4C97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68B081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3.21</w:t>
            </w:r>
          </w:p>
        </w:tc>
        <w:tc>
          <w:tcPr>
            <w:tcW w:w="230" w:type="pct"/>
            <w:tcBorders>
              <w:tl2br w:val="nil"/>
              <w:tr2bl w:val="nil"/>
            </w:tcBorders>
            <w:shd w:val="clear" w:color="auto" w:fill="FFFFFF"/>
            <w:vAlign w:val="center"/>
          </w:tcPr>
          <w:p w14:paraId="47C81A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-68.33</w:t>
            </w:r>
          </w:p>
        </w:tc>
        <w:tc>
          <w:tcPr>
            <w:tcW w:w="83" w:type="pct"/>
            <w:tcBorders>
              <w:tl2br w:val="nil"/>
              <w:tr2bl w:val="nil"/>
            </w:tcBorders>
            <w:shd w:val="clear" w:color="auto" w:fill="FFFFFF"/>
            <w:vAlign w:val="center"/>
          </w:tcPr>
          <w:p w14:paraId="5E3EC9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4FA260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33.76</w:t>
            </w:r>
          </w:p>
        </w:tc>
        <w:tc>
          <w:tcPr>
            <w:tcW w:w="184" w:type="pct"/>
            <w:tcBorders>
              <w:tl2br w:val="nil"/>
              <w:tr2bl w:val="nil"/>
            </w:tcBorders>
            <w:shd w:val="clear" w:color="auto" w:fill="FFFFFF"/>
            <w:vAlign w:val="center"/>
          </w:tcPr>
          <w:p w14:paraId="57DB58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41.00</w:t>
            </w:r>
          </w:p>
        </w:tc>
        <w:tc>
          <w:tcPr>
            <w:tcW w:w="184" w:type="pct"/>
            <w:tcBorders>
              <w:tl2br w:val="nil"/>
              <w:tr2bl w:val="nil"/>
            </w:tcBorders>
            <w:shd w:val="clear" w:color="auto" w:fill="FFFFFF"/>
            <w:vAlign w:val="center"/>
          </w:tcPr>
          <w:p w14:paraId="4DE290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9.85</w:t>
            </w:r>
          </w:p>
        </w:tc>
        <w:tc>
          <w:tcPr>
            <w:tcW w:w="253" w:type="pct"/>
            <w:tcBorders>
              <w:tl2br w:val="nil"/>
              <w:tr2bl w:val="nil"/>
            </w:tcBorders>
            <w:shd w:val="clear" w:color="auto" w:fill="FFFFFF"/>
            <w:vAlign w:val="center"/>
          </w:tcPr>
          <w:p w14:paraId="5985F3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136.66</w:t>
            </w:r>
          </w:p>
        </w:tc>
        <w:tc>
          <w:tcPr>
            <w:tcW w:w="184" w:type="pct"/>
            <w:tcBorders>
              <w:tl2br w:val="nil"/>
              <w:tr2bl w:val="nil"/>
            </w:tcBorders>
            <w:shd w:val="clear" w:color="auto" w:fill="FFFFFF"/>
            <w:vAlign w:val="center"/>
          </w:tcPr>
          <w:p w14:paraId="49C6CB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55.45</w:t>
            </w:r>
          </w:p>
        </w:tc>
        <w:tc>
          <w:tcPr>
            <w:tcW w:w="184" w:type="pct"/>
            <w:tcBorders>
              <w:tl2br w:val="nil"/>
              <w:tr2bl w:val="nil"/>
            </w:tcBorders>
            <w:shd w:val="clear" w:color="auto" w:fill="FFFFFF"/>
            <w:vAlign w:val="center"/>
          </w:tcPr>
          <w:p w14:paraId="133F67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53.76</w:t>
            </w:r>
          </w:p>
        </w:tc>
        <w:tc>
          <w:tcPr>
            <w:tcW w:w="184" w:type="pct"/>
            <w:tcBorders>
              <w:tl2br w:val="nil"/>
              <w:tr2bl w:val="nil"/>
            </w:tcBorders>
            <w:shd w:val="clear" w:color="auto" w:fill="FFFFFF"/>
            <w:vAlign w:val="center"/>
          </w:tcPr>
          <w:p w14:paraId="41657A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66.15</w:t>
            </w:r>
          </w:p>
        </w:tc>
        <w:tc>
          <w:tcPr>
            <w:tcW w:w="222" w:type="pct"/>
            <w:tcBorders>
              <w:tl2br w:val="nil"/>
              <w:tr2bl w:val="nil"/>
            </w:tcBorders>
            <w:shd w:val="clear" w:color="auto" w:fill="FFFFFF"/>
            <w:vAlign w:val="center"/>
          </w:tcPr>
          <w:p w14:paraId="74B471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43.31</w:t>
            </w:r>
          </w:p>
        </w:tc>
        <w:tc>
          <w:tcPr>
            <w:tcW w:w="138" w:type="pct"/>
            <w:vMerge w:val="continue"/>
            <w:tcBorders>
              <w:tl2br w:val="nil"/>
              <w:tr2bl w:val="nil"/>
            </w:tcBorders>
            <w:shd w:val="clear" w:color="auto" w:fill="FFFFFF"/>
            <w:vAlign w:val="center"/>
          </w:tcPr>
          <w:p w14:paraId="2399A7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010AA4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01128C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660728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42D110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70B3C2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29.20</w:t>
            </w:r>
          </w:p>
        </w:tc>
        <w:tc>
          <w:tcPr>
            <w:tcW w:w="184" w:type="pct"/>
            <w:tcBorders>
              <w:tl2br w:val="nil"/>
              <w:tr2bl w:val="nil"/>
            </w:tcBorders>
            <w:shd w:val="clear" w:color="auto" w:fill="FFFFFF"/>
            <w:vAlign w:val="center"/>
          </w:tcPr>
          <w:p w14:paraId="6CC44D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27.55</w:t>
            </w:r>
          </w:p>
        </w:tc>
        <w:tc>
          <w:tcPr>
            <w:tcW w:w="184" w:type="pct"/>
            <w:tcBorders>
              <w:tl2br w:val="nil"/>
              <w:tr2bl w:val="nil"/>
            </w:tcBorders>
            <w:shd w:val="clear" w:color="auto" w:fill="FFFFFF"/>
            <w:vAlign w:val="center"/>
          </w:tcPr>
          <w:p w14:paraId="18EAF0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39.31</w:t>
            </w:r>
          </w:p>
        </w:tc>
        <w:tc>
          <w:tcPr>
            <w:tcW w:w="184" w:type="pct"/>
            <w:tcBorders>
              <w:tl2br w:val="nil"/>
              <w:tr2bl w:val="nil"/>
            </w:tcBorders>
            <w:shd w:val="clear" w:color="auto" w:fill="FFFFFF"/>
            <w:vAlign w:val="center"/>
          </w:tcPr>
          <w:p w14:paraId="4B59E7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17.24</w:t>
            </w:r>
          </w:p>
        </w:tc>
        <w:tc>
          <w:tcPr>
            <w:tcW w:w="204" w:type="pct"/>
            <w:tcBorders>
              <w:tl2br w:val="nil"/>
              <w:tr2bl w:val="nil"/>
            </w:tcBorders>
            <w:shd w:val="clear" w:color="auto" w:fill="FFFFFF"/>
            <w:vAlign w:val="center"/>
          </w:tcPr>
          <w:p w14:paraId="70D298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22C939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09EE1DE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12</w:t>
            </w:r>
          </w:p>
        </w:tc>
        <w:tc>
          <w:tcPr>
            <w:tcW w:w="151" w:type="pct"/>
            <w:vMerge w:val="continue"/>
            <w:tcBorders>
              <w:tl2br w:val="nil"/>
              <w:tr2bl w:val="nil"/>
            </w:tcBorders>
            <w:shd w:val="clear" w:color="auto" w:fill="FFFFFF"/>
            <w:vAlign w:val="center"/>
          </w:tcPr>
          <w:p w14:paraId="76AA3F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101103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5D54D6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20DA62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80</w:t>
            </w:r>
          </w:p>
        </w:tc>
        <w:tc>
          <w:tcPr>
            <w:tcW w:w="334" w:type="pct"/>
            <w:vMerge w:val="continue"/>
            <w:tcBorders>
              <w:tl2br w:val="nil"/>
              <w:tr2bl w:val="nil"/>
            </w:tcBorders>
            <w:shd w:val="clear" w:color="auto" w:fill="FFFFFF"/>
            <w:vAlign w:val="center"/>
          </w:tcPr>
          <w:p w14:paraId="6F26AB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4E19FF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3.21</w:t>
            </w:r>
          </w:p>
        </w:tc>
        <w:tc>
          <w:tcPr>
            <w:tcW w:w="230" w:type="pct"/>
            <w:tcBorders>
              <w:tl2br w:val="nil"/>
              <w:tr2bl w:val="nil"/>
            </w:tcBorders>
            <w:shd w:val="clear" w:color="auto" w:fill="FFFFFF"/>
            <w:vAlign w:val="center"/>
          </w:tcPr>
          <w:p w14:paraId="0C30AC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-68.33</w:t>
            </w:r>
          </w:p>
        </w:tc>
        <w:tc>
          <w:tcPr>
            <w:tcW w:w="83" w:type="pct"/>
            <w:tcBorders>
              <w:tl2br w:val="nil"/>
              <w:tr2bl w:val="nil"/>
            </w:tcBorders>
            <w:shd w:val="clear" w:color="auto" w:fill="FFFFFF"/>
            <w:vAlign w:val="center"/>
          </w:tcPr>
          <w:p w14:paraId="109659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517B60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33.76</w:t>
            </w:r>
          </w:p>
        </w:tc>
        <w:tc>
          <w:tcPr>
            <w:tcW w:w="184" w:type="pct"/>
            <w:tcBorders>
              <w:tl2br w:val="nil"/>
              <w:tr2bl w:val="nil"/>
            </w:tcBorders>
            <w:shd w:val="clear" w:color="auto" w:fill="FFFFFF"/>
            <w:vAlign w:val="center"/>
          </w:tcPr>
          <w:p w14:paraId="600B76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41.00</w:t>
            </w:r>
          </w:p>
        </w:tc>
        <w:tc>
          <w:tcPr>
            <w:tcW w:w="184" w:type="pct"/>
            <w:tcBorders>
              <w:tl2br w:val="nil"/>
              <w:tr2bl w:val="nil"/>
            </w:tcBorders>
            <w:shd w:val="clear" w:color="auto" w:fill="FFFFFF"/>
            <w:vAlign w:val="center"/>
          </w:tcPr>
          <w:p w14:paraId="3AEDBC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9.85</w:t>
            </w:r>
          </w:p>
        </w:tc>
        <w:tc>
          <w:tcPr>
            <w:tcW w:w="253" w:type="pct"/>
            <w:tcBorders>
              <w:tl2br w:val="nil"/>
              <w:tr2bl w:val="nil"/>
            </w:tcBorders>
            <w:shd w:val="clear" w:color="auto" w:fill="FFFFFF"/>
            <w:vAlign w:val="center"/>
          </w:tcPr>
          <w:p w14:paraId="7C225D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136.66</w:t>
            </w:r>
          </w:p>
        </w:tc>
        <w:tc>
          <w:tcPr>
            <w:tcW w:w="184" w:type="pct"/>
            <w:tcBorders>
              <w:tl2br w:val="nil"/>
              <w:tr2bl w:val="nil"/>
            </w:tcBorders>
            <w:shd w:val="clear" w:color="auto" w:fill="FFFFFF"/>
            <w:vAlign w:val="center"/>
          </w:tcPr>
          <w:p w14:paraId="27133D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55.45</w:t>
            </w:r>
          </w:p>
        </w:tc>
        <w:tc>
          <w:tcPr>
            <w:tcW w:w="184" w:type="pct"/>
            <w:tcBorders>
              <w:tl2br w:val="nil"/>
              <w:tr2bl w:val="nil"/>
            </w:tcBorders>
            <w:shd w:val="clear" w:color="auto" w:fill="FFFFFF"/>
            <w:vAlign w:val="center"/>
          </w:tcPr>
          <w:p w14:paraId="49954C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53.76</w:t>
            </w:r>
          </w:p>
        </w:tc>
        <w:tc>
          <w:tcPr>
            <w:tcW w:w="184" w:type="pct"/>
            <w:tcBorders>
              <w:tl2br w:val="nil"/>
              <w:tr2bl w:val="nil"/>
            </w:tcBorders>
            <w:shd w:val="clear" w:color="auto" w:fill="FFFFFF"/>
            <w:vAlign w:val="center"/>
          </w:tcPr>
          <w:p w14:paraId="67F202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66.15</w:t>
            </w:r>
          </w:p>
        </w:tc>
        <w:tc>
          <w:tcPr>
            <w:tcW w:w="222" w:type="pct"/>
            <w:tcBorders>
              <w:tl2br w:val="nil"/>
              <w:tr2bl w:val="nil"/>
            </w:tcBorders>
            <w:shd w:val="clear" w:color="auto" w:fill="FFFFFF"/>
            <w:vAlign w:val="center"/>
          </w:tcPr>
          <w:p w14:paraId="721B58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43.31</w:t>
            </w:r>
          </w:p>
        </w:tc>
        <w:tc>
          <w:tcPr>
            <w:tcW w:w="138" w:type="pct"/>
            <w:vMerge w:val="continue"/>
            <w:tcBorders>
              <w:tl2br w:val="nil"/>
              <w:tr2bl w:val="nil"/>
            </w:tcBorders>
            <w:shd w:val="clear" w:color="auto" w:fill="FFFFFF"/>
            <w:vAlign w:val="center"/>
          </w:tcPr>
          <w:p w14:paraId="51ACA5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488C11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2F84CD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5D7E83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2507F0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6772AE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29.20</w:t>
            </w:r>
          </w:p>
        </w:tc>
        <w:tc>
          <w:tcPr>
            <w:tcW w:w="184" w:type="pct"/>
            <w:tcBorders>
              <w:tl2br w:val="nil"/>
              <w:tr2bl w:val="nil"/>
            </w:tcBorders>
            <w:shd w:val="clear" w:color="auto" w:fill="FFFFFF"/>
            <w:vAlign w:val="center"/>
          </w:tcPr>
          <w:p w14:paraId="326B72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27.55</w:t>
            </w:r>
          </w:p>
        </w:tc>
        <w:tc>
          <w:tcPr>
            <w:tcW w:w="184" w:type="pct"/>
            <w:tcBorders>
              <w:tl2br w:val="nil"/>
              <w:tr2bl w:val="nil"/>
            </w:tcBorders>
            <w:shd w:val="clear" w:color="auto" w:fill="FFFFFF"/>
            <w:vAlign w:val="center"/>
          </w:tcPr>
          <w:p w14:paraId="0D2519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39.31</w:t>
            </w:r>
          </w:p>
        </w:tc>
        <w:tc>
          <w:tcPr>
            <w:tcW w:w="184" w:type="pct"/>
            <w:tcBorders>
              <w:tl2br w:val="nil"/>
              <w:tr2bl w:val="nil"/>
            </w:tcBorders>
            <w:shd w:val="clear" w:color="auto" w:fill="FFFFFF"/>
            <w:vAlign w:val="center"/>
          </w:tcPr>
          <w:p w14:paraId="315A17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17.24</w:t>
            </w:r>
          </w:p>
        </w:tc>
        <w:tc>
          <w:tcPr>
            <w:tcW w:w="204" w:type="pct"/>
            <w:tcBorders>
              <w:tl2br w:val="nil"/>
              <w:tr2bl w:val="nil"/>
            </w:tcBorders>
            <w:shd w:val="clear" w:color="auto" w:fill="FFFFFF"/>
            <w:vAlign w:val="center"/>
          </w:tcPr>
          <w:p w14:paraId="233E30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07C610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47F38AE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13</w:t>
            </w:r>
          </w:p>
        </w:tc>
        <w:tc>
          <w:tcPr>
            <w:tcW w:w="151" w:type="pct"/>
            <w:vMerge w:val="continue"/>
            <w:tcBorders>
              <w:tl2br w:val="nil"/>
              <w:tr2bl w:val="nil"/>
            </w:tcBorders>
            <w:shd w:val="clear" w:color="auto" w:fill="FFFFFF"/>
            <w:vAlign w:val="center"/>
          </w:tcPr>
          <w:p w14:paraId="6A6E87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02B4B5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1386B0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3D9EB7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80</w:t>
            </w:r>
          </w:p>
        </w:tc>
        <w:tc>
          <w:tcPr>
            <w:tcW w:w="334" w:type="pct"/>
            <w:vMerge w:val="continue"/>
            <w:tcBorders>
              <w:tl2br w:val="nil"/>
              <w:tr2bl w:val="nil"/>
            </w:tcBorders>
            <w:shd w:val="clear" w:color="auto" w:fill="FFFFFF"/>
            <w:vAlign w:val="center"/>
          </w:tcPr>
          <w:p w14:paraId="22003D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48B00D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3.21</w:t>
            </w:r>
          </w:p>
        </w:tc>
        <w:tc>
          <w:tcPr>
            <w:tcW w:w="230" w:type="pct"/>
            <w:tcBorders>
              <w:tl2br w:val="nil"/>
              <w:tr2bl w:val="nil"/>
            </w:tcBorders>
            <w:shd w:val="clear" w:color="auto" w:fill="FFFFFF"/>
            <w:vAlign w:val="center"/>
          </w:tcPr>
          <w:p w14:paraId="5D972D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-68.33</w:t>
            </w:r>
          </w:p>
        </w:tc>
        <w:tc>
          <w:tcPr>
            <w:tcW w:w="83" w:type="pct"/>
            <w:tcBorders>
              <w:tl2br w:val="nil"/>
              <w:tr2bl w:val="nil"/>
            </w:tcBorders>
            <w:shd w:val="clear" w:color="auto" w:fill="FFFFFF"/>
            <w:vAlign w:val="center"/>
          </w:tcPr>
          <w:p w14:paraId="2C2267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2E73BB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33.76</w:t>
            </w:r>
          </w:p>
        </w:tc>
        <w:tc>
          <w:tcPr>
            <w:tcW w:w="184" w:type="pct"/>
            <w:tcBorders>
              <w:tl2br w:val="nil"/>
              <w:tr2bl w:val="nil"/>
            </w:tcBorders>
            <w:shd w:val="clear" w:color="auto" w:fill="FFFFFF"/>
            <w:vAlign w:val="center"/>
          </w:tcPr>
          <w:p w14:paraId="48C77B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41.00</w:t>
            </w:r>
          </w:p>
        </w:tc>
        <w:tc>
          <w:tcPr>
            <w:tcW w:w="184" w:type="pct"/>
            <w:tcBorders>
              <w:tl2br w:val="nil"/>
              <w:tr2bl w:val="nil"/>
            </w:tcBorders>
            <w:shd w:val="clear" w:color="auto" w:fill="FFFFFF"/>
            <w:vAlign w:val="center"/>
          </w:tcPr>
          <w:p w14:paraId="60040E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9.85</w:t>
            </w:r>
          </w:p>
        </w:tc>
        <w:tc>
          <w:tcPr>
            <w:tcW w:w="253" w:type="pct"/>
            <w:tcBorders>
              <w:tl2br w:val="nil"/>
              <w:tr2bl w:val="nil"/>
            </w:tcBorders>
            <w:shd w:val="clear" w:color="auto" w:fill="FFFFFF"/>
            <w:vAlign w:val="center"/>
          </w:tcPr>
          <w:p w14:paraId="1B7E65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136.66</w:t>
            </w:r>
          </w:p>
        </w:tc>
        <w:tc>
          <w:tcPr>
            <w:tcW w:w="184" w:type="pct"/>
            <w:tcBorders>
              <w:tl2br w:val="nil"/>
              <w:tr2bl w:val="nil"/>
            </w:tcBorders>
            <w:shd w:val="clear" w:color="auto" w:fill="FFFFFF"/>
            <w:vAlign w:val="center"/>
          </w:tcPr>
          <w:p w14:paraId="629BA6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55.45</w:t>
            </w:r>
          </w:p>
        </w:tc>
        <w:tc>
          <w:tcPr>
            <w:tcW w:w="184" w:type="pct"/>
            <w:tcBorders>
              <w:tl2br w:val="nil"/>
              <w:tr2bl w:val="nil"/>
            </w:tcBorders>
            <w:shd w:val="clear" w:color="auto" w:fill="FFFFFF"/>
            <w:vAlign w:val="center"/>
          </w:tcPr>
          <w:p w14:paraId="3C19DB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53.76</w:t>
            </w:r>
          </w:p>
        </w:tc>
        <w:tc>
          <w:tcPr>
            <w:tcW w:w="184" w:type="pct"/>
            <w:tcBorders>
              <w:tl2br w:val="nil"/>
              <w:tr2bl w:val="nil"/>
            </w:tcBorders>
            <w:shd w:val="clear" w:color="auto" w:fill="FFFFFF"/>
            <w:vAlign w:val="center"/>
          </w:tcPr>
          <w:p w14:paraId="6AC21E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66.15</w:t>
            </w:r>
          </w:p>
        </w:tc>
        <w:tc>
          <w:tcPr>
            <w:tcW w:w="222" w:type="pct"/>
            <w:tcBorders>
              <w:tl2br w:val="nil"/>
              <w:tr2bl w:val="nil"/>
            </w:tcBorders>
            <w:shd w:val="clear" w:color="auto" w:fill="FFFFFF"/>
            <w:vAlign w:val="center"/>
          </w:tcPr>
          <w:p w14:paraId="637D90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43.31</w:t>
            </w:r>
          </w:p>
        </w:tc>
        <w:tc>
          <w:tcPr>
            <w:tcW w:w="138" w:type="pct"/>
            <w:vMerge w:val="continue"/>
            <w:tcBorders>
              <w:tl2br w:val="nil"/>
              <w:tr2bl w:val="nil"/>
            </w:tcBorders>
            <w:shd w:val="clear" w:color="auto" w:fill="FFFFFF"/>
            <w:vAlign w:val="center"/>
          </w:tcPr>
          <w:p w14:paraId="3362BD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7BBF28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439451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04478D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3DA8CC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5C44F5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29.20</w:t>
            </w:r>
          </w:p>
        </w:tc>
        <w:tc>
          <w:tcPr>
            <w:tcW w:w="184" w:type="pct"/>
            <w:tcBorders>
              <w:tl2br w:val="nil"/>
              <w:tr2bl w:val="nil"/>
            </w:tcBorders>
            <w:shd w:val="clear" w:color="auto" w:fill="FFFFFF"/>
            <w:vAlign w:val="center"/>
          </w:tcPr>
          <w:p w14:paraId="593961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27.55</w:t>
            </w:r>
          </w:p>
        </w:tc>
        <w:tc>
          <w:tcPr>
            <w:tcW w:w="184" w:type="pct"/>
            <w:tcBorders>
              <w:tl2br w:val="nil"/>
              <w:tr2bl w:val="nil"/>
            </w:tcBorders>
            <w:shd w:val="clear" w:color="auto" w:fill="FFFFFF"/>
            <w:vAlign w:val="center"/>
          </w:tcPr>
          <w:p w14:paraId="1EBDC7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39.31</w:t>
            </w:r>
          </w:p>
        </w:tc>
        <w:tc>
          <w:tcPr>
            <w:tcW w:w="184" w:type="pct"/>
            <w:tcBorders>
              <w:tl2br w:val="nil"/>
              <w:tr2bl w:val="nil"/>
            </w:tcBorders>
            <w:shd w:val="clear" w:color="auto" w:fill="FFFFFF"/>
            <w:vAlign w:val="center"/>
          </w:tcPr>
          <w:p w14:paraId="457D3D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17.24</w:t>
            </w:r>
          </w:p>
        </w:tc>
        <w:tc>
          <w:tcPr>
            <w:tcW w:w="204" w:type="pct"/>
            <w:tcBorders>
              <w:tl2br w:val="nil"/>
              <w:tr2bl w:val="nil"/>
            </w:tcBorders>
            <w:shd w:val="clear" w:color="auto" w:fill="FFFFFF"/>
            <w:vAlign w:val="center"/>
          </w:tcPr>
          <w:p w14:paraId="59A1D3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534DBF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0A9B7EE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15</w:t>
            </w:r>
          </w:p>
        </w:tc>
        <w:tc>
          <w:tcPr>
            <w:tcW w:w="151" w:type="pct"/>
            <w:vMerge w:val="continue"/>
            <w:tcBorders>
              <w:tl2br w:val="nil"/>
              <w:tr2bl w:val="nil"/>
            </w:tcBorders>
            <w:shd w:val="clear" w:color="auto" w:fill="FFFFFF"/>
            <w:vAlign w:val="center"/>
          </w:tcPr>
          <w:p w14:paraId="73984F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restart"/>
            <w:tcBorders>
              <w:tl2br w:val="nil"/>
              <w:tr2bl w:val="nil"/>
            </w:tcBorders>
            <w:shd w:val="clear" w:color="auto" w:fill="FFFFFF"/>
            <w:vAlign w:val="center"/>
          </w:tcPr>
          <w:p w14:paraId="44BACA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cs="Times New Roman"/>
                <w:color w:val="auto"/>
                <w:spacing w:val="0"/>
                <w:w w:val="100"/>
                <w:position w:val="0"/>
                <w:sz w:val="18"/>
                <w:szCs w:val="18"/>
                <w:highlight w:val="none"/>
                <w:lang w:val="en-US" w:eastAsia="zh-CN"/>
              </w:rPr>
              <w:t>PE芯板修切系统</w:t>
            </w:r>
          </w:p>
        </w:tc>
        <w:tc>
          <w:tcPr>
            <w:tcW w:w="104" w:type="pct"/>
            <w:tcBorders>
              <w:tl2br w:val="nil"/>
              <w:tr2bl w:val="nil"/>
            </w:tcBorders>
            <w:shd w:val="clear" w:color="auto" w:fill="FFFFFF"/>
            <w:vAlign w:val="center"/>
          </w:tcPr>
          <w:p w14:paraId="110063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06B6C8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80</w:t>
            </w:r>
          </w:p>
        </w:tc>
        <w:tc>
          <w:tcPr>
            <w:tcW w:w="334" w:type="pct"/>
            <w:vMerge w:val="continue"/>
            <w:tcBorders>
              <w:tl2br w:val="nil"/>
              <w:tr2bl w:val="nil"/>
            </w:tcBorders>
            <w:shd w:val="clear" w:color="auto" w:fill="FFFFFF"/>
            <w:vAlign w:val="center"/>
          </w:tcPr>
          <w:p w14:paraId="720984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3CFE44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-0.64</w:t>
            </w:r>
          </w:p>
        </w:tc>
        <w:tc>
          <w:tcPr>
            <w:tcW w:w="230" w:type="pct"/>
            <w:tcBorders>
              <w:tl2br w:val="nil"/>
              <w:tr2bl w:val="nil"/>
            </w:tcBorders>
            <w:shd w:val="clear" w:color="auto" w:fill="FFFFFF"/>
            <w:vAlign w:val="center"/>
          </w:tcPr>
          <w:p w14:paraId="0D0CB9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-58.48</w:t>
            </w:r>
          </w:p>
        </w:tc>
        <w:tc>
          <w:tcPr>
            <w:tcW w:w="83" w:type="pct"/>
            <w:tcBorders>
              <w:tl2br w:val="nil"/>
              <w:tr2bl w:val="nil"/>
            </w:tcBorders>
            <w:shd w:val="clear" w:color="auto" w:fill="FFFFFF"/>
            <w:vAlign w:val="center"/>
          </w:tcPr>
          <w:p w14:paraId="4550EB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67659B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35.19</w:t>
            </w:r>
          </w:p>
        </w:tc>
        <w:tc>
          <w:tcPr>
            <w:tcW w:w="184" w:type="pct"/>
            <w:tcBorders>
              <w:tl2br w:val="nil"/>
              <w:tr2bl w:val="nil"/>
            </w:tcBorders>
            <w:shd w:val="clear" w:color="auto" w:fill="FFFFFF"/>
            <w:vAlign w:val="center"/>
          </w:tcPr>
          <w:p w14:paraId="1EB61D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37.45</w:t>
            </w:r>
          </w:p>
        </w:tc>
        <w:tc>
          <w:tcPr>
            <w:tcW w:w="184" w:type="pct"/>
            <w:tcBorders>
              <w:tl2br w:val="nil"/>
              <w:tr2bl w:val="nil"/>
            </w:tcBorders>
            <w:shd w:val="clear" w:color="auto" w:fill="FFFFFF"/>
            <w:vAlign w:val="center"/>
          </w:tcPr>
          <w:p w14:paraId="6A07D0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8.12</w:t>
            </w:r>
          </w:p>
        </w:tc>
        <w:tc>
          <w:tcPr>
            <w:tcW w:w="253" w:type="pct"/>
            <w:tcBorders>
              <w:tl2br w:val="nil"/>
              <w:tr2bl w:val="nil"/>
            </w:tcBorders>
            <w:shd w:val="clear" w:color="auto" w:fill="FFFFFF"/>
            <w:vAlign w:val="center"/>
          </w:tcPr>
          <w:p w14:paraId="5F0044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142.46</w:t>
            </w:r>
          </w:p>
        </w:tc>
        <w:tc>
          <w:tcPr>
            <w:tcW w:w="184" w:type="pct"/>
            <w:tcBorders>
              <w:tl2br w:val="nil"/>
              <w:tr2bl w:val="nil"/>
            </w:tcBorders>
            <w:shd w:val="clear" w:color="auto" w:fill="FFFFFF"/>
            <w:vAlign w:val="center"/>
          </w:tcPr>
          <w:p w14:paraId="5133EC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55.09</w:t>
            </w:r>
          </w:p>
        </w:tc>
        <w:tc>
          <w:tcPr>
            <w:tcW w:w="184" w:type="pct"/>
            <w:tcBorders>
              <w:tl2br w:val="nil"/>
              <w:tr2bl w:val="nil"/>
            </w:tcBorders>
            <w:shd w:val="clear" w:color="auto" w:fill="FFFFFF"/>
            <w:vAlign w:val="center"/>
          </w:tcPr>
          <w:p w14:paraId="185820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54.55</w:t>
            </w:r>
          </w:p>
        </w:tc>
        <w:tc>
          <w:tcPr>
            <w:tcW w:w="184" w:type="pct"/>
            <w:tcBorders>
              <w:tl2br w:val="nil"/>
              <w:tr2bl w:val="nil"/>
            </w:tcBorders>
            <w:shd w:val="clear" w:color="auto" w:fill="FFFFFF"/>
            <w:vAlign w:val="center"/>
          </w:tcPr>
          <w:p w14:paraId="21A152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67.83</w:t>
            </w:r>
          </w:p>
        </w:tc>
        <w:tc>
          <w:tcPr>
            <w:tcW w:w="222" w:type="pct"/>
            <w:tcBorders>
              <w:tl2br w:val="nil"/>
              <w:tr2bl w:val="nil"/>
            </w:tcBorders>
            <w:shd w:val="clear" w:color="auto" w:fill="FFFFFF"/>
            <w:vAlign w:val="center"/>
          </w:tcPr>
          <w:p w14:paraId="41E935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42.95</w:t>
            </w:r>
          </w:p>
        </w:tc>
        <w:tc>
          <w:tcPr>
            <w:tcW w:w="138" w:type="pct"/>
            <w:vMerge w:val="continue"/>
            <w:tcBorders>
              <w:tl2br w:val="nil"/>
              <w:tr2bl w:val="nil"/>
            </w:tcBorders>
            <w:shd w:val="clear" w:color="auto" w:fill="FFFFFF"/>
            <w:vAlign w:val="center"/>
          </w:tcPr>
          <w:p w14:paraId="10E96C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42ECD9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46E97E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44FC1C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6AADF2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02254B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28.85</w:t>
            </w:r>
          </w:p>
        </w:tc>
        <w:tc>
          <w:tcPr>
            <w:tcW w:w="184" w:type="pct"/>
            <w:tcBorders>
              <w:tl2br w:val="nil"/>
              <w:tr2bl w:val="nil"/>
            </w:tcBorders>
            <w:shd w:val="clear" w:color="auto" w:fill="FFFFFF"/>
            <w:vAlign w:val="center"/>
          </w:tcPr>
          <w:p w14:paraId="4A3AC4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28.32</w:t>
            </w:r>
          </w:p>
        </w:tc>
        <w:tc>
          <w:tcPr>
            <w:tcW w:w="184" w:type="pct"/>
            <w:tcBorders>
              <w:tl2br w:val="nil"/>
              <w:tr2bl w:val="nil"/>
            </w:tcBorders>
            <w:shd w:val="clear" w:color="auto" w:fill="FFFFFF"/>
            <w:vAlign w:val="center"/>
          </w:tcPr>
          <w:p w14:paraId="27D69D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40.82</w:t>
            </w:r>
          </w:p>
        </w:tc>
        <w:tc>
          <w:tcPr>
            <w:tcW w:w="184" w:type="pct"/>
            <w:tcBorders>
              <w:tl2br w:val="nil"/>
              <w:tr2bl w:val="nil"/>
            </w:tcBorders>
            <w:shd w:val="clear" w:color="auto" w:fill="FFFFFF"/>
            <w:vAlign w:val="center"/>
          </w:tcPr>
          <w:p w14:paraId="55AE75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16.89</w:t>
            </w:r>
          </w:p>
        </w:tc>
        <w:tc>
          <w:tcPr>
            <w:tcW w:w="204" w:type="pct"/>
            <w:tcBorders>
              <w:tl2br w:val="nil"/>
              <w:tr2bl w:val="nil"/>
            </w:tcBorders>
            <w:shd w:val="clear" w:color="auto" w:fill="FFFFFF"/>
            <w:vAlign w:val="center"/>
          </w:tcPr>
          <w:p w14:paraId="4E805E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default" w:ascii="Times New Roman" w:hAnsi="Times New Roman" w:eastAsia="宋体" w:cs="Times New Roman"/>
                <w:color w:val="auto"/>
                <w:spacing w:val="0"/>
                <w:w w:val="100"/>
                <w:position w:val="0"/>
                <w:sz w:val="18"/>
                <w:szCs w:val="18"/>
                <w:lang w:val="en-US" w:eastAsia="zh-CN"/>
              </w:rPr>
              <w:t>1</w:t>
            </w:r>
          </w:p>
        </w:tc>
      </w:tr>
      <w:tr w14:paraId="42E741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60B1241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16</w:t>
            </w:r>
          </w:p>
        </w:tc>
        <w:tc>
          <w:tcPr>
            <w:tcW w:w="151" w:type="pct"/>
            <w:vMerge w:val="continue"/>
            <w:tcBorders>
              <w:tl2br w:val="nil"/>
              <w:tr2bl w:val="nil"/>
            </w:tcBorders>
            <w:shd w:val="clear" w:color="auto" w:fill="FFFFFF"/>
            <w:vAlign w:val="center"/>
          </w:tcPr>
          <w:p w14:paraId="52D7D0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641EFA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37FB2B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1F7B91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80</w:t>
            </w:r>
          </w:p>
        </w:tc>
        <w:tc>
          <w:tcPr>
            <w:tcW w:w="334" w:type="pct"/>
            <w:vMerge w:val="continue"/>
            <w:tcBorders>
              <w:tl2br w:val="nil"/>
              <w:tr2bl w:val="nil"/>
            </w:tcBorders>
            <w:shd w:val="clear" w:color="auto" w:fill="FFFFFF"/>
            <w:vAlign w:val="center"/>
          </w:tcPr>
          <w:p w14:paraId="1E116D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57C02D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-0.64</w:t>
            </w:r>
          </w:p>
        </w:tc>
        <w:tc>
          <w:tcPr>
            <w:tcW w:w="230" w:type="pct"/>
            <w:tcBorders>
              <w:tl2br w:val="nil"/>
              <w:tr2bl w:val="nil"/>
            </w:tcBorders>
            <w:shd w:val="clear" w:color="auto" w:fill="FFFFFF"/>
            <w:vAlign w:val="center"/>
          </w:tcPr>
          <w:p w14:paraId="78577B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-58.48</w:t>
            </w:r>
          </w:p>
        </w:tc>
        <w:tc>
          <w:tcPr>
            <w:tcW w:w="83" w:type="pct"/>
            <w:tcBorders>
              <w:tl2br w:val="nil"/>
              <w:tr2bl w:val="nil"/>
            </w:tcBorders>
            <w:shd w:val="clear" w:color="auto" w:fill="FFFFFF"/>
            <w:vAlign w:val="center"/>
          </w:tcPr>
          <w:p w14:paraId="64BF1F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4EBA90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35.19</w:t>
            </w:r>
          </w:p>
        </w:tc>
        <w:tc>
          <w:tcPr>
            <w:tcW w:w="184" w:type="pct"/>
            <w:tcBorders>
              <w:tl2br w:val="nil"/>
              <w:tr2bl w:val="nil"/>
            </w:tcBorders>
            <w:shd w:val="clear" w:color="auto" w:fill="FFFFFF"/>
            <w:vAlign w:val="center"/>
          </w:tcPr>
          <w:p w14:paraId="47E9A5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37.45</w:t>
            </w:r>
          </w:p>
        </w:tc>
        <w:tc>
          <w:tcPr>
            <w:tcW w:w="184" w:type="pct"/>
            <w:tcBorders>
              <w:tl2br w:val="nil"/>
              <w:tr2bl w:val="nil"/>
            </w:tcBorders>
            <w:shd w:val="clear" w:color="auto" w:fill="FFFFFF"/>
            <w:vAlign w:val="center"/>
          </w:tcPr>
          <w:p w14:paraId="749614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8.12</w:t>
            </w:r>
          </w:p>
        </w:tc>
        <w:tc>
          <w:tcPr>
            <w:tcW w:w="253" w:type="pct"/>
            <w:tcBorders>
              <w:tl2br w:val="nil"/>
              <w:tr2bl w:val="nil"/>
            </w:tcBorders>
            <w:shd w:val="clear" w:color="auto" w:fill="FFFFFF"/>
            <w:vAlign w:val="center"/>
          </w:tcPr>
          <w:p w14:paraId="6CEB8E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142.46</w:t>
            </w:r>
          </w:p>
        </w:tc>
        <w:tc>
          <w:tcPr>
            <w:tcW w:w="184" w:type="pct"/>
            <w:tcBorders>
              <w:tl2br w:val="nil"/>
              <w:tr2bl w:val="nil"/>
            </w:tcBorders>
            <w:shd w:val="clear" w:color="auto" w:fill="FFFFFF"/>
            <w:vAlign w:val="center"/>
          </w:tcPr>
          <w:p w14:paraId="04276D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55.09</w:t>
            </w:r>
          </w:p>
        </w:tc>
        <w:tc>
          <w:tcPr>
            <w:tcW w:w="184" w:type="pct"/>
            <w:tcBorders>
              <w:tl2br w:val="nil"/>
              <w:tr2bl w:val="nil"/>
            </w:tcBorders>
            <w:shd w:val="clear" w:color="auto" w:fill="FFFFFF"/>
            <w:vAlign w:val="center"/>
          </w:tcPr>
          <w:p w14:paraId="193932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54.55</w:t>
            </w:r>
          </w:p>
        </w:tc>
        <w:tc>
          <w:tcPr>
            <w:tcW w:w="184" w:type="pct"/>
            <w:tcBorders>
              <w:tl2br w:val="nil"/>
              <w:tr2bl w:val="nil"/>
            </w:tcBorders>
            <w:shd w:val="clear" w:color="auto" w:fill="FFFFFF"/>
            <w:vAlign w:val="center"/>
          </w:tcPr>
          <w:p w14:paraId="2A620D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67.83</w:t>
            </w:r>
          </w:p>
        </w:tc>
        <w:tc>
          <w:tcPr>
            <w:tcW w:w="222" w:type="pct"/>
            <w:tcBorders>
              <w:tl2br w:val="nil"/>
              <w:tr2bl w:val="nil"/>
            </w:tcBorders>
            <w:shd w:val="clear" w:color="auto" w:fill="FFFFFF"/>
            <w:vAlign w:val="center"/>
          </w:tcPr>
          <w:p w14:paraId="3FBFBF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42.95</w:t>
            </w:r>
          </w:p>
        </w:tc>
        <w:tc>
          <w:tcPr>
            <w:tcW w:w="138" w:type="pct"/>
            <w:vMerge w:val="continue"/>
            <w:tcBorders>
              <w:tl2br w:val="nil"/>
              <w:tr2bl w:val="nil"/>
            </w:tcBorders>
            <w:shd w:val="clear" w:color="auto" w:fill="FFFFFF"/>
            <w:vAlign w:val="center"/>
          </w:tcPr>
          <w:p w14:paraId="0E8AA9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0606ED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3972BB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1DF8D9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4A486D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15947B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28.85</w:t>
            </w:r>
          </w:p>
        </w:tc>
        <w:tc>
          <w:tcPr>
            <w:tcW w:w="184" w:type="pct"/>
            <w:tcBorders>
              <w:tl2br w:val="nil"/>
              <w:tr2bl w:val="nil"/>
            </w:tcBorders>
            <w:shd w:val="clear" w:color="auto" w:fill="FFFFFF"/>
            <w:vAlign w:val="center"/>
          </w:tcPr>
          <w:p w14:paraId="512AF5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28.32</w:t>
            </w:r>
          </w:p>
        </w:tc>
        <w:tc>
          <w:tcPr>
            <w:tcW w:w="184" w:type="pct"/>
            <w:tcBorders>
              <w:tl2br w:val="nil"/>
              <w:tr2bl w:val="nil"/>
            </w:tcBorders>
            <w:shd w:val="clear" w:color="auto" w:fill="FFFFFF"/>
            <w:vAlign w:val="center"/>
          </w:tcPr>
          <w:p w14:paraId="0FC2A7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40.82</w:t>
            </w:r>
          </w:p>
        </w:tc>
        <w:tc>
          <w:tcPr>
            <w:tcW w:w="184" w:type="pct"/>
            <w:tcBorders>
              <w:tl2br w:val="nil"/>
              <w:tr2bl w:val="nil"/>
            </w:tcBorders>
            <w:shd w:val="clear" w:color="auto" w:fill="FFFFFF"/>
            <w:vAlign w:val="center"/>
          </w:tcPr>
          <w:p w14:paraId="620EFD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16.89</w:t>
            </w:r>
          </w:p>
        </w:tc>
        <w:tc>
          <w:tcPr>
            <w:tcW w:w="204" w:type="pct"/>
            <w:tcBorders>
              <w:tl2br w:val="nil"/>
              <w:tr2bl w:val="nil"/>
            </w:tcBorders>
            <w:shd w:val="clear" w:color="auto" w:fill="FFFFFF"/>
            <w:vAlign w:val="center"/>
          </w:tcPr>
          <w:p w14:paraId="16A60E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default" w:ascii="Times New Roman" w:hAnsi="Times New Roman" w:eastAsia="宋体" w:cs="Times New Roman"/>
                <w:color w:val="auto"/>
                <w:spacing w:val="0"/>
                <w:w w:val="100"/>
                <w:position w:val="0"/>
                <w:sz w:val="18"/>
                <w:szCs w:val="18"/>
                <w:lang w:val="en-US" w:eastAsia="zh-CN"/>
              </w:rPr>
              <w:t>1</w:t>
            </w:r>
          </w:p>
        </w:tc>
      </w:tr>
      <w:tr w14:paraId="1FA489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2BC8740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17</w:t>
            </w:r>
          </w:p>
        </w:tc>
        <w:tc>
          <w:tcPr>
            <w:tcW w:w="151" w:type="pct"/>
            <w:vMerge w:val="continue"/>
            <w:tcBorders>
              <w:tl2br w:val="nil"/>
              <w:tr2bl w:val="nil"/>
            </w:tcBorders>
            <w:shd w:val="clear" w:color="auto" w:fill="FFFFFF"/>
            <w:vAlign w:val="center"/>
          </w:tcPr>
          <w:p w14:paraId="612421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1337E9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7054FD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2CF588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80</w:t>
            </w:r>
          </w:p>
        </w:tc>
        <w:tc>
          <w:tcPr>
            <w:tcW w:w="334" w:type="pct"/>
            <w:vMerge w:val="continue"/>
            <w:tcBorders>
              <w:tl2br w:val="nil"/>
              <w:tr2bl w:val="nil"/>
            </w:tcBorders>
            <w:shd w:val="clear" w:color="auto" w:fill="FFFFFF"/>
            <w:vAlign w:val="center"/>
          </w:tcPr>
          <w:p w14:paraId="1F0162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3631EB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-0.64</w:t>
            </w:r>
          </w:p>
        </w:tc>
        <w:tc>
          <w:tcPr>
            <w:tcW w:w="230" w:type="pct"/>
            <w:tcBorders>
              <w:tl2br w:val="nil"/>
              <w:tr2bl w:val="nil"/>
            </w:tcBorders>
            <w:shd w:val="clear" w:color="auto" w:fill="FFFFFF"/>
            <w:vAlign w:val="center"/>
          </w:tcPr>
          <w:p w14:paraId="274E25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-58.48</w:t>
            </w:r>
          </w:p>
        </w:tc>
        <w:tc>
          <w:tcPr>
            <w:tcW w:w="83" w:type="pct"/>
            <w:tcBorders>
              <w:tl2br w:val="nil"/>
              <w:tr2bl w:val="nil"/>
            </w:tcBorders>
            <w:shd w:val="clear" w:color="auto" w:fill="FFFFFF"/>
            <w:vAlign w:val="center"/>
          </w:tcPr>
          <w:p w14:paraId="643059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3F9BF0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35.19</w:t>
            </w:r>
          </w:p>
        </w:tc>
        <w:tc>
          <w:tcPr>
            <w:tcW w:w="184" w:type="pct"/>
            <w:tcBorders>
              <w:tl2br w:val="nil"/>
              <w:tr2bl w:val="nil"/>
            </w:tcBorders>
            <w:shd w:val="clear" w:color="auto" w:fill="FFFFFF"/>
            <w:vAlign w:val="center"/>
          </w:tcPr>
          <w:p w14:paraId="5D1787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37.45</w:t>
            </w:r>
          </w:p>
        </w:tc>
        <w:tc>
          <w:tcPr>
            <w:tcW w:w="184" w:type="pct"/>
            <w:tcBorders>
              <w:tl2br w:val="nil"/>
              <w:tr2bl w:val="nil"/>
            </w:tcBorders>
            <w:shd w:val="clear" w:color="auto" w:fill="FFFFFF"/>
            <w:vAlign w:val="center"/>
          </w:tcPr>
          <w:p w14:paraId="1A58E8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8.12</w:t>
            </w:r>
          </w:p>
        </w:tc>
        <w:tc>
          <w:tcPr>
            <w:tcW w:w="253" w:type="pct"/>
            <w:tcBorders>
              <w:tl2br w:val="nil"/>
              <w:tr2bl w:val="nil"/>
            </w:tcBorders>
            <w:shd w:val="clear" w:color="auto" w:fill="FFFFFF"/>
            <w:vAlign w:val="center"/>
          </w:tcPr>
          <w:p w14:paraId="593957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142.46</w:t>
            </w:r>
          </w:p>
        </w:tc>
        <w:tc>
          <w:tcPr>
            <w:tcW w:w="184" w:type="pct"/>
            <w:tcBorders>
              <w:tl2br w:val="nil"/>
              <w:tr2bl w:val="nil"/>
            </w:tcBorders>
            <w:shd w:val="clear" w:color="auto" w:fill="FFFFFF"/>
            <w:vAlign w:val="center"/>
          </w:tcPr>
          <w:p w14:paraId="6F761C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55.09</w:t>
            </w:r>
          </w:p>
        </w:tc>
        <w:tc>
          <w:tcPr>
            <w:tcW w:w="184" w:type="pct"/>
            <w:tcBorders>
              <w:tl2br w:val="nil"/>
              <w:tr2bl w:val="nil"/>
            </w:tcBorders>
            <w:shd w:val="clear" w:color="auto" w:fill="FFFFFF"/>
            <w:vAlign w:val="center"/>
          </w:tcPr>
          <w:p w14:paraId="22C9C3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54.55</w:t>
            </w:r>
          </w:p>
        </w:tc>
        <w:tc>
          <w:tcPr>
            <w:tcW w:w="184" w:type="pct"/>
            <w:tcBorders>
              <w:tl2br w:val="nil"/>
              <w:tr2bl w:val="nil"/>
            </w:tcBorders>
            <w:shd w:val="clear" w:color="auto" w:fill="FFFFFF"/>
            <w:vAlign w:val="center"/>
          </w:tcPr>
          <w:p w14:paraId="72EEBE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67.83</w:t>
            </w:r>
          </w:p>
        </w:tc>
        <w:tc>
          <w:tcPr>
            <w:tcW w:w="222" w:type="pct"/>
            <w:tcBorders>
              <w:tl2br w:val="nil"/>
              <w:tr2bl w:val="nil"/>
            </w:tcBorders>
            <w:shd w:val="clear" w:color="auto" w:fill="FFFFFF"/>
            <w:vAlign w:val="center"/>
          </w:tcPr>
          <w:p w14:paraId="17280B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42.95</w:t>
            </w:r>
          </w:p>
        </w:tc>
        <w:tc>
          <w:tcPr>
            <w:tcW w:w="138" w:type="pct"/>
            <w:vMerge w:val="continue"/>
            <w:tcBorders>
              <w:tl2br w:val="nil"/>
              <w:tr2bl w:val="nil"/>
            </w:tcBorders>
            <w:shd w:val="clear" w:color="auto" w:fill="FFFFFF"/>
            <w:vAlign w:val="center"/>
          </w:tcPr>
          <w:p w14:paraId="2F4D6B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3F00A9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7EBBA2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3A4C0A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12E22C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3F8D01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28.85</w:t>
            </w:r>
          </w:p>
        </w:tc>
        <w:tc>
          <w:tcPr>
            <w:tcW w:w="184" w:type="pct"/>
            <w:tcBorders>
              <w:tl2br w:val="nil"/>
              <w:tr2bl w:val="nil"/>
            </w:tcBorders>
            <w:shd w:val="clear" w:color="auto" w:fill="FFFFFF"/>
            <w:vAlign w:val="center"/>
          </w:tcPr>
          <w:p w14:paraId="105AA4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28.32</w:t>
            </w:r>
          </w:p>
        </w:tc>
        <w:tc>
          <w:tcPr>
            <w:tcW w:w="184" w:type="pct"/>
            <w:tcBorders>
              <w:tl2br w:val="nil"/>
              <w:tr2bl w:val="nil"/>
            </w:tcBorders>
            <w:shd w:val="clear" w:color="auto" w:fill="FFFFFF"/>
            <w:vAlign w:val="center"/>
          </w:tcPr>
          <w:p w14:paraId="5EB68D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40.82</w:t>
            </w:r>
          </w:p>
        </w:tc>
        <w:tc>
          <w:tcPr>
            <w:tcW w:w="184" w:type="pct"/>
            <w:tcBorders>
              <w:tl2br w:val="nil"/>
              <w:tr2bl w:val="nil"/>
            </w:tcBorders>
            <w:shd w:val="clear" w:color="auto" w:fill="FFFFFF"/>
            <w:vAlign w:val="center"/>
          </w:tcPr>
          <w:p w14:paraId="4E9F27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16.89</w:t>
            </w:r>
          </w:p>
        </w:tc>
        <w:tc>
          <w:tcPr>
            <w:tcW w:w="204" w:type="pct"/>
            <w:tcBorders>
              <w:tl2br w:val="nil"/>
              <w:tr2bl w:val="nil"/>
            </w:tcBorders>
            <w:shd w:val="clear" w:color="auto" w:fill="FFFFFF"/>
            <w:vAlign w:val="center"/>
          </w:tcPr>
          <w:p w14:paraId="76E0D1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default" w:ascii="Times New Roman" w:hAnsi="Times New Roman" w:eastAsia="宋体" w:cs="Times New Roman"/>
                <w:color w:val="auto"/>
                <w:spacing w:val="0"/>
                <w:w w:val="100"/>
                <w:position w:val="0"/>
                <w:sz w:val="18"/>
                <w:szCs w:val="18"/>
                <w:lang w:val="en-US" w:eastAsia="zh-CN"/>
              </w:rPr>
              <w:t>1</w:t>
            </w:r>
          </w:p>
        </w:tc>
      </w:tr>
      <w:tr w14:paraId="5A143B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642F18F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19</w:t>
            </w:r>
          </w:p>
        </w:tc>
        <w:tc>
          <w:tcPr>
            <w:tcW w:w="151" w:type="pct"/>
            <w:vMerge w:val="continue"/>
            <w:tcBorders>
              <w:tl2br w:val="nil"/>
              <w:tr2bl w:val="nil"/>
            </w:tcBorders>
            <w:shd w:val="clear" w:color="auto" w:fill="FFFFFF"/>
            <w:vAlign w:val="center"/>
          </w:tcPr>
          <w:p w14:paraId="4FF00D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restart"/>
            <w:tcBorders>
              <w:tl2br w:val="nil"/>
              <w:tr2bl w:val="nil"/>
            </w:tcBorders>
            <w:shd w:val="clear" w:color="auto" w:fill="FFFFFF"/>
            <w:vAlign w:val="center"/>
          </w:tcPr>
          <w:p w14:paraId="44B8DC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rPr>
              <w:t>底铝热滚压预复合机</w:t>
            </w:r>
          </w:p>
        </w:tc>
        <w:tc>
          <w:tcPr>
            <w:tcW w:w="104" w:type="pct"/>
            <w:tcBorders>
              <w:tl2br w:val="nil"/>
              <w:tr2bl w:val="nil"/>
            </w:tcBorders>
            <w:shd w:val="clear" w:color="auto" w:fill="FFFFFF"/>
            <w:vAlign w:val="center"/>
          </w:tcPr>
          <w:p w14:paraId="0071A7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079547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85</w:t>
            </w:r>
          </w:p>
        </w:tc>
        <w:tc>
          <w:tcPr>
            <w:tcW w:w="334" w:type="pct"/>
            <w:vMerge w:val="continue"/>
            <w:tcBorders>
              <w:tl2br w:val="nil"/>
              <w:tr2bl w:val="nil"/>
            </w:tcBorders>
            <w:shd w:val="clear" w:color="auto" w:fill="FFFFFF"/>
            <w:vAlign w:val="center"/>
          </w:tcPr>
          <w:p w14:paraId="743A42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08E11F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10.07</w:t>
            </w:r>
          </w:p>
        </w:tc>
        <w:tc>
          <w:tcPr>
            <w:tcW w:w="230" w:type="pct"/>
            <w:tcBorders>
              <w:tl2br w:val="nil"/>
              <w:tr2bl w:val="nil"/>
            </w:tcBorders>
            <w:shd w:val="clear" w:color="auto" w:fill="FFFFFF"/>
            <w:vAlign w:val="center"/>
          </w:tcPr>
          <w:p w14:paraId="539833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-70.9</w:t>
            </w:r>
          </w:p>
        </w:tc>
        <w:tc>
          <w:tcPr>
            <w:tcW w:w="83" w:type="pct"/>
            <w:tcBorders>
              <w:tl2br w:val="nil"/>
              <w:tr2bl w:val="nil"/>
            </w:tcBorders>
            <w:shd w:val="clear" w:color="auto" w:fill="FFFFFF"/>
            <w:vAlign w:val="center"/>
          </w:tcPr>
          <w:p w14:paraId="79C0ED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470992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27.53</w:t>
            </w:r>
          </w:p>
        </w:tc>
        <w:tc>
          <w:tcPr>
            <w:tcW w:w="184" w:type="pct"/>
            <w:tcBorders>
              <w:tl2br w:val="nil"/>
              <w:tr2bl w:val="nil"/>
            </w:tcBorders>
            <w:shd w:val="clear" w:color="auto" w:fill="FFFFFF"/>
            <w:vAlign w:val="center"/>
          </w:tcPr>
          <w:p w14:paraId="218D96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34.65</w:t>
            </w:r>
          </w:p>
        </w:tc>
        <w:tc>
          <w:tcPr>
            <w:tcW w:w="184" w:type="pct"/>
            <w:tcBorders>
              <w:tl2br w:val="nil"/>
              <w:tr2bl w:val="nil"/>
            </w:tcBorders>
            <w:shd w:val="clear" w:color="auto" w:fill="FFFFFF"/>
            <w:vAlign w:val="center"/>
          </w:tcPr>
          <w:p w14:paraId="27E2CC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16.16</w:t>
            </w:r>
          </w:p>
        </w:tc>
        <w:tc>
          <w:tcPr>
            <w:tcW w:w="253" w:type="pct"/>
            <w:tcBorders>
              <w:tl2br w:val="nil"/>
              <w:tr2bl w:val="nil"/>
            </w:tcBorders>
            <w:shd w:val="clear" w:color="auto" w:fill="FFFFFF"/>
            <w:vAlign w:val="center"/>
          </w:tcPr>
          <w:p w14:paraId="4C39D9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111.43</w:t>
            </w:r>
          </w:p>
        </w:tc>
        <w:tc>
          <w:tcPr>
            <w:tcW w:w="184" w:type="pct"/>
            <w:tcBorders>
              <w:tl2br w:val="nil"/>
              <w:tr2bl w:val="nil"/>
            </w:tcBorders>
            <w:shd w:val="clear" w:color="auto" w:fill="FFFFFF"/>
            <w:vAlign w:val="center"/>
          </w:tcPr>
          <w:p w14:paraId="142EF9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63.99</w:t>
            </w:r>
          </w:p>
        </w:tc>
        <w:tc>
          <w:tcPr>
            <w:tcW w:w="184" w:type="pct"/>
            <w:tcBorders>
              <w:tl2br w:val="nil"/>
              <w:tr2bl w:val="nil"/>
            </w:tcBorders>
            <w:shd w:val="clear" w:color="auto" w:fill="FFFFFF"/>
            <w:vAlign w:val="center"/>
          </w:tcPr>
          <w:p w14:paraId="2F1894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61.99</w:t>
            </w:r>
          </w:p>
        </w:tc>
        <w:tc>
          <w:tcPr>
            <w:tcW w:w="184" w:type="pct"/>
            <w:tcBorders>
              <w:tl2br w:val="nil"/>
              <w:tr2bl w:val="nil"/>
            </w:tcBorders>
            <w:shd w:val="clear" w:color="auto" w:fill="FFFFFF"/>
            <w:vAlign w:val="center"/>
          </w:tcPr>
          <w:p w14:paraId="18569D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68.61</w:t>
            </w:r>
          </w:p>
        </w:tc>
        <w:tc>
          <w:tcPr>
            <w:tcW w:w="222" w:type="pct"/>
            <w:tcBorders>
              <w:tl2br w:val="nil"/>
              <w:tr2bl w:val="nil"/>
            </w:tcBorders>
            <w:shd w:val="clear" w:color="auto" w:fill="FFFFFF"/>
            <w:vAlign w:val="center"/>
          </w:tcPr>
          <w:p w14:paraId="5184C0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51.84</w:t>
            </w:r>
          </w:p>
        </w:tc>
        <w:tc>
          <w:tcPr>
            <w:tcW w:w="138" w:type="pct"/>
            <w:vMerge w:val="continue"/>
            <w:tcBorders>
              <w:tl2br w:val="nil"/>
              <w:tr2bl w:val="nil"/>
            </w:tcBorders>
            <w:shd w:val="clear" w:color="auto" w:fill="FFFFFF"/>
            <w:vAlign w:val="center"/>
          </w:tcPr>
          <w:p w14:paraId="5EDB7E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4CEBB8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123DDC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507F25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3E266A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12B91F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37.68</w:t>
            </w:r>
          </w:p>
        </w:tc>
        <w:tc>
          <w:tcPr>
            <w:tcW w:w="184" w:type="pct"/>
            <w:tcBorders>
              <w:tl2br w:val="nil"/>
              <w:tr2bl w:val="nil"/>
            </w:tcBorders>
            <w:shd w:val="clear" w:color="auto" w:fill="FFFFFF"/>
            <w:vAlign w:val="center"/>
          </w:tcPr>
          <w:p w14:paraId="1B2F72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35.74</w:t>
            </w:r>
          </w:p>
        </w:tc>
        <w:tc>
          <w:tcPr>
            <w:tcW w:w="184" w:type="pct"/>
            <w:tcBorders>
              <w:tl2br w:val="nil"/>
              <w:tr2bl w:val="nil"/>
            </w:tcBorders>
            <w:shd w:val="clear" w:color="auto" w:fill="FFFFFF"/>
            <w:vAlign w:val="center"/>
          </w:tcPr>
          <w:p w14:paraId="5B0FD8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42.09</w:t>
            </w:r>
          </w:p>
        </w:tc>
        <w:tc>
          <w:tcPr>
            <w:tcW w:w="184" w:type="pct"/>
            <w:tcBorders>
              <w:tl2br w:val="nil"/>
              <w:tr2bl w:val="nil"/>
            </w:tcBorders>
            <w:shd w:val="clear" w:color="auto" w:fill="FFFFFF"/>
            <w:vAlign w:val="center"/>
          </w:tcPr>
          <w:p w14:paraId="78DBBB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25.76</w:t>
            </w:r>
          </w:p>
        </w:tc>
        <w:tc>
          <w:tcPr>
            <w:tcW w:w="204" w:type="pct"/>
            <w:tcBorders>
              <w:tl2br w:val="nil"/>
              <w:tr2bl w:val="nil"/>
            </w:tcBorders>
            <w:shd w:val="clear" w:color="auto" w:fill="FFFFFF"/>
            <w:vAlign w:val="center"/>
          </w:tcPr>
          <w:p w14:paraId="16C8F4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2F067E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2D6B011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51" w:type="pct"/>
            <w:vMerge w:val="continue"/>
            <w:tcBorders>
              <w:tl2br w:val="nil"/>
              <w:tr2bl w:val="nil"/>
            </w:tcBorders>
            <w:shd w:val="clear" w:color="auto" w:fill="FFFFFF"/>
            <w:vAlign w:val="center"/>
          </w:tcPr>
          <w:p w14:paraId="31F396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3939DD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7BF38D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6D84D6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85</w:t>
            </w:r>
          </w:p>
        </w:tc>
        <w:tc>
          <w:tcPr>
            <w:tcW w:w="334" w:type="pct"/>
            <w:vMerge w:val="continue"/>
            <w:tcBorders>
              <w:tl2br w:val="nil"/>
              <w:tr2bl w:val="nil"/>
            </w:tcBorders>
            <w:shd w:val="clear" w:color="auto" w:fill="FFFFFF"/>
            <w:vAlign w:val="center"/>
          </w:tcPr>
          <w:p w14:paraId="633663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538A77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10.07</w:t>
            </w:r>
          </w:p>
        </w:tc>
        <w:tc>
          <w:tcPr>
            <w:tcW w:w="230" w:type="pct"/>
            <w:tcBorders>
              <w:tl2br w:val="nil"/>
              <w:tr2bl w:val="nil"/>
            </w:tcBorders>
            <w:shd w:val="clear" w:color="auto" w:fill="FFFFFF"/>
            <w:vAlign w:val="center"/>
          </w:tcPr>
          <w:p w14:paraId="68FB7C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-70.9</w:t>
            </w:r>
          </w:p>
        </w:tc>
        <w:tc>
          <w:tcPr>
            <w:tcW w:w="83" w:type="pct"/>
            <w:tcBorders>
              <w:tl2br w:val="nil"/>
              <w:tr2bl w:val="nil"/>
            </w:tcBorders>
            <w:shd w:val="clear" w:color="auto" w:fill="FFFFFF"/>
            <w:vAlign w:val="center"/>
          </w:tcPr>
          <w:p w14:paraId="00469D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76ACF2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27.53</w:t>
            </w:r>
          </w:p>
        </w:tc>
        <w:tc>
          <w:tcPr>
            <w:tcW w:w="184" w:type="pct"/>
            <w:tcBorders>
              <w:tl2br w:val="nil"/>
              <w:tr2bl w:val="nil"/>
            </w:tcBorders>
            <w:shd w:val="clear" w:color="auto" w:fill="FFFFFF"/>
            <w:vAlign w:val="center"/>
          </w:tcPr>
          <w:p w14:paraId="2EA2B5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34.65</w:t>
            </w:r>
          </w:p>
        </w:tc>
        <w:tc>
          <w:tcPr>
            <w:tcW w:w="184" w:type="pct"/>
            <w:tcBorders>
              <w:tl2br w:val="nil"/>
              <w:tr2bl w:val="nil"/>
            </w:tcBorders>
            <w:shd w:val="clear" w:color="auto" w:fill="FFFFFF"/>
            <w:vAlign w:val="center"/>
          </w:tcPr>
          <w:p w14:paraId="2B02A0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16.16</w:t>
            </w:r>
          </w:p>
        </w:tc>
        <w:tc>
          <w:tcPr>
            <w:tcW w:w="253" w:type="pct"/>
            <w:tcBorders>
              <w:tl2br w:val="nil"/>
              <w:tr2bl w:val="nil"/>
            </w:tcBorders>
            <w:shd w:val="clear" w:color="auto" w:fill="FFFFFF"/>
            <w:vAlign w:val="center"/>
          </w:tcPr>
          <w:p w14:paraId="0869A0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111.43</w:t>
            </w:r>
          </w:p>
        </w:tc>
        <w:tc>
          <w:tcPr>
            <w:tcW w:w="184" w:type="pct"/>
            <w:tcBorders>
              <w:tl2br w:val="nil"/>
              <w:tr2bl w:val="nil"/>
            </w:tcBorders>
            <w:shd w:val="clear" w:color="auto" w:fill="FFFFFF"/>
            <w:vAlign w:val="center"/>
          </w:tcPr>
          <w:p w14:paraId="79BE47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63.99</w:t>
            </w:r>
          </w:p>
        </w:tc>
        <w:tc>
          <w:tcPr>
            <w:tcW w:w="184" w:type="pct"/>
            <w:tcBorders>
              <w:tl2br w:val="nil"/>
              <w:tr2bl w:val="nil"/>
            </w:tcBorders>
            <w:shd w:val="clear" w:color="auto" w:fill="FFFFFF"/>
            <w:vAlign w:val="center"/>
          </w:tcPr>
          <w:p w14:paraId="26837B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61.99</w:t>
            </w:r>
          </w:p>
        </w:tc>
        <w:tc>
          <w:tcPr>
            <w:tcW w:w="184" w:type="pct"/>
            <w:tcBorders>
              <w:tl2br w:val="nil"/>
              <w:tr2bl w:val="nil"/>
            </w:tcBorders>
            <w:shd w:val="clear" w:color="auto" w:fill="FFFFFF"/>
            <w:vAlign w:val="center"/>
          </w:tcPr>
          <w:p w14:paraId="0844D1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68.61</w:t>
            </w:r>
          </w:p>
        </w:tc>
        <w:tc>
          <w:tcPr>
            <w:tcW w:w="222" w:type="pct"/>
            <w:tcBorders>
              <w:tl2br w:val="nil"/>
              <w:tr2bl w:val="nil"/>
            </w:tcBorders>
            <w:shd w:val="clear" w:color="auto" w:fill="FFFFFF"/>
            <w:vAlign w:val="center"/>
          </w:tcPr>
          <w:p w14:paraId="630DF2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51.84</w:t>
            </w:r>
          </w:p>
        </w:tc>
        <w:tc>
          <w:tcPr>
            <w:tcW w:w="138" w:type="pct"/>
            <w:vMerge w:val="continue"/>
            <w:tcBorders>
              <w:tl2br w:val="nil"/>
              <w:tr2bl w:val="nil"/>
            </w:tcBorders>
            <w:shd w:val="clear" w:color="auto" w:fill="FFFFFF"/>
            <w:vAlign w:val="center"/>
          </w:tcPr>
          <w:p w14:paraId="57048E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00E5ED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3F1743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580A94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6C81D7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432A2A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37.68</w:t>
            </w:r>
          </w:p>
        </w:tc>
        <w:tc>
          <w:tcPr>
            <w:tcW w:w="184" w:type="pct"/>
            <w:tcBorders>
              <w:tl2br w:val="nil"/>
              <w:tr2bl w:val="nil"/>
            </w:tcBorders>
            <w:shd w:val="clear" w:color="auto" w:fill="FFFFFF"/>
            <w:vAlign w:val="center"/>
          </w:tcPr>
          <w:p w14:paraId="1BB914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35.74</w:t>
            </w:r>
          </w:p>
        </w:tc>
        <w:tc>
          <w:tcPr>
            <w:tcW w:w="184" w:type="pct"/>
            <w:tcBorders>
              <w:tl2br w:val="nil"/>
              <w:tr2bl w:val="nil"/>
            </w:tcBorders>
            <w:shd w:val="clear" w:color="auto" w:fill="FFFFFF"/>
            <w:vAlign w:val="center"/>
          </w:tcPr>
          <w:p w14:paraId="1C07DD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42.09</w:t>
            </w:r>
          </w:p>
        </w:tc>
        <w:tc>
          <w:tcPr>
            <w:tcW w:w="184" w:type="pct"/>
            <w:tcBorders>
              <w:tl2br w:val="nil"/>
              <w:tr2bl w:val="nil"/>
            </w:tcBorders>
            <w:shd w:val="clear" w:color="auto" w:fill="FFFFFF"/>
            <w:vAlign w:val="center"/>
          </w:tcPr>
          <w:p w14:paraId="156A84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25.76</w:t>
            </w:r>
          </w:p>
        </w:tc>
        <w:tc>
          <w:tcPr>
            <w:tcW w:w="204" w:type="pct"/>
            <w:tcBorders>
              <w:tl2br w:val="nil"/>
              <w:tr2bl w:val="nil"/>
            </w:tcBorders>
            <w:shd w:val="clear" w:color="auto" w:fill="FFFFFF"/>
            <w:vAlign w:val="center"/>
          </w:tcPr>
          <w:p w14:paraId="719C54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465CDF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438ADCC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21</w:t>
            </w:r>
          </w:p>
        </w:tc>
        <w:tc>
          <w:tcPr>
            <w:tcW w:w="151" w:type="pct"/>
            <w:vMerge w:val="continue"/>
            <w:tcBorders>
              <w:tl2br w:val="nil"/>
              <w:tr2bl w:val="nil"/>
            </w:tcBorders>
            <w:shd w:val="clear" w:color="auto" w:fill="FFFFFF"/>
            <w:vAlign w:val="center"/>
          </w:tcPr>
          <w:p w14:paraId="49B201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4E3644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78D6B4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572D2F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85</w:t>
            </w:r>
          </w:p>
        </w:tc>
        <w:tc>
          <w:tcPr>
            <w:tcW w:w="334" w:type="pct"/>
            <w:vMerge w:val="continue"/>
            <w:tcBorders>
              <w:tl2br w:val="nil"/>
              <w:tr2bl w:val="nil"/>
            </w:tcBorders>
            <w:shd w:val="clear" w:color="auto" w:fill="FFFFFF"/>
            <w:vAlign w:val="center"/>
          </w:tcPr>
          <w:p w14:paraId="2C1768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362B66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10.07</w:t>
            </w:r>
          </w:p>
        </w:tc>
        <w:tc>
          <w:tcPr>
            <w:tcW w:w="230" w:type="pct"/>
            <w:tcBorders>
              <w:tl2br w:val="nil"/>
              <w:tr2bl w:val="nil"/>
            </w:tcBorders>
            <w:shd w:val="clear" w:color="auto" w:fill="FFFFFF"/>
            <w:vAlign w:val="center"/>
          </w:tcPr>
          <w:p w14:paraId="2A3533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-70.9</w:t>
            </w:r>
          </w:p>
        </w:tc>
        <w:tc>
          <w:tcPr>
            <w:tcW w:w="83" w:type="pct"/>
            <w:tcBorders>
              <w:tl2br w:val="nil"/>
              <w:tr2bl w:val="nil"/>
            </w:tcBorders>
            <w:shd w:val="clear" w:color="auto" w:fill="FFFFFF"/>
            <w:vAlign w:val="center"/>
          </w:tcPr>
          <w:p w14:paraId="27E53D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043AF4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27.53</w:t>
            </w:r>
          </w:p>
        </w:tc>
        <w:tc>
          <w:tcPr>
            <w:tcW w:w="184" w:type="pct"/>
            <w:tcBorders>
              <w:tl2br w:val="nil"/>
              <w:tr2bl w:val="nil"/>
            </w:tcBorders>
            <w:shd w:val="clear" w:color="auto" w:fill="FFFFFF"/>
            <w:vAlign w:val="center"/>
          </w:tcPr>
          <w:p w14:paraId="0A5668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34.65</w:t>
            </w:r>
          </w:p>
        </w:tc>
        <w:tc>
          <w:tcPr>
            <w:tcW w:w="184" w:type="pct"/>
            <w:tcBorders>
              <w:tl2br w:val="nil"/>
              <w:tr2bl w:val="nil"/>
            </w:tcBorders>
            <w:shd w:val="clear" w:color="auto" w:fill="FFFFFF"/>
            <w:vAlign w:val="center"/>
          </w:tcPr>
          <w:p w14:paraId="4DB20A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16.16</w:t>
            </w:r>
          </w:p>
        </w:tc>
        <w:tc>
          <w:tcPr>
            <w:tcW w:w="253" w:type="pct"/>
            <w:tcBorders>
              <w:tl2br w:val="nil"/>
              <w:tr2bl w:val="nil"/>
            </w:tcBorders>
            <w:shd w:val="clear" w:color="auto" w:fill="FFFFFF"/>
            <w:vAlign w:val="center"/>
          </w:tcPr>
          <w:p w14:paraId="26488E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111.43</w:t>
            </w:r>
          </w:p>
        </w:tc>
        <w:tc>
          <w:tcPr>
            <w:tcW w:w="184" w:type="pct"/>
            <w:tcBorders>
              <w:tl2br w:val="nil"/>
              <w:tr2bl w:val="nil"/>
            </w:tcBorders>
            <w:shd w:val="clear" w:color="auto" w:fill="FFFFFF"/>
            <w:vAlign w:val="center"/>
          </w:tcPr>
          <w:p w14:paraId="7F5858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63.99</w:t>
            </w:r>
          </w:p>
        </w:tc>
        <w:tc>
          <w:tcPr>
            <w:tcW w:w="184" w:type="pct"/>
            <w:tcBorders>
              <w:tl2br w:val="nil"/>
              <w:tr2bl w:val="nil"/>
            </w:tcBorders>
            <w:shd w:val="clear" w:color="auto" w:fill="FFFFFF"/>
            <w:vAlign w:val="center"/>
          </w:tcPr>
          <w:p w14:paraId="475E31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61.99</w:t>
            </w:r>
          </w:p>
        </w:tc>
        <w:tc>
          <w:tcPr>
            <w:tcW w:w="184" w:type="pct"/>
            <w:tcBorders>
              <w:tl2br w:val="nil"/>
              <w:tr2bl w:val="nil"/>
            </w:tcBorders>
            <w:shd w:val="clear" w:color="auto" w:fill="FFFFFF"/>
            <w:vAlign w:val="center"/>
          </w:tcPr>
          <w:p w14:paraId="7966ED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68.61</w:t>
            </w:r>
          </w:p>
        </w:tc>
        <w:tc>
          <w:tcPr>
            <w:tcW w:w="222" w:type="pct"/>
            <w:tcBorders>
              <w:tl2br w:val="nil"/>
              <w:tr2bl w:val="nil"/>
            </w:tcBorders>
            <w:shd w:val="clear" w:color="auto" w:fill="FFFFFF"/>
            <w:vAlign w:val="center"/>
          </w:tcPr>
          <w:p w14:paraId="039E54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51.84</w:t>
            </w:r>
          </w:p>
        </w:tc>
        <w:tc>
          <w:tcPr>
            <w:tcW w:w="138" w:type="pct"/>
            <w:vMerge w:val="continue"/>
            <w:tcBorders>
              <w:tl2br w:val="nil"/>
              <w:tr2bl w:val="nil"/>
            </w:tcBorders>
            <w:shd w:val="clear" w:color="auto" w:fill="FFFFFF"/>
            <w:vAlign w:val="center"/>
          </w:tcPr>
          <w:p w14:paraId="38BE15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7D5185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187C0B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3C704C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42A08C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54877A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37.68</w:t>
            </w:r>
          </w:p>
        </w:tc>
        <w:tc>
          <w:tcPr>
            <w:tcW w:w="184" w:type="pct"/>
            <w:tcBorders>
              <w:tl2br w:val="nil"/>
              <w:tr2bl w:val="nil"/>
            </w:tcBorders>
            <w:shd w:val="clear" w:color="auto" w:fill="FFFFFF"/>
            <w:vAlign w:val="center"/>
          </w:tcPr>
          <w:p w14:paraId="257A98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35.74</w:t>
            </w:r>
          </w:p>
        </w:tc>
        <w:tc>
          <w:tcPr>
            <w:tcW w:w="184" w:type="pct"/>
            <w:tcBorders>
              <w:tl2br w:val="nil"/>
              <w:tr2bl w:val="nil"/>
            </w:tcBorders>
            <w:shd w:val="clear" w:color="auto" w:fill="FFFFFF"/>
            <w:vAlign w:val="center"/>
          </w:tcPr>
          <w:p w14:paraId="23F9E8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42.09</w:t>
            </w:r>
          </w:p>
        </w:tc>
        <w:tc>
          <w:tcPr>
            <w:tcW w:w="184" w:type="pct"/>
            <w:tcBorders>
              <w:tl2br w:val="nil"/>
              <w:tr2bl w:val="nil"/>
            </w:tcBorders>
            <w:shd w:val="clear" w:color="auto" w:fill="FFFFFF"/>
            <w:vAlign w:val="center"/>
          </w:tcPr>
          <w:p w14:paraId="6F32B3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25.76</w:t>
            </w:r>
          </w:p>
        </w:tc>
        <w:tc>
          <w:tcPr>
            <w:tcW w:w="204" w:type="pct"/>
            <w:tcBorders>
              <w:tl2br w:val="nil"/>
              <w:tr2bl w:val="nil"/>
            </w:tcBorders>
            <w:shd w:val="clear" w:color="auto" w:fill="FFFFFF"/>
            <w:vAlign w:val="center"/>
          </w:tcPr>
          <w:p w14:paraId="733E12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default" w:ascii="Times New Roman" w:hAnsi="Times New Roman" w:eastAsia="宋体" w:cs="Times New Roman"/>
                <w:color w:val="auto"/>
                <w:spacing w:val="0"/>
                <w:w w:val="100"/>
                <w:position w:val="0"/>
                <w:sz w:val="18"/>
                <w:szCs w:val="18"/>
                <w:lang w:val="en-US" w:eastAsia="zh-CN"/>
              </w:rPr>
              <w:t>1</w:t>
            </w:r>
          </w:p>
        </w:tc>
      </w:tr>
      <w:tr w14:paraId="6DCC20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04C2AF0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22</w:t>
            </w:r>
          </w:p>
        </w:tc>
        <w:tc>
          <w:tcPr>
            <w:tcW w:w="151" w:type="pct"/>
            <w:vMerge w:val="continue"/>
            <w:tcBorders>
              <w:tl2br w:val="nil"/>
              <w:tr2bl w:val="nil"/>
            </w:tcBorders>
            <w:shd w:val="clear" w:color="auto" w:fill="FFFFFF"/>
            <w:vAlign w:val="center"/>
          </w:tcPr>
          <w:p w14:paraId="039A28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3B6077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4AF35C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1111F3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85</w:t>
            </w:r>
          </w:p>
        </w:tc>
        <w:tc>
          <w:tcPr>
            <w:tcW w:w="334" w:type="pct"/>
            <w:vMerge w:val="continue"/>
            <w:tcBorders>
              <w:tl2br w:val="nil"/>
              <w:tr2bl w:val="nil"/>
            </w:tcBorders>
            <w:shd w:val="clear" w:color="auto" w:fill="FFFFFF"/>
            <w:vAlign w:val="center"/>
          </w:tcPr>
          <w:p w14:paraId="49A271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79477F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10.07</w:t>
            </w:r>
          </w:p>
        </w:tc>
        <w:tc>
          <w:tcPr>
            <w:tcW w:w="230" w:type="pct"/>
            <w:tcBorders>
              <w:tl2br w:val="nil"/>
              <w:tr2bl w:val="nil"/>
            </w:tcBorders>
            <w:shd w:val="clear" w:color="auto" w:fill="FFFFFF"/>
            <w:vAlign w:val="center"/>
          </w:tcPr>
          <w:p w14:paraId="45154F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-70.9</w:t>
            </w:r>
          </w:p>
        </w:tc>
        <w:tc>
          <w:tcPr>
            <w:tcW w:w="83" w:type="pct"/>
            <w:tcBorders>
              <w:tl2br w:val="nil"/>
              <w:tr2bl w:val="nil"/>
            </w:tcBorders>
            <w:shd w:val="clear" w:color="auto" w:fill="FFFFFF"/>
            <w:vAlign w:val="center"/>
          </w:tcPr>
          <w:p w14:paraId="37ABEA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4E9CDE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27.53</w:t>
            </w:r>
          </w:p>
        </w:tc>
        <w:tc>
          <w:tcPr>
            <w:tcW w:w="184" w:type="pct"/>
            <w:tcBorders>
              <w:tl2br w:val="nil"/>
              <w:tr2bl w:val="nil"/>
            </w:tcBorders>
            <w:shd w:val="clear" w:color="auto" w:fill="FFFFFF"/>
            <w:vAlign w:val="center"/>
          </w:tcPr>
          <w:p w14:paraId="76A0B5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34.65</w:t>
            </w:r>
          </w:p>
        </w:tc>
        <w:tc>
          <w:tcPr>
            <w:tcW w:w="184" w:type="pct"/>
            <w:tcBorders>
              <w:tl2br w:val="nil"/>
              <w:tr2bl w:val="nil"/>
            </w:tcBorders>
            <w:shd w:val="clear" w:color="auto" w:fill="FFFFFF"/>
            <w:vAlign w:val="center"/>
          </w:tcPr>
          <w:p w14:paraId="062D75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16.16</w:t>
            </w:r>
          </w:p>
        </w:tc>
        <w:tc>
          <w:tcPr>
            <w:tcW w:w="253" w:type="pct"/>
            <w:tcBorders>
              <w:tl2br w:val="nil"/>
              <w:tr2bl w:val="nil"/>
            </w:tcBorders>
            <w:shd w:val="clear" w:color="auto" w:fill="FFFFFF"/>
            <w:vAlign w:val="center"/>
          </w:tcPr>
          <w:p w14:paraId="798D03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111.43</w:t>
            </w:r>
          </w:p>
        </w:tc>
        <w:tc>
          <w:tcPr>
            <w:tcW w:w="184" w:type="pct"/>
            <w:tcBorders>
              <w:tl2br w:val="nil"/>
              <w:tr2bl w:val="nil"/>
            </w:tcBorders>
            <w:shd w:val="clear" w:color="auto" w:fill="FFFFFF"/>
            <w:vAlign w:val="center"/>
          </w:tcPr>
          <w:p w14:paraId="54D588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63.99</w:t>
            </w:r>
          </w:p>
        </w:tc>
        <w:tc>
          <w:tcPr>
            <w:tcW w:w="184" w:type="pct"/>
            <w:tcBorders>
              <w:tl2br w:val="nil"/>
              <w:tr2bl w:val="nil"/>
            </w:tcBorders>
            <w:shd w:val="clear" w:color="auto" w:fill="FFFFFF"/>
            <w:vAlign w:val="center"/>
          </w:tcPr>
          <w:p w14:paraId="04A704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61.99</w:t>
            </w:r>
          </w:p>
        </w:tc>
        <w:tc>
          <w:tcPr>
            <w:tcW w:w="184" w:type="pct"/>
            <w:tcBorders>
              <w:tl2br w:val="nil"/>
              <w:tr2bl w:val="nil"/>
            </w:tcBorders>
            <w:shd w:val="clear" w:color="auto" w:fill="FFFFFF"/>
            <w:vAlign w:val="center"/>
          </w:tcPr>
          <w:p w14:paraId="5DE8BA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68.61</w:t>
            </w:r>
          </w:p>
        </w:tc>
        <w:tc>
          <w:tcPr>
            <w:tcW w:w="222" w:type="pct"/>
            <w:tcBorders>
              <w:tl2br w:val="nil"/>
              <w:tr2bl w:val="nil"/>
            </w:tcBorders>
            <w:shd w:val="clear" w:color="auto" w:fill="FFFFFF"/>
            <w:vAlign w:val="center"/>
          </w:tcPr>
          <w:p w14:paraId="000591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51.84</w:t>
            </w:r>
          </w:p>
        </w:tc>
        <w:tc>
          <w:tcPr>
            <w:tcW w:w="138" w:type="pct"/>
            <w:vMerge w:val="continue"/>
            <w:tcBorders>
              <w:tl2br w:val="nil"/>
              <w:tr2bl w:val="nil"/>
            </w:tcBorders>
            <w:shd w:val="clear" w:color="auto" w:fill="FFFFFF"/>
            <w:vAlign w:val="center"/>
          </w:tcPr>
          <w:p w14:paraId="0AE165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78DA75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0647A4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79D5DC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392E57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595C97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37.68</w:t>
            </w:r>
          </w:p>
        </w:tc>
        <w:tc>
          <w:tcPr>
            <w:tcW w:w="184" w:type="pct"/>
            <w:tcBorders>
              <w:tl2br w:val="nil"/>
              <w:tr2bl w:val="nil"/>
            </w:tcBorders>
            <w:shd w:val="clear" w:color="auto" w:fill="FFFFFF"/>
            <w:vAlign w:val="center"/>
          </w:tcPr>
          <w:p w14:paraId="0DC772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35.74</w:t>
            </w:r>
          </w:p>
        </w:tc>
        <w:tc>
          <w:tcPr>
            <w:tcW w:w="184" w:type="pct"/>
            <w:tcBorders>
              <w:tl2br w:val="nil"/>
              <w:tr2bl w:val="nil"/>
            </w:tcBorders>
            <w:shd w:val="clear" w:color="auto" w:fill="FFFFFF"/>
            <w:vAlign w:val="center"/>
          </w:tcPr>
          <w:p w14:paraId="7A9756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42.09</w:t>
            </w:r>
          </w:p>
        </w:tc>
        <w:tc>
          <w:tcPr>
            <w:tcW w:w="184" w:type="pct"/>
            <w:tcBorders>
              <w:tl2br w:val="nil"/>
              <w:tr2bl w:val="nil"/>
            </w:tcBorders>
            <w:shd w:val="clear" w:color="auto" w:fill="FFFFFF"/>
            <w:vAlign w:val="center"/>
          </w:tcPr>
          <w:p w14:paraId="71EB69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25.76</w:t>
            </w:r>
          </w:p>
        </w:tc>
        <w:tc>
          <w:tcPr>
            <w:tcW w:w="204" w:type="pct"/>
            <w:tcBorders>
              <w:tl2br w:val="nil"/>
              <w:tr2bl w:val="nil"/>
            </w:tcBorders>
            <w:shd w:val="clear" w:color="auto" w:fill="FFFFFF"/>
            <w:vAlign w:val="center"/>
          </w:tcPr>
          <w:p w14:paraId="16DE56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default" w:ascii="Times New Roman" w:hAnsi="Times New Roman" w:eastAsia="宋体" w:cs="Times New Roman"/>
                <w:color w:val="auto"/>
                <w:spacing w:val="0"/>
                <w:w w:val="100"/>
                <w:position w:val="0"/>
                <w:sz w:val="18"/>
                <w:szCs w:val="18"/>
                <w:lang w:val="en-US" w:eastAsia="zh-CN"/>
              </w:rPr>
              <w:t>1</w:t>
            </w:r>
          </w:p>
        </w:tc>
      </w:tr>
      <w:tr w14:paraId="113DA9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34B857A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23</w:t>
            </w:r>
          </w:p>
        </w:tc>
        <w:tc>
          <w:tcPr>
            <w:tcW w:w="151" w:type="pct"/>
            <w:vMerge w:val="continue"/>
            <w:tcBorders>
              <w:tl2br w:val="nil"/>
              <w:tr2bl w:val="nil"/>
            </w:tcBorders>
            <w:shd w:val="clear" w:color="auto" w:fill="FFFFFF"/>
            <w:vAlign w:val="center"/>
          </w:tcPr>
          <w:p w14:paraId="377004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3756C6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7E3774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75A574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85</w:t>
            </w:r>
          </w:p>
        </w:tc>
        <w:tc>
          <w:tcPr>
            <w:tcW w:w="334" w:type="pct"/>
            <w:vMerge w:val="continue"/>
            <w:tcBorders>
              <w:tl2br w:val="nil"/>
              <w:tr2bl w:val="nil"/>
            </w:tcBorders>
            <w:shd w:val="clear" w:color="auto" w:fill="FFFFFF"/>
            <w:vAlign w:val="center"/>
          </w:tcPr>
          <w:p w14:paraId="254E00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2B5BB1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10.07</w:t>
            </w:r>
          </w:p>
        </w:tc>
        <w:tc>
          <w:tcPr>
            <w:tcW w:w="230" w:type="pct"/>
            <w:tcBorders>
              <w:tl2br w:val="nil"/>
              <w:tr2bl w:val="nil"/>
            </w:tcBorders>
            <w:shd w:val="clear" w:color="auto" w:fill="FFFFFF"/>
            <w:vAlign w:val="center"/>
          </w:tcPr>
          <w:p w14:paraId="6C1965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-70.9</w:t>
            </w:r>
          </w:p>
        </w:tc>
        <w:tc>
          <w:tcPr>
            <w:tcW w:w="83" w:type="pct"/>
            <w:tcBorders>
              <w:tl2br w:val="nil"/>
              <w:tr2bl w:val="nil"/>
            </w:tcBorders>
            <w:shd w:val="clear" w:color="auto" w:fill="FFFFFF"/>
            <w:vAlign w:val="center"/>
          </w:tcPr>
          <w:p w14:paraId="55E0E7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2AFB89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27.53</w:t>
            </w:r>
          </w:p>
        </w:tc>
        <w:tc>
          <w:tcPr>
            <w:tcW w:w="184" w:type="pct"/>
            <w:tcBorders>
              <w:tl2br w:val="nil"/>
              <w:tr2bl w:val="nil"/>
            </w:tcBorders>
            <w:shd w:val="clear" w:color="auto" w:fill="FFFFFF"/>
            <w:vAlign w:val="center"/>
          </w:tcPr>
          <w:p w14:paraId="130DE3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34.65</w:t>
            </w:r>
          </w:p>
        </w:tc>
        <w:tc>
          <w:tcPr>
            <w:tcW w:w="184" w:type="pct"/>
            <w:tcBorders>
              <w:tl2br w:val="nil"/>
              <w:tr2bl w:val="nil"/>
            </w:tcBorders>
            <w:shd w:val="clear" w:color="auto" w:fill="FFFFFF"/>
            <w:vAlign w:val="center"/>
          </w:tcPr>
          <w:p w14:paraId="2B0AD1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16.16</w:t>
            </w:r>
          </w:p>
        </w:tc>
        <w:tc>
          <w:tcPr>
            <w:tcW w:w="253" w:type="pct"/>
            <w:tcBorders>
              <w:tl2br w:val="nil"/>
              <w:tr2bl w:val="nil"/>
            </w:tcBorders>
            <w:shd w:val="clear" w:color="auto" w:fill="FFFFFF"/>
            <w:vAlign w:val="center"/>
          </w:tcPr>
          <w:p w14:paraId="63B6F8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111.43</w:t>
            </w:r>
          </w:p>
        </w:tc>
        <w:tc>
          <w:tcPr>
            <w:tcW w:w="184" w:type="pct"/>
            <w:tcBorders>
              <w:tl2br w:val="nil"/>
              <w:tr2bl w:val="nil"/>
            </w:tcBorders>
            <w:shd w:val="clear" w:color="auto" w:fill="FFFFFF"/>
            <w:vAlign w:val="center"/>
          </w:tcPr>
          <w:p w14:paraId="055FAB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63.99</w:t>
            </w:r>
          </w:p>
        </w:tc>
        <w:tc>
          <w:tcPr>
            <w:tcW w:w="184" w:type="pct"/>
            <w:tcBorders>
              <w:tl2br w:val="nil"/>
              <w:tr2bl w:val="nil"/>
            </w:tcBorders>
            <w:shd w:val="clear" w:color="auto" w:fill="FFFFFF"/>
            <w:vAlign w:val="center"/>
          </w:tcPr>
          <w:p w14:paraId="438BFA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61.99</w:t>
            </w:r>
          </w:p>
        </w:tc>
        <w:tc>
          <w:tcPr>
            <w:tcW w:w="184" w:type="pct"/>
            <w:tcBorders>
              <w:tl2br w:val="nil"/>
              <w:tr2bl w:val="nil"/>
            </w:tcBorders>
            <w:shd w:val="clear" w:color="auto" w:fill="FFFFFF"/>
            <w:vAlign w:val="center"/>
          </w:tcPr>
          <w:p w14:paraId="379DF0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68.61</w:t>
            </w:r>
          </w:p>
        </w:tc>
        <w:tc>
          <w:tcPr>
            <w:tcW w:w="222" w:type="pct"/>
            <w:tcBorders>
              <w:tl2br w:val="nil"/>
              <w:tr2bl w:val="nil"/>
            </w:tcBorders>
            <w:shd w:val="clear" w:color="auto" w:fill="FFFFFF"/>
            <w:vAlign w:val="center"/>
          </w:tcPr>
          <w:p w14:paraId="7AFD3C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51.84</w:t>
            </w:r>
          </w:p>
        </w:tc>
        <w:tc>
          <w:tcPr>
            <w:tcW w:w="138" w:type="pct"/>
            <w:vMerge w:val="continue"/>
            <w:tcBorders>
              <w:tl2br w:val="nil"/>
              <w:tr2bl w:val="nil"/>
            </w:tcBorders>
            <w:shd w:val="clear" w:color="auto" w:fill="FFFFFF"/>
            <w:vAlign w:val="center"/>
          </w:tcPr>
          <w:p w14:paraId="7ED237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02DF96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712509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617C3C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416BD3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516868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37.68</w:t>
            </w:r>
          </w:p>
        </w:tc>
        <w:tc>
          <w:tcPr>
            <w:tcW w:w="184" w:type="pct"/>
            <w:tcBorders>
              <w:tl2br w:val="nil"/>
              <w:tr2bl w:val="nil"/>
            </w:tcBorders>
            <w:shd w:val="clear" w:color="auto" w:fill="FFFFFF"/>
            <w:vAlign w:val="center"/>
          </w:tcPr>
          <w:p w14:paraId="2C0670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35.74</w:t>
            </w:r>
          </w:p>
        </w:tc>
        <w:tc>
          <w:tcPr>
            <w:tcW w:w="184" w:type="pct"/>
            <w:tcBorders>
              <w:tl2br w:val="nil"/>
              <w:tr2bl w:val="nil"/>
            </w:tcBorders>
            <w:shd w:val="clear" w:color="auto" w:fill="FFFFFF"/>
            <w:vAlign w:val="center"/>
          </w:tcPr>
          <w:p w14:paraId="2DF3DA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42.09</w:t>
            </w:r>
          </w:p>
        </w:tc>
        <w:tc>
          <w:tcPr>
            <w:tcW w:w="184" w:type="pct"/>
            <w:tcBorders>
              <w:tl2br w:val="nil"/>
              <w:tr2bl w:val="nil"/>
            </w:tcBorders>
            <w:shd w:val="clear" w:color="auto" w:fill="FFFFFF"/>
            <w:vAlign w:val="center"/>
          </w:tcPr>
          <w:p w14:paraId="351666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25.76</w:t>
            </w:r>
          </w:p>
        </w:tc>
        <w:tc>
          <w:tcPr>
            <w:tcW w:w="204" w:type="pct"/>
            <w:tcBorders>
              <w:tl2br w:val="nil"/>
              <w:tr2bl w:val="nil"/>
            </w:tcBorders>
            <w:shd w:val="clear" w:color="auto" w:fill="FFFFFF"/>
            <w:vAlign w:val="center"/>
          </w:tcPr>
          <w:p w14:paraId="02253E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default" w:ascii="Times New Roman" w:hAnsi="Times New Roman" w:eastAsia="宋体" w:cs="Times New Roman"/>
                <w:color w:val="auto"/>
                <w:spacing w:val="0"/>
                <w:w w:val="100"/>
                <w:position w:val="0"/>
                <w:sz w:val="18"/>
                <w:szCs w:val="18"/>
                <w:lang w:val="en-US" w:eastAsia="zh-CN"/>
              </w:rPr>
              <w:t>1</w:t>
            </w:r>
          </w:p>
        </w:tc>
      </w:tr>
      <w:tr w14:paraId="733AA7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432032F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24</w:t>
            </w:r>
          </w:p>
        </w:tc>
        <w:tc>
          <w:tcPr>
            <w:tcW w:w="151" w:type="pct"/>
            <w:vMerge w:val="continue"/>
            <w:tcBorders>
              <w:tl2br w:val="nil"/>
              <w:tr2bl w:val="nil"/>
            </w:tcBorders>
            <w:shd w:val="clear" w:color="auto" w:fill="FFFFFF"/>
            <w:vAlign w:val="center"/>
          </w:tcPr>
          <w:p w14:paraId="316A66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362A83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40B1F4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33997E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85</w:t>
            </w:r>
          </w:p>
        </w:tc>
        <w:tc>
          <w:tcPr>
            <w:tcW w:w="334" w:type="pct"/>
            <w:vMerge w:val="continue"/>
            <w:tcBorders>
              <w:tl2br w:val="nil"/>
              <w:tr2bl w:val="nil"/>
            </w:tcBorders>
            <w:shd w:val="clear" w:color="auto" w:fill="FFFFFF"/>
            <w:vAlign w:val="center"/>
          </w:tcPr>
          <w:p w14:paraId="462FD6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3BE4E1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10.07</w:t>
            </w:r>
          </w:p>
        </w:tc>
        <w:tc>
          <w:tcPr>
            <w:tcW w:w="230" w:type="pct"/>
            <w:tcBorders>
              <w:tl2br w:val="nil"/>
              <w:tr2bl w:val="nil"/>
            </w:tcBorders>
            <w:shd w:val="clear" w:color="auto" w:fill="FFFFFF"/>
            <w:vAlign w:val="center"/>
          </w:tcPr>
          <w:p w14:paraId="512A2A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-70.9</w:t>
            </w:r>
          </w:p>
        </w:tc>
        <w:tc>
          <w:tcPr>
            <w:tcW w:w="83" w:type="pct"/>
            <w:tcBorders>
              <w:tl2br w:val="nil"/>
              <w:tr2bl w:val="nil"/>
            </w:tcBorders>
            <w:shd w:val="clear" w:color="auto" w:fill="FFFFFF"/>
            <w:vAlign w:val="center"/>
          </w:tcPr>
          <w:p w14:paraId="1F76AB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7E7AC4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27.53</w:t>
            </w:r>
          </w:p>
        </w:tc>
        <w:tc>
          <w:tcPr>
            <w:tcW w:w="184" w:type="pct"/>
            <w:tcBorders>
              <w:tl2br w:val="nil"/>
              <w:tr2bl w:val="nil"/>
            </w:tcBorders>
            <w:shd w:val="clear" w:color="auto" w:fill="FFFFFF"/>
            <w:vAlign w:val="center"/>
          </w:tcPr>
          <w:p w14:paraId="111F5C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34.65</w:t>
            </w:r>
          </w:p>
        </w:tc>
        <w:tc>
          <w:tcPr>
            <w:tcW w:w="184" w:type="pct"/>
            <w:tcBorders>
              <w:tl2br w:val="nil"/>
              <w:tr2bl w:val="nil"/>
            </w:tcBorders>
            <w:shd w:val="clear" w:color="auto" w:fill="FFFFFF"/>
            <w:vAlign w:val="center"/>
          </w:tcPr>
          <w:p w14:paraId="0DFA5A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16.16</w:t>
            </w:r>
          </w:p>
        </w:tc>
        <w:tc>
          <w:tcPr>
            <w:tcW w:w="253" w:type="pct"/>
            <w:tcBorders>
              <w:tl2br w:val="nil"/>
              <w:tr2bl w:val="nil"/>
            </w:tcBorders>
            <w:shd w:val="clear" w:color="auto" w:fill="FFFFFF"/>
            <w:vAlign w:val="center"/>
          </w:tcPr>
          <w:p w14:paraId="523F4C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111.43</w:t>
            </w:r>
          </w:p>
        </w:tc>
        <w:tc>
          <w:tcPr>
            <w:tcW w:w="184" w:type="pct"/>
            <w:tcBorders>
              <w:tl2br w:val="nil"/>
              <w:tr2bl w:val="nil"/>
            </w:tcBorders>
            <w:shd w:val="clear" w:color="auto" w:fill="FFFFFF"/>
            <w:vAlign w:val="center"/>
          </w:tcPr>
          <w:p w14:paraId="6DEEDD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63.99</w:t>
            </w:r>
          </w:p>
        </w:tc>
        <w:tc>
          <w:tcPr>
            <w:tcW w:w="184" w:type="pct"/>
            <w:tcBorders>
              <w:tl2br w:val="nil"/>
              <w:tr2bl w:val="nil"/>
            </w:tcBorders>
            <w:shd w:val="clear" w:color="auto" w:fill="FFFFFF"/>
            <w:vAlign w:val="center"/>
          </w:tcPr>
          <w:p w14:paraId="42F176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61.99</w:t>
            </w:r>
          </w:p>
        </w:tc>
        <w:tc>
          <w:tcPr>
            <w:tcW w:w="184" w:type="pct"/>
            <w:tcBorders>
              <w:tl2br w:val="nil"/>
              <w:tr2bl w:val="nil"/>
            </w:tcBorders>
            <w:shd w:val="clear" w:color="auto" w:fill="FFFFFF"/>
            <w:vAlign w:val="center"/>
          </w:tcPr>
          <w:p w14:paraId="364B64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68.61</w:t>
            </w:r>
          </w:p>
        </w:tc>
        <w:tc>
          <w:tcPr>
            <w:tcW w:w="222" w:type="pct"/>
            <w:tcBorders>
              <w:tl2br w:val="nil"/>
              <w:tr2bl w:val="nil"/>
            </w:tcBorders>
            <w:shd w:val="clear" w:color="auto" w:fill="FFFFFF"/>
            <w:vAlign w:val="center"/>
          </w:tcPr>
          <w:p w14:paraId="4A5EF5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51.84</w:t>
            </w:r>
          </w:p>
        </w:tc>
        <w:tc>
          <w:tcPr>
            <w:tcW w:w="138" w:type="pct"/>
            <w:vMerge w:val="continue"/>
            <w:tcBorders>
              <w:tl2br w:val="nil"/>
              <w:tr2bl w:val="nil"/>
            </w:tcBorders>
            <w:shd w:val="clear" w:color="auto" w:fill="FFFFFF"/>
            <w:vAlign w:val="center"/>
          </w:tcPr>
          <w:p w14:paraId="64CA9F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11F397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628966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00FBB0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2F32ED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02A868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37.68</w:t>
            </w:r>
          </w:p>
        </w:tc>
        <w:tc>
          <w:tcPr>
            <w:tcW w:w="184" w:type="pct"/>
            <w:tcBorders>
              <w:tl2br w:val="nil"/>
              <w:tr2bl w:val="nil"/>
            </w:tcBorders>
            <w:shd w:val="clear" w:color="auto" w:fill="FFFFFF"/>
            <w:vAlign w:val="center"/>
          </w:tcPr>
          <w:p w14:paraId="2A3EA2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35.74</w:t>
            </w:r>
          </w:p>
        </w:tc>
        <w:tc>
          <w:tcPr>
            <w:tcW w:w="184" w:type="pct"/>
            <w:tcBorders>
              <w:tl2br w:val="nil"/>
              <w:tr2bl w:val="nil"/>
            </w:tcBorders>
            <w:shd w:val="clear" w:color="auto" w:fill="FFFFFF"/>
            <w:vAlign w:val="center"/>
          </w:tcPr>
          <w:p w14:paraId="081D05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42.09</w:t>
            </w:r>
          </w:p>
        </w:tc>
        <w:tc>
          <w:tcPr>
            <w:tcW w:w="184" w:type="pct"/>
            <w:tcBorders>
              <w:tl2br w:val="nil"/>
              <w:tr2bl w:val="nil"/>
            </w:tcBorders>
            <w:shd w:val="clear" w:color="auto" w:fill="FFFFFF"/>
            <w:vAlign w:val="center"/>
          </w:tcPr>
          <w:p w14:paraId="66D19F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25.76</w:t>
            </w:r>
          </w:p>
        </w:tc>
        <w:tc>
          <w:tcPr>
            <w:tcW w:w="204" w:type="pct"/>
            <w:tcBorders>
              <w:tl2br w:val="nil"/>
              <w:tr2bl w:val="nil"/>
            </w:tcBorders>
            <w:shd w:val="clear" w:color="auto" w:fill="FFFFFF"/>
            <w:vAlign w:val="center"/>
          </w:tcPr>
          <w:p w14:paraId="24D114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default" w:ascii="Times New Roman" w:hAnsi="Times New Roman" w:eastAsia="宋体" w:cs="Times New Roman"/>
                <w:color w:val="auto"/>
                <w:spacing w:val="0"/>
                <w:w w:val="100"/>
                <w:position w:val="0"/>
                <w:sz w:val="18"/>
                <w:szCs w:val="18"/>
                <w:lang w:val="en-US" w:eastAsia="zh-CN"/>
              </w:rPr>
              <w:t>1</w:t>
            </w:r>
          </w:p>
        </w:tc>
      </w:tr>
      <w:tr w14:paraId="30175D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23B86EC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25</w:t>
            </w:r>
          </w:p>
        </w:tc>
        <w:tc>
          <w:tcPr>
            <w:tcW w:w="151" w:type="pct"/>
            <w:vMerge w:val="continue"/>
            <w:tcBorders>
              <w:tl2br w:val="nil"/>
              <w:tr2bl w:val="nil"/>
            </w:tcBorders>
            <w:shd w:val="clear" w:color="auto" w:fill="FFFFFF"/>
            <w:vAlign w:val="center"/>
          </w:tcPr>
          <w:p w14:paraId="34A32A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restart"/>
            <w:tcBorders>
              <w:tl2br w:val="nil"/>
              <w:tr2bl w:val="nil"/>
            </w:tcBorders>
            <w:shd w:val="clear" w:color="auto" w:fill="FFFFFF"/>
            <w:vAlign w:val="center"/>
          </w:tcPr>
          <w:p w14:paraId="5CFC4E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18"/>
                <w:szCs w:val="18"/>
              </w:rPr>
            </w:pPr>
            <w:r>
              <w:rPr>
                <w:rFonts w:hint="default" w:ascii="Times New Roman" w:hAnsi="Times New Roman" w:cs="Times New Roman"/>
                <w:color w:val="auto"/>
                <w:spacing w:val="0"/>
                <w:w w:val="100"/>
                <w:position w:val="0"/>
                <w:sz w:val="18"/>
                <w:szCs w:val="18"/>
                <w:highlight w:val="none"/>
                <w:lang w:val="en-US" w:eastAsia="zh-CN"/>
              </w:rPr>
              <w:t>张力自动比例控制式上放卷机</w:t>
            </w:r>
          </w:p>
        </w:tc>
        <w:tc>
          <w:tcPr>
            <w:tcW w:w="104" w:type="pct"/>
            <w:tcBorders>
              <w:tl2br w:val="nil"/>
              <w:tr2bl w:val="nil"/>
            </w:tcBorders>
            <w:shd w:val="clear" w:color="auto" w:fill="FFFFFF"/>
            <w:vAlign w:val="center"/>
          </w:tcPr>
          <w:p w14:paraId="2C35BC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1B69A0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85</w:t>
            </w:r>
          </w:p>
        </w:tc>
        <w:tc>
          <w:tcPr>
            <w:tcW w:w="334" w:type="pct"/>
            <w:vMerge w:val="continue"/>
            <w:tcBorders>
              <w:tl2br w:val="nil"/>
              <w:tr2bl w:val="nil"/>
            </w:tcBorders>
            <w:shd w:val="clear" w:color="auto" w:fill="FFFFFF"/>
            <w:vAlign w:val="center"/>
          </w:tcPr>
          <w:p w14:paraId="2107E6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2A1F37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-1.93</w:t>
            </w:r>
          </w:p>
        </w:tc>
        <w:tc>
          <w:tcPr>
            <w:tcW w:w="230" w:type="pct"/>
            <w:tcBorders>
              <w:tl2br w:val="nil"/>
              <w:tr2bl w:val="nil"/>
            </w:tcBorders>
            <w:shd w:val="clear" w:color="auto" w:fill="FFFFFF"/>
            <w:vAlign w:val="center"/>
          </w:tcPr>
          <w:p w14:paraId="071512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-43.05</w:t>
            </w:r>
          </w:p>
        </w:tc>
        <w:tc>
          <w:tcPr>
            <w:tcW w:w="83" w:type="pct"/>
            <w:tcBorders>
              <w:tl2br w:val="nil"/>
              <w:tr2bl w:val="nil"/>
            </w:tcBorders>
            <w:shd w:val="clear" w:color="auto" w:fill="FFFFFF"/>
            <w:vAlign w:val="center"/>
          </w:tcPr>
          <w:p w14:paraId="0F7784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5EAE2A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32.68</w:t>
            </w:r>
          </w:p>
        </w:tc>
        <w:tc>
          <w:tcPr>
            <w:tcW w:w="184" w:type="pct"/>
            <w:tcBorders>
              <w:tl2br w:val="nil"/>
              <w:tr2bl w:val="nil"/>
            </w:tcBorders>
            <w:shd w:val="clear" w:color="auto" w:fill="FFFFFF"/>
            <w:vAlign w:val="center"/>
          </w:tcPr>
          <w:p w14:paraId="51EDB7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46.90</w:t>
            </w:r>
          </w:p>
        </w:tc>
        <w:tc>
          <w:tcPr>
            <w:tcW w:w="184" w:type="pct"/>
            <w:tcBorders>
              <w:tl2br w:val="nil"/>
              <w:tr2bl w:val="nil"/>
            </w:tcBorders>
            <w:shd w:val="clear" w:color="auto" w:fill="FFFFFF"/>
            <w:vAlign w:val="center"/>
          </w:tcPr>
          <w:p w14:paraId="295756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10.17</w:t>
            </w:r>
          </w:p>
        </w:tc>
        <w:tc>
          <w:tcPr>
            <w:tcW w:w="253" w:type="pct"/>
            <w:tcBorders>
              <w:tl2br w:val="nil"/>
              <w:tr2bl w:val="nil"/>
            </w:tcBorders>
            <w:shd w:val="clear" w:color="auto" w:fill="FFFFFF"/>
            <w:vAlign w:val="center"/>
          </w:tcPr>
          <w:p w14:paraId="0E21F5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132.27</w:t>
            </w:r>
          </w:p>
        </w:tc>
        <w:tc>
          <w:tcPr>
            <w:tcW w:w="184" w:type="pct"/>
            <w:tcBorders>
              <w:tl2br w:val="nil"/>
              <w:tr2bl w:val="nil"/>
            </w:tcBorders>
            <w:shd w:val="clear" w:color="auto" w:fill="FFFFFF"/>
            <w:vAlign w:val="center"/>
          </w:tcPr>
          <w:p w14:paraId="01B586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62.50</w:t>
            </w:r>
          </w:p>
        </w:tc>
        <w:tc>
          <w:tcPr>
            <w:tcW w:w="184" w:type="pct"/>
            <w:tcBorders>
              <w:tl2br w:val="nil"/>
              <w:tr2bl w:val="nil"/>
            </w:tcBorders>
            <w:shd w:val="clear" w:color="auto" w:fill="FFFFFF"/>
            <w:vAlign w:val="center"/>
          </w:tcPr>
          <w:p w14:paraId="61C5ED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59.36</w:t>
            </w:r>
          </w:p>
        </w:tc>
        <w:tc>
          <w:tcPr>
            <w:tcW w:w="184" w:type="pct"/>
            <w:tcBorders>
              <w:tl2br w:val="nil"/>
              <w:tr2bl w:val="nil"/>
            </w:tcBorders>
            <w:shd w:val="clear" w:color="auto" w:fill="FFFFFF"/>
            <w:vAlign w:val="center"/>
          </w:tcPr>
          <w:p w14:paraId="73E9BA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72.64</w:t>
            </w:r>
          </w:p>
        </w:tc>
        <w:tc>
          <w:tcPr>
            <w:tcW w:w="222" w:type="pct"/>
            <w:tcBorders>
              <w:tl2br w:val="nil"/>
              <w:tr2bl w:val="nil"/>
            </w:tcBorders>
            <w:shd w:val="clear" w:color="auto" w:fill="FFFFFF"/>
            <w:vAlign w:val="center"/>
          </w:tcPr>
          <w:p w14:paraId="6966BE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50.35</w:t>
            </w:r>
          </w:p>
        </w:tc>
        <w:tc>
          <w:tcPr>
            <w:tcW w:w="138" w:type="pct"/>
            <w:vMerge w:val="continue"/>
            <w:tcBorders>
              <w:tl2br w:val="nil"/>
              <w:tr2bl w:val="nil"/>
            </w:tcBorders>
            <w:shd w:val="clear" w:color="auto" w:fill="FFFFFF"/>
            <w:vAlign w:val="center"/>
          </w:tcPr>
          <w:p w14:paraId="63243D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574D14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55A175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0A03D0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14B519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0E1038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36.23</w:t>
            </w:r>
          </w:p>
        </w:tc>
        <w:tc>
          <w:tcPr>
            <w:tcW w:w="184" w:type="pct"/>
            <w:tcBorders>
              <w:tl2br w:val="nil"/>
              <w:tr2bl w:val="nil"/>
            </w:tcBorders>
            <w:shd w:val="clear" w:color="auto" w:fill="FFFFFF"/>
            <w:vAlign w:val="center"/>
          </w:tcPr>
          <w:p w14:paraId="2EE134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33.17</w:t>
            </w:r>
          </w:p>
        </w:tc>
        <w:tc>
          <w:tcPr>
            <w:tcW w:w="184" w:type="pct"/>
            <w:tcBorders>
              <w:tl2br w:val="nil"/>
              <w:tr2bl w:val="nil"/>
            </w:tcBorders>
            <w:shd w:val="clear" w:color="auto" w:fill="FFFFFF"/>
            <w:vAlign w:val="center"/>
          </w:tcPr>
          <w:p w14:paraId="6C8670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45.82</w:t>
            </w:r>
          </w:p>
        </w:tc>
        <w:tc>
          <w:tcPr>
            <w:tcW w:w="184" w:type="pct"/>
            <w:tcBorders>
              <w:tl2br w:val="nil"/>
              <w:tr2bl w:val="nil"/>
            </w:tcBorders>
            <w:shd w:val="clear" w:color="auto" w:fill="FFFFFF"/>
            <w:vAlign w:val="center"/>
          </w:tcPr>
          <w:p w14:paraId="77B5D4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24.29</w:t>
            </w:r>
          </w:p>
        </w:tc>
        <w:tc>
          <w:tcPr>
            <w:tcW w:w="204" w:type="pct"/>
            <w:tcBorders>
              <w:tl2br w:val="nil"/>
              <w:tr2bl w:val="nil"/>
            </w:tcBorders>
            <w:shd w:val="clear" w:color="auto" w:fill="FFFFFF"/>
            <w:vAlign w:val="center"/>
          </w:tcPr>
          <w:p w14:paraId="31AEF2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578609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7363EC1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26</w:t>
            </w:r>
          </w:p>
        </w:tc>
        <w:tc>
          <w:tcPr>
            <w:tcW w:w="151" w:type="pct"/>
            <w:vMerge w:val="continue"/>
            <w:tcBorders>
              <w:tl2br w:val="nil"/>
              <w:tr2bl w:val="nil"/>
            </w:tcBorders>
            <w:shd w:val="clear" w:color="auto" w:fill="FFFFFF"/>
            <w:vAlign w:val="center"/>
          </w:tcPr>
          <w:p w14:paraId="2D822C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14D3E6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5038DC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34EAB8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85</w:t>
            </w:r>
          </w:p>
        </w:tc>
        <w:tc>
          <w:tcPr>
            <w:tcW w:w="334" w:type="pct"/>
            <w:vMerge w:val="continue"/>
            <w:tcBorders>
              <w:tl2br w:val="nil"/>
              <w:tr2bl w:val="nil"/>
            </w:tcBorders>
            <w:shd w:val="clear" w:color="auto" w:fill="FFFFFF"/>
            <w:vAlign w:val="center"/>
          </w:tcPr>
          <w:p w14:paraId="712450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1EE903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-1.93</w:t>
            </w:r>
          </w:p>
        </w:tc>
        <w:tc>
          <w:tcPr>
            <w:tcW w:w="230" w:type="pct"/>
            <w:tcBorders>
              <w:tl2br w:val="nil"/>
              <w:tr2bl w:val="nil"/>
            </w:tcBorders>
            <w:shd w:val="clear" w:color="auto" w:fill="FFFFFF"/>
            <w:vAlign w:val="center"/>
          </w:tcPr>
          <w:p w14:paraId="1F0448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-43.05</w:t>
            </w:r>
          </w:p>
        </w:tc>
        <w:tc>
          <w:tcPr>
            <w:tcW w:w="83" w:type="pct"/>
            <w:tcBorders>
              <w:tl2br w:val="nil"/>
              <w:tr2bl w:val="nil"/>
            </w:tcBorders>
            <w:shd w:val="clear" w:color="auto" w:fill="FFFFFF"/>
            <w:vAlign w:val="center"/>
          </w:tcPr>
          <w:p w14:paraId="18AF7E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449760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32.68</w:t>
            </w:r>
          </w:p>
        </w:tc>
        <w:tc>
          <w:tcPr>
            <w:tcW w:w="184" w:type="pct"/>
            <w:tcBorders>
              <w:tl2br w:val="nil"/>
              <w:tr2bl w:val="nil"/>
            </w:tcBorders>
            <w:shd w:val="clear" w:color="auto" w:fill="FFFFFF"/>
            <w:vAlign w:val="center"/>
          </w:tcPr>
          <w:p w14:paraId="685304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46.90</w:t>
            </w:r>
          </w:p>
        </w:tc>
        <w:tc>
          <w:tcPr>
            <w:tcW w:w="184" w:type="pct"/>
            <w:tcBorders>
              <w:tl2br w:val="nil"/>
              <w:tr2bl w:val="nil"/>
            </w:tcBorders>
            <w:shd w:val="clear" w:color="auto" w:fill="FFFFFF"/>
            <w:vAlign w:val="center"/>
          </w:tcPr>
          <w:p w14:paraId="59B439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10.17</w:t>
            </w:r>
          </w:p>
        </w:tc>
        <w:tc>
          <w:tcPr>
            <w:tcW w:w="253" w:type="pct"/>
            <w:tcBorders>
              <w:tl2br w:val="nil"/>
              <w:tr2bl w:val="nil"/>
            </w:tcBorders>
            <w:shd w:val="clear" w:color="auto" w:fill="FFFFFF"/>
            <w:vAlign w:val="center"/>
          </w:tcPr>
          <w:p w14:paraId="5F3C45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132.27</w:t>
            </w:r>
          </w:p>
        </w:tc>
        <w:tc>
          <w:tcPr>
            <w:tcW w:w="184" w:type="pct"/>
            <w:tcBorders>
              <w:tl2br w:val="nil"/>
              <w:tr2bl w:val="nil"/>
            </w:tcBorders>
            <w:shd w:val="clear" w:color="auto" w:fill="FFFFFF"/>
            <w:vAlign w:val="center"/>
          </w:tcPr>
          <w:p w14:paraId="5E6193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62.50</w:t>
            </w:r>
          </w:p>
        </w:tc>
        <w:tc>
          <w:tcPr>
            <w:tcW w:w="184" w:type="pct"/>
            <w:tcBorders>
              <w:tl2br w:val="nil"/>
              <w:tr2bl w:val="nil"/>
            </w:tcBorders>
            <w:shd w:val="clear" w:color="auto" w:fill="FFFFFF"/>
            <w:vAlign w:val="center"/>
          </w:tcPr>
          <w:p w14:paraId="0D406F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59.36</w:t>
            </w:r>
          </w:p>
        </w:tc>
        <w:tc>
          <w:tcPr>
            <w:tcW w:w="184" w:type="pct"/>
            <w:tcBorders>
              <w:tl2br w:val="nil"/>
              <w:tr2bl w:val="nil"/>
            </w:tcBorders>
            <w:shd w:val="clear" w:color="auto" w:fill="FFFFFF"/>
            <w:vAlign w:val="center"/>
          </w:tcPr>
          <w:p w14:paraId="224AA7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72.64</w:t>
            </w:r>
          </w:p>
        </w:tc>
        <w:tc>
          <w:tcPr>
            <w:tcW w:w="222" w:type="pct"/>
            <w:tcBorders>
              <w:tl2br w:val="nil"/>
              <w:tr2bl w:val="nil"/>
            </w:tcBorders>
            <w:shd w:val="clear" w:color="auto" w:fill="FFFFFF"/>
            <w:vAlign w:val="center"/>
          </w:tcPr>
          <w:p w14:paraId="0FF01D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50.35</w:t>
            </w:r>
          </w:p>
        </w:tc>
        <w:tc>
          <w:tcPr>
            <w:tcW w:w="138" w:type="pct"/>
            <w:vMerge w:val="continue"/>
            <w:tcBorders>
              <w:tl2br w:val="nil"/>
              <w:tr2bl w:val="nil"/>
            </w:tcBorders>
            <w:shd w:val="clear" w:color="auto" w:fill="FFFFFF"/>
            <w:vAlign w:val="center"/>
          </w:tcPr>
          <w:p w14:paraId="6ABD0C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21BEC9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03924B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7EC0D8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2FB9D1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6C6549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36.23</w:t>
            </w:r>
          </w:p>
        </w:tc>
        <w:tc>
          <w:tcPr>
            <w:tcW w:w="184" w:type="pct"/>
            <w:tcBorders>
              <w:tl2br w:val="nil"/>
              <w:tr2bl w:val="nil"/>
            </w:tcBorders>
            <w:shd w:val="clear" w:color="auto" w:fill="FFFFFF"/>
            <w:vAlign w:val="center"/>
          </w:tcPr>
          <w:p w14:paraId="29BEDD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33.17</w:t>
            </w:r>
          </w:p>
        </w:tc>
        <w:tc>
          <w:tcPr>
            <w:tcW w:w="184" w:type="pct"/>
            <w:tcBorders>
              <w:tl2br w:val="nil"/>
              <w:tr2bl w:val="nil"/>
            </w:tcBorders>
            <w:shd w:val="clear" w:color="auto" w:fill="FFFFFF"/>
            <w:vAlign w:val="center"/>
          </w:tcPr>
          <w:p w14:paraId="0A7176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45.82</w:t>
            </w:r>
          </w:p>
        </w:tc>
        <w:tc>
          <w:tcPr>
            <w:tcW w:w="184" w:type="pct"/>
            <w:tcBorders>
              <w:tl2br w:val="nil"/>
              <w:tr2bl w:val="nil"/>
            </w:tcBorders>
            <w:shd w:val="clear" w:color="auto" w:fill="FFFFFF"/>
            <w:vAlign w:val="center"/>
          </w:tcPr>
          <w:p w14:paraId="206DD9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24.29</w:t>
            </w:r>
          </w:p>
        </w:tc>
        <w:tc>
          <w:tcPr>
            <w:tcW w:w="204" w:type="pct"/>
            <w:tcBorders>
              <w:tl2br w:val="nil"/>
              <w:tr2bl w:val="nil"/>
            </w:tcBorders>
            <w:shd w:val="clear" w:color="auto" w:fill="FFFFFF"/>
            <w:vAlign w:val="center"/>
          </w:tcPr>
          <w:p w14:paraId="70542C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68E4CA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0A0C379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27</w:t>
            </w:r>
          </w:p>
        </w:tc>
        <w:tc>
          <w:tcPr>
            <w:tcW w:w="151" w:type="pct"/>
            <w:vMerge w:val="continue"/>
            <w:tcBorders>
              <w:tl2br w:val="nil"/>
              <w:tr2bl w:val="nil"/>
            </w:tcBorders>
            <w:shd w:val="clear" w:color="auto" w:fill="FFFFFF"/>
            <w:vAlign w:val="center"/>
          </w:tcPr>
          <w:p w14:paraId="6E2139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6085C5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196207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064A9E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85</w:t>
            </w:r>
          </w:p>
        </w:tc>
        <w:tc>
          <w:tcPr>
            <w:tcW w:w="334" w:type="pct"/>
            <w:vMerge w:val="continue"/>
            <w:tcBorders>
              <w:tl2br w:val="nil"/>
              <w:tr2bl w:val="nil"/>
            </w:tcBorders>
            <w:shd w:val="clear" w:color="auto" w:fill="FFFFFF"/>
            <w:vAlign w:val="center"/>
          </w:tcPr>
          <w:p w14:paraId="53180A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5FA1B0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-1.93</w:t>
            </w:r>
          </w:p>
        </w:tc>
        <w:tc>
          <w:tcPr>
            <w:tcW w:w="230" w:type="pct"/>
            <w:tcBorders>
              <w:tl2br w:val="nil"/>
              <w:tr2bl w:val="nil"/>
            </w:tcBorders>
            <w:shd w:val="clear" w:color="auto" w:fill="FFFFFF"/>
            <w:vAlign w:val="center"/>
          </w:tcPr>
          <w:p w14:paraId="7D1548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-43.05</w:t>
            </w:r>
          </w:p>
        </w:tc>
        <w:tc>
          <w:tcPr>
            <w:tcW w:w="83" w:type="pct"/>
            <w:tcBorders>
              <w:tl2br w:val="nil"/>
              <w:tr2bl w:val="nil"/>
            </w:tcBorders>
            <w:shd w:val="clear" w:color="auto" w:fill="FFFFFF"/>
            <w:vAlign w:val="center"/>
          </w:tcPr>
          <w:p w14:paraId="58BA8D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6F4419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32.68</w:t>
            </w:r>
          </w:p>
        </w:tc>
        <w:tc>
          <w:tcPr>
            <w:tcW w:w="184" w:type="pct"/>
            <w:tcBorders>
              <w:tl2br w:val="nil"/>
              <w:tr2bl w:val="nil"/>
            </w:tcBorders>
            <w:shd w:val="clear" w:color="auto" w:fill="FFFFFF"/>
            <w:vAlign w:val="center"/>
          </w:tcPr>
          <w:p w14:paraId="063252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46.90</w:t>
            </w:r>
          </w:p>
        </w:tc>
        <w:tc>
          <w:tcPr>
            <w:tcW w:w="184" w:type="pct"/>
            <w:tcBorders>
              <w:tl2br w:val="nil"/>
              <w:tr2bl w:val="nil"/>
            </w:tcBorders>
            <w:shd w:val="clear" w:color="auto" w:fill="FFFFFF"/>
            <w:vAlign w:val="center"/>
          </w:tcPr>
          <w:p w14:paraId="7C61A4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10.17</w:t>
            </w:r>
          </w:p>
        </w:tc>
        <w:tc>
          <w:tcPr>
            <w:tcW w:w="253" w:type="pct"/>
            <w:tcBorders>
              <w:tl2br w:val="nil"/>
              <w:tr2bl w:val="nil"/>
            </w:tcBorders>
            <w:shd w:val="clear" w:color="auto" w:fill="FFFFFF"/>
            <w:vAlign w:val="center"/>
          </w:tcPr>
          <w:p w14:paraId="481535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132.27</w:t>
            </w:r>
          </w:p>
        </w:tc>
        <w:tc>
          <w:tcPr>
            <w:tcW w:w="184" w:type="pct"/>
            <w:tcBorders>
              <w:tl2br w:val="nil"/>
              <w:tr2bl w:val="nil"/>
            </w:tcBorders>
            <w:shd w:val="clear" w:color="auto" w:fill="FFFFFF"/>
            <w:vAlign w:val="center"/>
          </w:tcPr>
          <w:p w14:paraId="3658ED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62.50</w:t>
            </w:r>
          </w:p>
        </w:tc>
        <w:tc>
          <w:tcPr>
            <w:tcW w:w="184" w:type="pct"/>
            <w:tcBorders>
              <w:tl2br w:val="nil"/>
              <w:tr2bl w:val="nil"/>
            </w:tcBorders>
            <w:shd w:val="clear" w:color="auto" w:fill="FFFFFF"/>
            <w:vAlign w:val="center"/>
          </w:tcPr>
          <w:p w14:paraId="2F85E7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59.36</w:t>
            </w:r>
          </w:p>
        </w:tc>
        <w:tc>
          <w:tcPr>
            <w:tcW w:w="184" w:type="pct"/>
            <w:tcBorders>
              <w:tl2br w:val="nil"/>
              <w:tr2bl w:val="nil"/>
            </w:tcBorders>
            <w:shd w:val="clear" w:color="auto" w:fill="FFFFFF"/>
            <w:vAlign w:val="center"/>
          </w:tcPr>
          <w:p w14:paraId="1A35AC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72.64</w:t>
            </w:r>
          </w:p>
        </w:tc>
        <w:tc>
          <w:tcPr>
            <w:tcW w:w="222" w:type="pct"/>
            <w:tcBorders>
              <w:tl2br w:val="nil"/>
              <w:tr2bl w:val="nil"/>
            </w:tcBorders>
            <w:shd w:val="clear" w:color="auto" w:fill="FFFFFF"/>
            <w:vAlign w:val="center"/>
          </w:tcPr>
          <w:p w14:paraId="677B9A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50.35</w:t>
            </w:r>
          </w:p>
        </w:tc>
        <w:tc>
          <w:tcPr>
            <w:tcW w:w="138" w:type="pct"/>
            <w:vMerge w:val="continue"/>
            <w:tcBorders>
              <w:tl2br w:val="nil"/>
              <w:tr2bl w:val="nil"/>
            </w:tcBorders>
            <w:shd w:val="clear" w:color="auto" w:fill="FFFFFF"/>
            <w:vAlign w:val="center"/>
          </w:tcPr>
          <w:p w14:paraId="1A1DF9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782D13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17A443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16AFAE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5FE0F3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7CE988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36.23</w:t>
            </w:r>
          </w:p>
        </w:tc>
        <w:tc>
          <w:tcPr>
            <w:tcW w:w="184" w:type="pct"/>
            <w:tcBorders>
              <w:tl2br w:val="nil"/>
              <w:tr2bl w:val="nil"/>
            </w:tcBorders>
            <w:shd w:val="clear" w:color="auto" w:fill="FFFFFF"/>
            <w:vAlign w:val="center"/>
          </w:tcPr>
          <w:p w14:paraId="07AAE5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33.17</w:t>
            </w:r>
          </w:p>
        </w:tc>
        <w:tc>
          <w:tcPr>
            <w:tcW w:w="184" w:type="pct"/>
            <w:tcBorders>
              <w:tl2br w:val="nil"/>
              <w:tr2bl w:val="nil"/>
            </w:tcBorders>
            <w:shd w:val="clear" w:color="auto" w:fill="FFFFFF"/>
            <w:vAlign w:val="center"/>
          </w:tcPr>
          <w:p w14:paraId="302F8D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45.82</w:t>
            </w:r>
          </w:p>
        </w:tc>
        <w:tc>
          <w:tcPr>
            <w:tcW w:w="184" w:type="pct"/>
            <w:tcBorders>
              <w:tl2br w:val="nil"/>
              <w:tr2bl w:val="nil"/>
            </w:tcBorders>
            <w:shd w:val="clear" w:color="auto" w:fill="FFFFFF"/>
            <w:vAlign w:val="center"/>
          </w:tcPr>
          <w:p w14:paraId="46EC58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24.29</w:t>
            </w:r>
          </w:p>
        </w:tc>
        <w:tc>
          <w:tcPr>
            <w:tcW w:w="204" w:type="pct"/>
            <w:tcBorders>
              <w:tl2br w:val="nil"/>
              <w:tr2bl w:val="nil"/>
            </w:tcBorders>
            <w:shd w:val="clear" w:color="auto" w:fill="FFFFFF"/>
            <w:vAlign w:val="center"/>
          </w:tcPr>
          <w:p w14:paraId="4B294B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7725D3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22C6790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28</w:t>
            </w:r>
          </w:p>
        </w:tc>
        <w:tc>
          <w:tcPr>
            <w:tcW w:w="151" w:type="pct"/>
            <w:vMerge w:val="continue"/>
            <w:tcBorders>
              <w:tl2br w:val="nil"/>
              <w:tr2bl w:val="nil"/>
            </w:tcBorders>
            <w:shd w:val="clear" w:color="auto" w:fill="FFFFFF"/>
            <w:vAlign w:val="center"/>
          </w:tcPr>
          <w:p w14:paraId="274CB9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6656F7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00AC27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70D7C6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85</w:t>
            </w:r>
          </w:p>
        </w:tc>
        <w:tc>
          <w:tcPr>
            <w:tcW w:w="334" w:type="pct"/>
            <w:vMerge w:val="continue"/>
            <w:tcBorders>
              <w:tl2br w:val="nil"/>
              <w:tr2bl w:val="nil"/>
            </w:tcBorders>
            <w:shd w:val="clear" w:color="auto" w:fill="FFFFFF"/>
            <w:vAlign w:val="center"/>
          </w:tcPr>
          <w:p w14:paraId="4E4D1F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6ECCC2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-1.93</w:t>
            </w:r>
          </w:p>
        </w:tc>
        <w:tc>
          <w:tcPr>
            <w:tcW w:w="230" w:type="pct"/>
            <w:tcBorders>
              <w:tl2br w:val="nil"/>
              <w:tr2bl w:val="nil"/>
            </w:tcBorders>
            <w:shd w:val="clear" w:color="auto" w:fill="FFFFFF"/>
            <w:vAlign w:val="center"/>
          </w:tcPr>
          <w:p w14:paraId="48F2AB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-43.05</w:t>
            </w:r>
          </w:p>
        </w:tc>
        <w:tc>
          <w:tcPr>
            <w:tcW w:w="83" w:type="pct"/>
            <w:tcBorders>
              <w:tl2br w:val="nil"/>
              <w:tr2bl w:val="nil"/>
            </w:tcBorders>
            <w:shd w:val="clear" w:color="auto" w:fill="FFFFFF"/>
            <w:vAlign w:val="center"/>
          </w:tcPr>
          <w:p w14:paraId="334FE6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1E7405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32.68</w:t>
            </w:r>
          </w:p>
        </w:tc>
        <w:tc>
          <w:tcPr>
            <w:tcW w:w="184" w:type="pct"/>
            <w:tcBorders>
              <w:tl2br w:val="nil"/>
              <w:tr2bl w:val="nil"/>
            </w:tcBorders>
            <w:shd w:val="clear" w:color="auto" w:fill="FFFFFF"/>
            <w:vAlign w:val="center"/>
          </w:tcPr>
          <w:p w14:paraId="0FA9DA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46.90</w:t>
            </w:r>
          </w:p>
        </w:tc>
        <w:tc>
          <w:tcPr>
            <w:tcW w:w="184" w:type="pct"/>
            <w:tcBorders>
              <w:tl2br w:val="nil"/>
              <w:tr2bl w:val="nil"/>
            </w:tcBorders>
            <w:shd w:val="clear" w:color="auto" w:fill="FFFFFF"/>
            <w:vAlign w:val="center"/>
          </w:tcPr>
          <w:p w14:paraId="6ED3C7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10.17</w:t>
            </w:r>
          </w:p>
        </w:tc>
        <w:tc>
          <w:tcPr>
            <w:tcW w:w="253" w:type="pct"/>
            <w:tcBorders>
              <w:tl2br w:val="nil"/>
              <w:tr2bl w:val="nil"/>
            </w:tcBorders>
            <w:shd w:val="clear" w:color="auto" w:fill="FFFFFF"/>
            <w:vAlign w:val="center"/>
          </w:tcPr>
          <w:p w14:paraId="2569FC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132.27</w:t>
            </w:r>
          </w:p>
        </w:tc>
        <w:tc>
          <w:tcPr>
            <w:tcW w:w="184" w:type="pct"/>
            <w:tcBorders>
              <w:tl2br w:val="nil"/>
              <w:tr2bl w:val="nil"/>
            </w:tcBorders>
            <w:shd w:val="clear" w:color="auto" w:fill="FFFFFF"/>
            <w:vAlign w:val="center"/>
          </w:tcPr>
          <w:p w14:paraId="225F4D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62.50</w:t>
            </w:r>
          </w:p>
        </w:tc>
        <w:tc>
          <w:tcPr>
            <w:tcW w:w="184" w:type="pct"/>
            <w:tcBorders>
              <w:tl2br w:val="nil"/>
              <w:tr2bl w:val="nil"/>
            </w:tcBorders>
            <w:shd w:val="clear" w:color="auto" w:fill="FFFFFF"/>
            <w:vAlign w:val="center"/>
          </w:tcPr>
          <w:p w14:paraId="4D7AE7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59.36</w:t>
            </w:r>
          </w:p>
        </w:tc>
        <w:tc>
          <w:tcPr>
            <w:tcW w:w="184" w:type="pct"/>
            <w:tcBorders>
              <w:tl2br w:val="nil"/>
              <w:tr2bl w:val="nil"/>
            </w:tcBorders>
            <w:shd w:val="clear" w:color="auto" w:fill="FFFFFF"/>
            <w:vAlign w:val="center"/>
          </w:tcPr>
          <w:p w14:paraId="3B356D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72.64</w:t>
            </w:r>
          </w:p>
        </w:tc>
        <w:tc>
          <w:tcPr>
            <w:tcW w:w="222" w:type="pct"/>
            <w:tcBorders>
              <w:tl2br w:val="nil"/>
              <w:tr2bl w:val="nil"/>
            </w:tcBorders>
            <w:shd w:val="clear" w:color="auto" w:fill="FFFFFF"/>
            <w:vAlign w:val="center"/>
          </w:tcPr>
          <w:p w14:paraId="2F460D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50.35</w:t>
            </w:r>
          </w:p>
        </w:tc>
        <w:tc>
          <w:tcPr>
            <w:tcW w:w="138" w:type="pct"/>
            <w:vMerge w:val="continue"/>
            <w:tcBorders>
              <w:tl2br w:val="nil"/>
              <w:tr2bl w:val="nil"/>
            </w:tcBorders>
            <w:shd w:val="clear" w:color="auto" w:fill="FFFFFF"/>
            <w:vAlign w:val="center"/>
          </w:tcPr>
          <w:p w14:paraId="7D63AC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2A9426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5C5957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68F98F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39919B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2955D2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36.23</w:t>
            </w:r>
          </w:p>
        </w:tc>
        <w:tc>
          <w:tcPr>
            <w:tcW w:w="184" w:type="pct"/>
            <w:tcBorders>
              <w:tl2br w:val="nil"/>
              <w:tr2bl w:val="nil"/>
            </w:tcBorders>
            <w:shd w:val="clear" w:color="auto" w:fill="FFFFFF"/>
            <w:vAlign w:val="center"/>
          </w:tcPr>
          <w:p w14:paraId="7BAED4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33.17</w:t>
            </w:r>
          </w:p>
        </w:tc>
        <w:tc>
          <w:tcPr>
            <w:tcW w:w="184" w:type="pct"/>
            <w:tcBorders>
              <w:tl2br w:val="nil"/>
              <w:tr2bl w:val="nil"/>
            </w:tcBorders>
            <w:shd w:val="clear" w:color="auto" w:fill="FFFFFF"/>
            <w:vAlign w:val="center"/>
          </w:tcPr>
          <w:p w14:paraId="44AEE6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45.82</w:t>
            </w:r>
          </w:p>
        </w:tc>
        <w:tc>
          <w:tcPr>
            <w:tcW w:w="184" w:type="pct"/>
            <w:tcBorders>
              <w:tl2br w:val="nil"/>
              <w:tr2bl w:val="nil"/>
            </w:tcBorders>
            <w:shd w:val="clear" w:color="auto" w:fill="FFFFFF"/>
            <w:vAlign w:val="center"/>
          </w:tcPr>
          <w:p w14:paraId="26A52A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24.29</w:t>
            </w:r>
          </w:p>
        </w:tc>
        <w:tc>
          <w:tcPr>
            <w:tcW w:w="204" w:type="pct"/>
            <w:tcBorders>
              <w:tl2br w:val="nil"/>
              <w:tr2bl w:val="nil"/>
            </w:tcBorders>
            <w:shd w:val="clear" w:color="auto" w:fill="FFFFFF"/>
            <w:vAlign w:val="center"/>
          </w:tcPr>
          <w:p w14:paraId="18D82A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03D30E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1A72A3D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29</w:t>
            </w:r>
          </w:p>
        </w:tc>
        <w:tc>
          <w:tcPr>
            <w:tcW w:w="151" w:type="pct"/>
            <w:vMerge w:val="continue"/>
            <w:tcBorders>
              <w:tl2br w:val="nil"/>
              <w:tr2bl w:val="nil"/>
            </w:tcBorders>
            <w:shd w:val="clear" w:color="auto" w:fill="FFFFFF"/>
            <w:vAlign w:val="center"/>
          </w:tcPr>
          <w:p w14:paraId="6D6E3B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487E1F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35DEB6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017B61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85</w:t>
            </w:r>
          </w:p>
        </w:tc>
        <w:tc>
          <w:tcPr>
            <w:tcW w:w="334" w:type="pct"/>
            <w:vMerge w:val="continue"/>
            <w:tcBorders>
              <w:tl2br w:val="nil"/>
              <w:tr2bl w:val="nil"/>
            </w:tcBorders>
            <w:shd w:val="clear" w:color="auto" w:fill="FFFFFF"/>
            <w:vAlign w:val="center"/>
          </w:tcPr>
          <w:p w14:paraId="0F60BC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73FCA0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-1.93</w:t>
            </w:r>
          </w:p>
        </w:tc>
        <w:tc>
          <w:tcPr>
            <w:tcW w:w="230" w:type="pct"/>
            <w:tcBorders>
              <w:tl2br w:val="nil"/>
              <w:tr2bl w:val="nil"/>
            </w:tcBorders>
            <w:shd w:val="clear" w:color="auto" w:fill="FFFFFF"/>
            <w:vAlign w:val="center"/>
          </w:tcPr>
          <w:p w14:paraId="7CAFA0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-43.05</w:t>
            </w:r>
          </w:p>
        </w:tc>
        <w:tc>
          <w:tcPr>
            <w:tcW w:w="83" w:type="pct"/>
            <w:tcBorders>
              <w:tl2br w:val="nil"/>
              <w:tr2bl w:val="nil"/>
            </w:tcBorders>
            <w:shd w:val="clear" w:color="auto" w:fill="FFFFFF"/>
            <w:vAlign w:val="center"/>
          </w:tcPr>
          <w:p w14:paraId="726BB7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3EBD2F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32.68</w:t>
            </w:r>
          </w:p>
        </w:tc>
        <w:tc>
          <w:tcPr>
            <w:tcW w:w="184" w:type="pct"/>
            <w:tcBorders>
              <w:tl2br w:val="nil"/>
              <w:tr2bl w:val="nil"/>
            </w:tcBorders>
            <w:shd w:val="clear" w:color="auto" w:fill="FFFFFF"/>
            <w:vAlign w:val="center"/>
          </w:tcPr>
          <w:p w14:paraId="7D7689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46.90</w:t>
            </w:r>
          </w:p>
        </w:tc>
        <w:tc>
          <w:tcPr>
            <w:tcW w:w="184" w:type="pct"/>
            <w:tcBorders>
              <w:tl2br w:val="nil"/>
              <w:tr2bl w:val="nil"/>
            </w:tcBorders>
            <w:shd w:val="clear" w:color="auto" w:fill="FFFFFF"/>
            <w:vAlign w:val="center"/>
          </w:tcPr>
          <w:p w14:paraId="1CCB31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10.17</w:t>
            </w:r>
          </w:p>
        </w:tc>
        <w:tc>
          <w:tcPr>
            <w:tcW w:w="253" w:type="pct"/>
            <w:tcBorders>
              <w:tl2br w:val="nil"/>
              <w:tr2bl w:val="nil"/>
            </w:tcBorders>
            <w:shd w:val="clear" w:color="auto" w:fill="FFFFFF"/>
            <w:vAlign w:val="center"/>
          </w:tcPr>
          <w:p w14:paraId="1A8ED9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132.27</w:t>
            </w:r>
          </w:p>
        </w:tc>
        <w:tc>
          <w:tcPr>
            <w:tcW w:w="184" w:type="pct"/>
            <w:tcBorders>
              <w:tl2br w:val="nil"/>
              <w:tr2bl w:val="nil"/>
            </w:tcBorders>
            <w:shd w:val="clear" w:color="auto" w:fill="FFFFFF"/>
            <w:vAlign w:val="center"/>
          </w:tcPr>
          <w:p w14:paraId="6F0376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62.50</w:t>
            </w:r>
          </w:p>
        </w:tc>
        <w:tc>
          <w:tcPr>
            <w:tcW w:w="184" w:type="pct"/>
            <w:tcBorders>
              <w:tl2br w:val="nil"/>
              <w:tr2bl w:val="nil"/>
            </w:tcBorders>
            <w:shd w:val="clear" w:color="auto" w:fill="FFFFFF"/>
            <w:vAlign w:val="center"/>
          </w:tcPr>
          <w:p w14:paraId="0329E9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59.36</w:t>
            </w:r>
          </w:p>
        </w:tc>
        <w:tc>
          <w:tcPr>
            <w:tcW w:w="184" w:type="pct"/>
            <w:tcBorders>
              <w:tl2br w:val="nil"/>
              <w:tr2bl w:val="nil"/>
            </w:tcBorders>
            <w:shd w:val="clear" w:color="auto" w:fill="FFFFFF"/>
            <w:vAlign w:val="center"/>
          </w:tcPr>
          <w:p w14:paraId="74F537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72.64</w:t>
            </w:r>
          </w:p>
        </w:tc>
        <w:tc>
          <w:tcPr>
            <w:tcW w:w="222" w:type="pct"/>
            <w:tcBorders>
              <w:tl2br w:val="nil"/>
              <w:tr2bl w:val="nil"/>
            </w:tcBorders>
            <w:shd w:val="clear" w:color="auto" w:fill="FFFFFF"/>
            <w:vAlign w:val="center"/>
          </w:tcPr>
          <w:p w14:paraId="72475C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50.35</w:t>
            </w:r>
          </w:p>
        </w:tc>
        <w:tc>
          <w:tcPr>
            <w:tcW w:w="138" w:type="pct"/>
            <w:vMerge w:val="continue"/>
            <w:tcBorders>
              <w:tl2br w:val="nil"/>
              <w:tr2bl w:val="nil"/>
            </w:tcBorders>
            <w:shd w:val="clear" w:color="auto" w:fill="FFFFFF"/>
            <w:vAlign w:val="center"/>
          </w:tcPr>
          <w:p w14:paraId="2EF056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5E5D6C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363B8F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302A7F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69CC76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460D1A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36.23</w:t>
            </w:r>
          </w:p>
        </w:tc>
        <w:tc>
          <w:tcPr>
            <w:tcW w:w="184" w:type="pct"/>
            <w:tcBorders>
              <w:tl2br w:val="nil"/>
              <w:tr2bl w:val="nil"/>
            </w:tcBorders>
            <w:shd w:val="clear" w:color="auto" w:fill="FFFFFF"/>
            <w:vAlign w:val="center"/>
          </w:tcPr>
          <w:p w14:paraId="0F1270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33.17</w:t>
            </w:r>
          </w:p>
        </w:tc>
        <w:tc>
          <w:tcPr>
            <w:tcW w:w="184" w:type="pct"/>
            <w:tcBorders>
              <w:tl2br w:val="nil"/>
              <w:tr2bl w:val="nil"/>
            </w:tcBorders>
            <w:shd w:val="clear" w:color="auto" w:fill="FFFFFF"/>
            <w:vAlign w:val="center"/>
          </w:tcPr>
          <w:p w14:paraId="28FB09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45.82</w:t>
            </w:r>
          </w:p>
        </w:tc>
        <w:tc>
          <w:tcPr>
            <w:tcW w:w="184" w:type="pct"/>
            <w:tcBorders>
              <w:tl2br w:val="nil"/>
              <w:tr2bl w:val="nil"/>
            </w:tcBorders>
            <w:shd w:val="clear" w:color="auto" w:fill="FFFFFF"/>
            <w:vAlign w:val="center"/>
          </w:tcPr>
          <w:p w14:paraId="43C060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24.29</w:t>
            </w:r>
          </w:p>
        </w:tc>
        <w:tc>
          <w:tcPr>
            <w:tcW w:w="204" w:type="pct"/>
            <w:tcBorders>
              <w:tl2br w:val="nil"/>
              <w:tr2bl w:val="nil"/>
            </w:tcBorders>
            <w:shd w:val="clear" w:color="auto" w:fill="FFFFFF"/>
            <w:vAlign w:val="center"/>
          </w:tcPr>
          <w:p w14:paraId="1387C4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223184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0DE215F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30</w:t>
            </w:r>
          </w:p>
        </w:tc>
        <w:tc>
          <w:tcPr>
            <w:tcW w:w="151" w:type="pct"/>
            <w:vMerge w:val="continue"/>
            <w:tcBorders>
              <w:tl2br w:val="nil"/>
              <w:tr2bl w:val="nil"/>
            </w:tcBorders>
            <w:shd w:val="clear" w:color="auto" w:fill="FFFFFF"/>
            <w:vAlign w:val="center"/>
          </w:tcPr>
          <w:p w14:paraId="793EC1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1C684C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7F8E91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6EDC3D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85</w:t>
            </w:r>
          </w:p>
        </w:tc>
        <w:tc>
          <w:tcPr>
            <w:tcW w:w="334" w:type="pct"/>
            <w:vMerge w:val="continue"/>
            <w:tcBorders>
              <w:tl2br w:val="nil"/>
              <w:tr2bl w:val="nil"/>
            </w:tcBorders>
            <w:shd w:val="clear" w:color="auto" w:fill="FFFFFF"/>
            <w:vAlign w:val="center"/>
          </w:tcPr>
          <w:p w14:paraId="68FC32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05312A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-1.93</w:t>
            </w:r>
          </w:p>
        </w:tc>
        <w:tc>
          <w:tcPr>
            <w:tcW w:w="230" w:type="pct"/>
            <w:tcBorders>
              <w:tl2br w:val="nil"/>
              <w:tr2bl w:val="nil"/>
            </w:tcBorders>
            <w:shd w:val="clear" w:color="auto" w:fill="FFFFFF"/>
            <w:vAlign w:val="center"/>
          </w:tcPr>
          <w:p w14:paraId="314ECC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-43.05</w:t>
            </w:r>
          </w:p>
        </w:tc>
        <w:tc>
          <w:tcPr>
            <w:tcW w:w="83" w:type="pct"/>
            <w:tcBorders>
              <w:tl2br w:val="nil"/>
              <w:tr2bl w:val="nil"/>
            </w:tcBorders>
            <w:shd w:val="clear" w:color="auto" w:fill="FFFFFF"/>
            <w:vAlign w:val="center"/>
          </w:tcPr>
          <w:p w14:paraId="47FCAE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74C36F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32.68</w:t>
            </w:r>
          </w:p>
        </w:tc>
        <w:tc>
          <w:tcPr>
            <w:tcW w:w="184" w:type="pct"/>
            <w:tcBorders>
              <w:tl2br w:val="nil"/>
              <w:tr2bl w:val="nil"/>
            </w:tcBorders>
            <w:shd w:val="clear" w:color="auto" w:fill="FFFFFF"/>
            <w:vAlign w:val="center"/>
          </w:tcPr>
          <w:p w14:paraId="5574FA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46.90</w:t>
            </w:r>
          </w:p>
        </w:tc>
        <w:tc>
          <w:tcPr>
            <w:tcW w:w="184" w:type="pct"/>
            <w:tcBorders>
              <w:tl2br w:val="nil"/>
              <w:tr2bl w:val="nil"/>
            </w:tcBorders>
            <w:shd w:val="clear" w:color="auto" w:fill="FFFFFF"/>
            <w:vAlign w:val="center"/>
          </w:tcPr>
          <w:p w14:paraId="084C65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10.17</w:t>
            </w:r>
          </w:p>
        </w:tc>
        <w:tc>
          <w:tcPr>
            <w:tcW w:w="253" w:type="pct"/>
            <w:tcBorders>
              <w:tl2br w:val="nil"/>
              <w:tr2bl w:val="nil"/>
            </w:tcBorders>
            <w:shd w:val="clear" w:color="auto" w:fill="FFFFFF"/>
            <w:vAlign w:val="center"/>
          </w:tcPr>
          <w:p w14:paraId="439F77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132.27</w:t>
            </w:r>
          </w:p>
        </w:tc>
        <w:tc>
          <w:tcPr>
            <w:tcW w:w="184" w:type="pct"/>
            <w:tcBorders>
              <w:tl2br w:val="nil"/>
              <w:tr2bl w:val="nil"/>
            </w:tcBorders>
            <w:shd w:val="clear" w:color="auto" w:fill="FFFFFF"/>
            <w:vAlign w:val="center"/>
          </w:tcPr>
          <w:p w14:paraId="6627A3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62.50</w:t>
            </w:r>
          </w:p>
        </w:tc>
        <w:tc>
          <w:tcPr>
            <w:tcW w:w="184" w:type="pct"/>
            <w:tcBorders>
              <w:tl2br w:val="nil"/>
              <w:tr2bl w:val="nil"/>
            </w:tcBorders>
            <w:shd w:val="clear" w:color="auto" w:fill="FFFFFF"/>
            <w:vAlign w:val="center"/>
          </w:tcPr>
          <w:p w14:paraId="45AE7B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59.36</w:t>
            </w:r>
          </w:p>
        </w:tc>
        <w:tc>
          <w:tcPr>
            <w:tcW w:w="184" w:type="pct"/>
            <w:tcBorders>
              <w:tl2br w:val="nil"/>
              <w:tr2bl w:val="nil"/>
            </w:tcBorders>
            <w:shd w:val="clear" w:color="auto" w:fill="FFFFFF"/>
            <w:vAlign w:val="center"/>
          </w:tcPr>
          <w:p w14:paraId="1A6545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72.64</w:t>
            </w:r>
          </w:p>
        </w:tc>
        <w:tc>
          <w:tcPr>
            <w:tcW w:w="222" w:type="pct"/>
            <w:tcBorders>
              <w:tl2br w:val="nil"/>
              <w:tr2bl w:val="nil"/>
            </w:tcBorders>
            <w:shd w:val="clear" w:color="auto" w:fill="FFFFFF"/>
            <w:vAlign w:val="center"/>
          </w:tcPr>
          <w:p w14:paraId="0F0099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50.35</w:t>
            </w:r>
          </w:p>
        </w:tc>
        <w:tc>
          <w:tcPr>
            <w:tcW w:w="138" w:type="pct"/>
            <w:vMerge w:val="continue"/>
            <w:tcBorders>
              <w:tl2br w:val="nil"/>
              <w:tr2bl w:val="nil"/>
            </w:tcBorders>
            <w:shd w:val="clear" w:color="auto" w:fill="FFFFFF"/>
            <w:vAlign w:val="center"/>
          </w:tcPr>
          <w:p w14:paraId="1033C4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7C9E27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66A66E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102E75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7B30E2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70D7A8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36.23</w:t>
            </w:r>
          </w:p>
        </w:tc>
        <w:tc>
          <w:tcPr>
            <w:tcW w:w="184" w:type="pct"/>
            <w:tcBorders>
              <w:tl2br w:val="nil"/>
              <w:tr2bl w:val="nil"/>
            </w:tcBorders>
            <w:shd w:val="clear" w:color="auto" w:fill="FFFFFF"/>
            <w:vAlign w:val="center"/>
          </w:tcPr>
          <w:p w14:paraId="2775B2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33.17</w:t>
            </w:r>
          </w:p>
        </w:tc>
        <w:tc>
          <w:tcPr>
            <w:tcW w:w="184" w:type="pct"/>
            <w:tcBorders>
              <w:tl2br w:val="nil"/>
              <w:tr2bl w:val="nil"/>
            </w:tcBorders>
            <w:shd w:val="clear" w:color="auto" w:fill="FFFFFF"/>
            <w:vAlign w:val="center"/>
          </w:tcPr>
          <w:p w14:paraId="103AE2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45.82</w:t>
            </w:r>
          </w:p>
        </w:tc>
        <w:tc>
          <w:tcPr>
            <w:tcW w:w="184" w:type="pct"/>
            <w:tcBorders>
              <w:tl2br w:val="nil"/>
              <w:tr2bl w:val="nil"/>
            </w:tcBorders>
            <w:shd w:val="clear" w:color="auto" w:fill="FFFFFF"/>
            <w:vAlign w:val="center"/>
          </w:tcPr>
          <w:p w14:paraId="2EE338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24.29</w:t>
            </w:r>
          </w:p>
        </w:tc>
        <w:tc>
          <w:tcPr>
            <w:tcW w:w="204" w:type="pct"/>
            <w:tcBorders>
              <w:tl2br w:val="nil"/>
              <w:tr2bl w:val="nil"/>
            </w:tcBorders>
            <w:shd w:val="clear" w:color="auto" w:fill="FFFFFF"/>
            <w:vAlign w:val="center"/>
          </w:tcPr>
          <w:p w14:paraId="079625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1D9D53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5F8B161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31</w:t>
            </w:r>
          </w:p>
        </w:tc>
        <w:tc>
          <w:tcPr>
            <w:tcW w:w="151" w:type="pct"/>
            <w:vMerge w:val="continue"/>
            <w:tcBorders>
              <w:tl2br w:val="nil"/>
              <w:tr2bl w:val="nil"/>
            </w:tcBorders>
            <w:shd w:val="clear" w:color="auto" w:fill="FFFFFF"/>
            <w:vAlign w:val="center"/>
          </w:tcPr>
          <w:p w14:paraId="379D54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restart"/>
            <w:tcBorders>
              <w:tl2br w:val="nil"/>
              <w:tr2bl w:val="nil"/>
            </w:tcBorders>
            <w:shd w:val="clear" w:color="auto" w:fill="FFFFFF"/>
            <w:vAlign w:val="center"/>
          </w:tcPr>
          <w:p w14:paraId="13C630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18"/>
                <w:szCs w:val="18"/>
              </w:rPr>
            </w:pPr>
            <w:r>
              <w:rPr>
                <w:rFonts w:hint="default" w:ascii="Times New Roman" w:hAnsi="Times New Roman" w:cs="Times New Roman"/>
                <w:color w:val="auto"/>
                <w:spacing w:val="0"/>
                <w:w w:val="100"/>
                <w:position w:val="0"/>
                <w:sz w:val="18"/>
                <w:szCs w:val="18"/>
                <w:highlight w:val="none"/>
                <w:lang w:val="en-US" w:eastAsia="zh-CN"/>
              </w:rPr>
              <w:t>张力自动比例控制式下放卷机</w:t>
            </w:r>
          </w:p>
        </w:tc>
        <w:tc>
          <w:tcPr>
            <w:tcW w:w="104" w:type="pct"/>
            <w:tcBorders>
              <w:tl2br w:val="nil"/>
              <w:tr2bl w:val="nil"/>
            </w:tcBorders>
            <w:shd w:val="clear" w:color="auto" w:fill="FFFFFF"/>
            <w:vAlign w:val="center"/>
          </w:tcPr>
          <w:p w14:paraId="401D9E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37B113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85</w:t>
            </w:r>
          </w:p>
        </w:tc>
        <w:tc>
          <w:tcPr>
            <w:tcW w:w="334" w:type="pct"/>
            <w:vMerge w:val="continue"/>
            <w:tcBorders>
              <w:tl2br w:val="nil"/>
              <w:tr2bl w:val="nil"/>
            </w:tcBorders>
            <w:shd w:val="clear" w:color="auto" w:fill="FFFFFF"/>
            <w:vAlign w:val="center"/>
          </w:tcPr>
          <w:p w14:paraId="4567CD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6C8FD4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0.43</w:t>
            </w:r>
          </w:p>
        </w:tc>
        <w:tc>
          <w:tcPr>
            <w:tcW w:w="230" w:type="pct"/>
            <w:tcBorders>
              <w:tl2br w:val="nil"/>
              <w:tr2bl w:val="nil"/>
            </w:tcBorders>
            <w:shd w:val="clear" w:color="auto" w:fill="FFFFFF"/>
            <w:vAlign w:val="center"/>
          </w:tcPr>
          <w:p w14:paraId="357830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-50.55</w:t>
            </w:r>
          </w:p>
        </w:tc>
        <w:tc>
          <w:tcPr>
            <w:tcW w:w="83" w:type="pct"/>
            <w:tcBorders>
              <w:tl2br w:val="nil"/>
              <w:tr2bl w:val="nil"/>
            </w:tcBorders>
            <w:shd w:val="clear" w:color="auto" w:fill="FFFFFF"/>
            <w:vAlign w:val="center"/>
          </w:tcPr>
          <w:p w14:paraId="773653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486977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32.17</w:t>
            </w:r>
          </w:p>
        </w:tc>
        <w:tc>
          <w:tcPr>
            <w:tcW w:w="184" w:type="pct"/>
            <w:tcBorders>
              <w:tl2br w:val="nil"/>
              <w:tr2bl w:val="nil"/>
            </w:tcBorders>
            <w:shd w:val="clear" w:color="auto" w:fill="FFFFFF"/>
            <w:vAlign w:val="center"/>
          </w:tcPr>
          <w:p w14:paraId="22106C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50.31</w:t>
            </w:r>
          </w:p>
        </w:tc>
        <w:tc>
          <w:tcPr>
            <w:tcW w:w="184" w:type="pct"/>
            <w:tcBorders>
              <w:tl2br w:val="nil"/>
              <w:tr2bl w:val="nil"/>
            </w:tcBorders>
            <w:shd w:val="clear" w:color="auto" w:fill="FFFFFF"/>
            <w:vAlign w:val="center"/>
          </w:tcPr>
          <w:p w14:paraId="1F50EE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10.90</w:t>
            </w:r>
          </w:p>
        </w:tc>
        <w:tc>
          <w:tcPr>
            <w:tcW w:w="253" w:type="pct"/>
            <w:tcBorders>
              <w:tl2br w:val="nil"/>
              <w:tr2bl w:val="nil"/>
            </w:tcBorders>
            <w:shd w:val="clear" w:color="auto" w:fill="FFFFFF"/>
            <w:vAlign w:val="center"/>
          </w:tcPr>
          <w:p w14:paraId="2A3BF7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130.20</w:t>
            </w:r>
          </w:p>
        </w:tc>
        <w:tc>
          <w:tcPr>
            <w:tcW w:w="184" w:type="pct"/>
            <w:tcBorders>
              <w:tl2br w:val="nil"/>
              <w:tr2bl w:val="nil"/>
            </w:tcBorders>
            <w:shd w:val="clear" w:color="auto" w:fill="FFFFFF"/>
            <w:vAlign w:val="center"/>
          </w:tcPr>
          <w:p w14:paraId="2DC4FF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62.63</w:t>
            </w:r>
          </w:p>
        </w:tc>
        <w:tc>
          <w:tcPr>
            <w:tcW w:w="184" w:type="pct"/>
            <w:tcBorders>
              <w:tl2br w:val="nil"/>
              <w:tr2bl w:val="nil"/>
            </w:tcBorders>
            <w:shd w:val="clear" w:color="auto" w:fill="FFFFFF"/>
            <w:vAlign w:val="center"/>
          </w:tcPr>
          <w:p w14:paraId="311184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58.75</w:t>
            </w:r>
          </w:p>
        </w:tc>
        <w:tc>
          <w:tcPr>
            <w:tcW w:w="184" w:type="pct"/>
            <w:tcBorders>
              <w:tl2br w:val="nil"/>
              <w:tr2bl w:val="nil"/>
            </w:tcBorders>
            <w:shd w:val="clear" w:color="auto" w:fill="FFFFFF"/>
            <w:vAlign w:val="center"/>
          </w:tcPr>
          <w:p w14:paraId="3F0EEE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72.03</w:t>
            </w:r>
          </w:p>
        </w:tc>
        <w:tc>
          <w:tcPr>
            <w:tcW w:w="222" w:type="pct"/>
            <w:tcBorders>
              <w:tl2br w:val="nil"/>
              <w:tr2bl w:val="nil"/>
            </w:tcBorders>
            <w:shd w:val="clear" w:color="auto" w:fill="FFFFFF"/>
            <w:vAlign w:val="center"/>
          </w:tcPr>
          <w:p w14:paraId="4E14F1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50.49</w:t>
            </w:r>
          </w:p>
        </w:tc>
        <w:tc>
          <w:tcPr>
            <w:tcW w:w="138" w:type="pct"/>
            <w:vMerge w:val="continue"/>
            <w:tcBorders>
              <w:tl2br w:val="nil"/>
              <w:tr2bl w:val="nil"/>
            </w:tcBorders>
            <w:shd w:val="clear" w:color="auto" w:fill="FFFFFF"/>
            <w:vAlign w:val="center"/>
          </w:tcPr>
          <w:p w14:paraId="55F6FA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0535EE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7A45F7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15CB03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1C10FE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6F55B0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36.37</w:t>
            </w:r>
          </w:p>
        </w:tc>
        <w:tc>
          <w:tcPr>
            <w:tcW w:w="184" w:type="pct"/>
            <w:tcBorders>
              <w:tl2br w:val="nil"/>
              <w:tr2bl w:val="nil"/>
            </w:tcBorders>
            <w:shd w:val="clear" w:color="auto" w:fill="FFFFFF"/>
            <w:vAlign w:val="center"/>
          </w:tcPr>
          <w:p w14:paraId="5B447F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32.58</w:t>
            </w:r>
          </w:p>
        </w:tc>
        <w:tc>
          <w:tcPr>
            <w:tcW w:w="184" w:type="pct"/>
            <w:tcBorders>
              <w:tl2br w:val="nil"/>
              <w:tr2bl w:val="nil"/>
            </w:tcBorders>
            <w:shd w:val="clear" w:color="auto" w:fill="FFFFFF"/>
            <w:vAlign w:val="center"/>
          </w:tcPr>
          <w:p w14:paraId="2A21A6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45.27</w:t>
            </w:r>
          </w:p>
        </w:tc>
        <w:tc>
          <w:tcPr>
            <w:tcW w:w="184" w:type="pct"/>
            <w:tcBorders>
              <w:tl2br w:val="nil"/>
              <w:tr2bl w:val="nil"/>
            </w:tcBorders>
            <w:shd w:val="clear" w:color="auto" w:fill="FFFFFF"/>
            <w:vAlign w:val="center"/>
          </w:tcPr>
          <w:p w14:paraId="5DFF14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24.42</w:t>
            </w:r>
          </w:p>
        </w:tc>
        <w:tc>
          <w:tcPr>
            <w:tcW w:w="204" w:type="pct"/>
            <w:tcBorders>
              <w:tl2br w:val="nil"/>
              <w:tr2bl w:val="nil"/>
            </w:tcBorders>
            <w:shd w:val="clear" w:color="auto" w:fill="FFFFFF"/>
            <w:vAlign w:val="center"/>
          </w:tcPr>
          <w:p w14:paraId="2E4286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0FC2EB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66EBCC2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w:t>
            </w:r>
          </w:p>
        </w:tc>
        <w:tc>
          <w:tcPr>
            <w:tcW w:w="151" w:type="pct"/>
            <w:vMerge w:val="continue"/>
            <w:tcBorders>
              <w:tl2br w:val="nil"/>
              <w:tr2bl w:val="nil"/>
            </w:tcBorders>
            <w:shd w:val="clear" w:color="auto" w:fill="FFFFFF"/>
            <w:vAlign w:val="center"/>
          </w:tcPr>
          <w:p w14:paraId="470C23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39F571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4D69CD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065430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85</w:t>
            </w:r>
          </w:p>
        </w:tc>
        <w:tc>
          <w:tcPr>
            <w:tcW w:w="334" w:type="pct"/>
            <w:vMerge w:val="continue"/>
            <w:tcBorders>
              <w:tl2br w:val="nil"/>
              <w:tr2bl w:val="nil"/>
            </w:tcBorders>
            <w:shd w:val="clear" w:color="auto" w:fill="FFFFFF"/>
            <w:vAlign w:val="center"/>
          </w:tcPr>
          <w:p w14:paraId="432EDC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69B2E9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0.43</w:t>
            </w:r>
          </w:p>
        </w:tc>
        <w:tc>
          <w:tcPr>
            <w:tcW w:w="230" w:type="pct"/>
            <w:tcBorders>
              <w:tl2br w:val="nil"/>
              <w:tr2bl w:val="nil"/>
            </w:tcBorders>
            <w:shd w:val="clear" w:color="auto" w:fill="FFFFFF"/>
            <w:vAlign w:val="center"/>
          </w:tcPr>
          <w:p w14:paraId="2071D5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-50.55</w:t>
            </w:r>
          </w:p>
        </w:tc>
        <w:tc>
          <w:tcPr>
            <w:tcW w:w="83" w:type="pct"/>
            <w:tcBorders>
              <w:tl2br w:val="nil"/>
              <w:tr2bl w:val="nil"/>
            </w:tcBorders>
            <w:shd w:val="clear" w:color="auto" w:fill="FFFFFF"/>
            <w:vAlign w:val="center"/>
          </w:tcPr>
          <w:p w14:paraId="570830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2ADF09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32.17</w:t>
            </w:r>
          </w:p>
        </w:tc>
        <w:tc>
          <w:tcPr>
            <w:tcW w:w="184" w:type="pct"/>
            <w:tcBorders>
              <w:tl2br w:val="nil"/>
              <w:tr2bl w:val="nil"/>
            </w:tcBorders>
            <w:shd w:val="clear" w:color="auto" w:fill="FFFFFF"/>
            <w:vAlign w:val="center"/>
          </w:tcPr>
          <w:p w14:paraId="768888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50.31</w:t>
            </w:r>
          </w:p>
        </w:tc>
        <w:tc>
          <w:tcPr>
            <w:tcW w:w="184" w:type="pct"/>
            <w:tcBorders>
              <w:tl2br w:val="nil"/>
              <w:tr2bl w:val="nil"/>
            </w:tcBorders>
            <w:shd w:val="clear" w:color="auto" w:fill="FFFFFF"/>
            <w:vAlign w:val="center"/>
          </w:tcPr>
          <w:p w14:paraId="764B94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10.90</w:t>
            </w:r>
          </w:p>
        </w:tc>
        <w:tc>
          <w:tcPr>
            <w:tcW w:w="253" w:type="pct"/>
            <w:tcBorders>
              <w:tl2br w:val="nil"/>
              <w:tr2bl w:val="nil"/>
            </w:tcBorders>
            <w:shd w:val="clear" w:color="auto" w:fill="FFFFFF"/>
            <w:vAlign w:val="center"/>
          </w:tcPr>
          <w:p w14:paraId="79E1AE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130.20</w:t>
            </w:r>
          </w:p>
        </w:tc>
        <w:tc>
          <w:tcPr>
            <w:tcW w:w="184" w:type="pct"/>
            <w:tcBorders>
              <w:tl2br w:val="nil"/>
              <w:tr2bl w:val="nil"/>
            </w:tcBorders>
            <w:shd w:val="clear" w:color="auto" w:fill="FFFFFF"/>
            <w:vAlign w:val="center"/>
          </w:tcPr>
          <w:p w14:paraId="3372D8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62.63</w:t>
            </w:r>
          </w:p>
        </w:tc>
        <w:tc>
          <w:tcPr>
            <w:tcW w:w="184" w:type="pct"/>
            <w:tcBorders>
              <w:tl2br w:val="nil"/>
              <w:tr2bl w:val="nil"/>
            </w:tcBorders>
            <w:shd w:val="clear" w:color="auto" w:fill="FFFFFF"/>
            <w:vAlign w:val="center"/>
          </w:tcPr>
          <w:p w14:paraId="447A5D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58.75</w:t>
            </w:r>
          </w:p>
        </w:tc>
        <w:tc>
          <w:tcPr>
            <w:tcW w:w="184" w:type="pct"/>
            <w:tcBorders>
              <w:tl2br w:val="nil"/>
              <w:tr2bl w:val="nil"/>
            </w:tcBorders>
            <w:shd w:val="clear" w:color="auto" w:fill="FFFFFF"/>
            <w:vAlign w:val="center"/>
          </w:tcPr>
          <w:p w14:paraId="76DE05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72.03</w:t>
            </w:r>
          </w:p>
        </w:tc>
        <w:tc>
          <w:tcPr>
            <w:tcW w:w="222" w:type="pct"/>
            <w:tcBorders>
              <w:tl2br w:val="nil"/>
              <w:tr2bl w:val="nil"/>
            </w:tcBorders>
            <w:shd w:val="clear" w:color="auto" w:fill="FFFFFF"/>
            <w:vAlign w:val="center"/>
          </w:tcPr>
          <w:p w14:paraId="4C1968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50.49</w:t>
            </w:r>
          </w:p>
        </w:tc>
        <w:tc>
          <w:tcPr>
            <w:tcW w:w="138" w:type="pct"/>
            <w:vMerge w:val="continue"/>
            <w:tcBorders>
              <w:tl2br w:val="nil"/>
              <w:tr2bl w:val="nil"/>
            </w:tcBorders>
            <w:shd w:val="clear" w:color="auto" w:fill="FFFFFF"/>
            <w:vAlign w:val="center"/>
          </w:tcPr>
          <w:p w14:paraId="56265A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732D88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26F82D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330114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477C25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7FE658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36.37</w:t>
            </w:r>
          </w:p>
        </w:tc>
        <w:tc>
          <w:tcPr>
            <w:tcW w:w="184" w:type="pct"/>
            <w:tcBorders>
              <w:tl2br w:val="nil"/>
              <w:tr2bl w:val="nil"/>
            </w:tcBorders>
            <w:shd w:val="clear" w:color="auto" w:fill="FFFFFF"/>
            <w:vAlign w:val="center"/>
          </w:tcPr>
          <w:p w14:paraId="79329B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32.58</w:t>
            </w:r>
          </w:p>
        </w:tc>
        <w:tc>
          <w:tcPr>
            <w:tcW w:w="184" w:type="pct"/>
            <w:tcBorders>
              <w:tl2br w:val="nil"/>
              <w:tr2bl w:val="nil"/>
            </w:tcBorders>
            <w:shd w:val="clear" w:color="auto" w:fill="FFFFFF"/>
            <w:vAlign w:val="center"/>
          </w:tcPr>
          <w:p w14:paraId="2A9606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45.27</w:t>
            </w:r>
          </w:p>
        </w:tc>
        <w:tc>
          <w:tcPr>
            <w:tcW w:w="184" w:type="pct"/>
            <w:tcBorders>
              <w:tl2br w:val="nil"/>
              <w:tr2bl w:val="nil"/>
            </w:tcBorders>
            <w:shd w:val="clear" w:color="auto" w:fill="FFFFFF"/>
            <w:vAlign w:val="center"/>
          </w:tcPr>
          <w:p w14:paraId="35400F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24.42</w:t>
            </w:r>
          </w:p>
        </w:tc>
        <w:tc>
          <w:tcPr>
            <w:tcW w:w="204" w:type="pct"/>
            <w:tcBorders>
              <w:tl2br w:val="nil"/>
              <w:tr2bl w:val="nil"/>
            </w:tcBorders>
            <w:shd w:val="clear" w:color="auto" w:fill="FFFFFF"/>
            <w:vAlign w:val="center"/>
          </w:tcPr>
          <w:p w14:paraId="2E1362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5E35E5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1BA102E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33</w:t>
            </w:r>
          </w:p>
        </w:tc>
        <w:tc>
          <w:tcPr>
            <w:tcW w:w="151" w:type="pct"/>
            <w:vMerge w:val="continue"/>
            <w:tcBorders>
              <w:tl2br w:val="nil"/>
              <w:tr2bl w:val="nil"/>
            </w:tcBorders>
            <w:shd w:val="clear" w:color="auto" w:fill="FFFFFF"/>
            <w:vAlign w:val="center"/>
          </w:tcPr>
          <w:p w14:paraId="65C401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72745F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7DA621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027176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85</w:t>
            </w:r>
          </w:p>
        </w:tc>
        <w:tc>
          <w:tcPr>
            <w:tcW w:w="334" w:type="pct"/>
            <w:vMerge w:val="continue"/>
            <w:tcBorders>
              <w:tl2br w:val="nil"/>
              <w:tr2bl w:val="nil"/>
            </w:tcBorders>
            <w:shd w:val="clear" w:color="auto" w:fill="FFFFFF"/>
            <w:vAlign w:val="center"/>
          </w:tcPr>
          <w:p w14:paraId="54B695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0FE186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0.43</w:t>
            </w:r>
          </w:p>
        </w:tc>
        <w:tc>
          <w:tcPr>
            <w:tcW w:w="230" w:type="pct"/>
            <w:tcBorders>
              <w:tl2br w:val="nil"/>
              <w:tr2bl w:val="nil"/>
            </w:tcBorders>
            <w:shd w:val="clear" w:color="auto" w:fill="FFFFFF"/>
            <w:vAlign w:val="center"/>
          </w:tcPr>
          <w:p w14:paraId="40DAC7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-50.55</w:t>
            </w:r>
          </w:p>
        </w:tc>
        <w:tc>
          <w:tcPr>
            <w:tcW w:w="83" w:type="pct"/>
            <w:tcBorders>
              <w:tl2br w:val="nil"/>
              <w:tr2bl w:val="nil"/>
            </w:tcBorders>
            <w:shd w:val="clear" w:color="auto" w:fill="FFFFFF"/>
            <w:vAlign w:val="center"/>
          </w:tcPr>
          <w:p w14:paraId="3CFC8C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168C20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32.17</w:t>
            </w:r>
          </w:p>
        </w:tc>
        <w:tc>
          <w:tcPr>
            <w:tcW w:w="184" w:type="pct"/>
            <w:tcBorders>
              <w:tl2br w:val="nil"/>
              <w:tr2bl w:val="nil"/>
            </w:tcBorders>
            <w:shd w:val="clear" w:color="auto" w:fill="FFFFFF"/>
            <w:vAlign w:val="center"/>
          </w:tcPr>
          <w:p w14:paraId="4529AA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50.31</w:t>
            </w:r>
          </w:p>
        </w:tc>
        <w:tc>
          <w:tcPr>
            <w:tcW w:w="184" w:type="pct"/>
            <w:tcBorders>
              <w:tl2br w:val="nil"/>
              <w:tr2bl w:val="nil"/>
            </w:tcBorders>
            <w:shd w:val="clear" w:color="auto" w:fill="FFFFFF"/>
            <w:vAlign w:val="center"/>
          </w:tcPr>
          <w:p w14:paraId="1DA4B3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10.90</w:t>
            </w:r>
          </w:p>
        </w:tc>
        <w:tc>
          <w:tcPr>
            <w:tcW w:w="253" w:type="pct"/>
            <w:tcBorders>
              <w:tl2br w:val="nil"/>
              <w:tr2bl w:val="nil"/>
            </w:tcBorders>
            <w:shd w:val="clear" w:color="auto" w:fill="FFFFFF"/>
            <w:vAlign w:val="center"/>
          </w:tcPr>
          <w:p w14:paraId="79AA5E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130.20</w:t>
            </w:r>
          </w:p>
        </w:tc>
        <w:tc>
          <w:tcPr>
            <w:tcW w:w="184" w:type="pct"/>
            <w:tcBorders>
              <w:tl2br w:val="nil"/>
              <w:tr2bl w:val="nil"/>
            </w:tcBorders>
            <w:shd w:val="clear" w:color="auto" w:fill="FFFFFF"/>
            <w:vAlign w:val="center"/>
          </w:tcPr>
          <w:p w14:paraId="778C44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62.63</w:t>
            </w:r>
          </w:p>
        </w:tc>
        <w:tc>
          <w:tcPr>
            <w:tcW w:w="184" w:type="pct"/>
            <w:tcBorders>
              <w:tl2br w:val="nil"/>
              <w:tr2bl w:val="nil"/>
            </w:tcBorders>
            <w:shd w:val="clear" w:color="auto" w:fill="FFFFFF"/>
            <w:vAlign w:val="center"/>
          </w:tcPr>
          <w:p w14:paraId="59878E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58.75</w:t>
            </w:r>
          </w:p>
        </w:tc>
        <w:tc>
          <w:tcPr>
            <w:tcW w:w="184" w:type="pct"/>
            <w:tcBorders>
              <w:tl2br w:val="nil"/>
              <w:tr2bl w:val="nil"/>
            </w:tcBorders>
            <w:shd w:val="clear" w:color="auto" w:fill="FFFFFF"/>
            <w:vAlign w:val="center"/>
          </w:tcPr>
          <w:p w14:paraId="3022E0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72.03</w:t>
            </w:r>
          </w:p>
        </w:tc>
        <w:tc>
          <w:tcPr>
            <w:tcW w:w="222" w:type="pct"/>
            <w:tcBorders>
              <w:tl2br w:val="nil"/>
              <w:tr2bl w:val="nil"/>
            </w:tcBorders>
            <w:shd w:val="clear" w:color="auto" w:fill="FFFFFF"/>
            <w:vAlign w:val="center"/>
          </w:tcPr>
          <w:p w14:paraId="2BDF25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50.49</w:t>
            </w:r>
          </w:p>
        </w:tc>
        <w:tc>
          <w:tcPr>
            <w:tcW w:w="138" w:type="pct"/>
            <w:vMerge w:val="continue"/>
            <w:tcBorders>
              <w:tl2br w:val="nil"/>
              <w:tr2bl w:val="nil"/>
            </w:tcBorders>
            <w:shd w:val="clear" w:color="auto" w:fill="FFFFFF"/>
            <w:vAlign w:val="center"/>
          </w:tcPr>
          <w:p w14:paraId="1549DE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778D40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5D27BA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47938E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671FBB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51F935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36.37</w:t>
            </w:r>
          </w:p>
        </w:tc>
        <w:tc>
          <w:tcPr>
            <w:tcW w:w="184" w:type="pct"/>
            <w:tcBorders>
              <w:tl2br w:val="nil"/>
              <w:tr2bl w:val="nil"/>
            </w:tcBorders>
            <w:shd w:val="clear" w:color="auto" w:fill="FFFFFF"/>
            <w:vAlign w:val="center"/>
          </w:tcPr>
          <w:p w14:paraId="6CA006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32.58</w:t>
            </w:r>
          </w:p>
        </w:tc>
        <w:tc>
          <w:tcPr>
            <w:tcW w:w="184" w:type="pct"/>
            <w:tcBorders>
              <w:tl2br w:val="nil"/>
              <w:tr2bl w:val="nil"/>
            </w:tcBorders>
            <w:shd w:val="clear" w:color="auto" w:fill="FFFFFF"/>
            <w:vAlign w:val="center"/>
          </w:tcPr>
          <w:p w14:paraId="062C57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45.27</w:t>
            </w:r>
          </w:p>
        </w:tc>
        <w:tc>
          <w:tcPr>
            <w:tcW w:w="184" w:type="pct"/>
            <w:tcBorders>
              <w:tl2br w:val="nil"/>
              <w:tr2bl w:val="nil"/>
            </w:tcBorders>
            <w:shd w:val="clear" w:color="auto" w:fill="FFFFFF"/>
            <w:vAlign w:val="center"/>
          </w:tcPr>
          <w:p w14:paraId="43E52A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24.42</w:t>
            </w:r>
          </w:p>
        </w:tc>
        <w:tc>
          <w:tcPr>
            <w:tcW w:w="204" w:type="pct"/>
            <w:tcBorders>
              <w:tl2br w:val="nil"/>
              <w:tr2bl w:val="nil"/>
            </w:tcBorders>
            <w:shd w:val="clear" w:color="auto" w:fill="FFFFFF"/>
            <w:vAlign w:val="center"/>
          </w:tcPr>
          <w:p w14:paraId="58BD85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182B14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1FECAB5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34</w:t>
            </w:r>
          </w:p>
        </w:tc>
        <w:tc>
          <w:tcPr>
            <w:tcW w:w="151" w:type="pct"/>
            <w:vMerge w:val="continue"/>
            <w:tcBorders>
              <w:tl2br w:val="nil"/>
              <w:tr2bl w:val="nil"/>
            </w:tcBorders>
            <w:shd w:val="clear" w:color="auto" w:fill="FFFFFF"/>
            <w:vAlign w:val="center"/>
          </w:tcPr>
          <w:p w14:paraId="45EB0E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36F618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5696DC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6D9706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85</w:t>
            </w:r>
          </w:p>
        </w:tc>
        <w:tc>
          <w:tcPr>
            <w:tcW w:w="334" w:type="pct"/>
            <w:vMerge w:val="continue"/>
            <w:tcBorders>
              <w:tl2br w:val="nil"/>
              <w:tr2bl w:val="nil"/>
            </w:tcBorders>
            <w:shd w:val="clear" w:color="auto" w:fill="FFFFFF"/>
            <w:vAlign w:val="center"/>
          </w:tcPr>
          <w:p w14:paraId="4775F4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7070D3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0.43</w:t>
            </w:r>
          </w:p>
        </w:tc>
        <w:tc>
          <w:tcPr>
            <w:tcW w:w="230" w:type="pct"/>
            <w:tcBorders>
              <w:tl2br w:val="nil"/>
              <w:tr2bl w:val="nil"/>
            </w:tcBorders>
            <w:shd w:val="clear" w:color="auto" w:fill="FFFFFF"/>
            <w:vAlign w:val="center"/>
          </w:tcPr>
          <w:p w14:paraId="76DC33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-50.55</w:t>
            </w:r>
          </w:p>
        </w:tc>
        <w:tc>
          <w:tcPr>
            <w:tcW w:w="83" w:type="pct"/>
            <w:tcBorders>
              <w:tl2br w:val="nil"/>
              <w:tr2bl w:val="nil"/>
            </w:tcBorders>
            <w:shd w:val="clear" w:color="auto" w:fill="FFFFFF"/>
            <w:vAlign w:val="center"/>
          </w:tcPr>
          <w:p w14:paraId="4B9BC7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44B730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32.17</w:t>
            </w:r>
          </w:p>
        </w:tc>
        <w:tc>
          <w:tcPr>
            <w:tcW w:w="184" w:type="pct"/>
            <w:tcBorders>
              <w:tl2br w:val="nil"/>
              <w:tr2bl w:val="nil"/>
            </w:tcBorders>
            <w:shd w:val="clear" w:color="auto" w:fill="FFFFFF"/>
            <w:vAlign w:val="center"/>
          </w:tcPr>
          <w:p w14:paraId="44063E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50.31</w:t>
            </w:r>
          </w:p>
        </w:tc>
        <w:tc>
          <w:tcPr>
            <w:tcW w:w="184" w:type="pct"/>
            <w:tcBorders>
              <w:tl2br w:val="nil"/>
              <w:tr2bl w:val="nil"/>
            </w:tcBorders>
            <w:shd w:val="clear" w:color="auto" w:fill="FFFFFF"/>
            <w:vAlign w:val="center"/>
          </w:tcPr>
          <w:p w14:paraId="09760F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10.90</w:t>
            </w:r>
          </w:p>
        </w:tc>
        <w:tc>
          <w:tcPr>
            <w:tcW w:w="253" w:type="pct"/>
            <w:tcBorders>
              <w:tl2br w:val="nil"/>
              <w:tr2bl w:val="nil"/>
            </w:tcBorders>
            <w:shd w:val="clear" w:color="auto" w:fill="FFFFFF"/>
            <w:vAlign w:val="center"/>
          </w:tcPr>
          <w:p w14:paraId="1B6D7C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130.20</w:t>
            </w:r>
          </w:p>
        </w:tc>
        <w:tc>
          <w:tcPr>
            <w:tcW w:w="184" w:type="pct"/>
            <w:tcBorders>
              <w:tl2br w:val="nil"/>
              <w:tr2bl w:val="nil"/>
            </w:tcBorders>
            <w:shd w:val="clear" w:color="auto" w:fill="FFFFFF"/>
            <w:vAlign w:val="center"/>
          </w:tcPr>
          <w:p w14:paraId="4C1C1B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62.63</w:t>
            </w:r>
          </w:p>
        </w:tc>
        <w:tc>
          <w:tcPr>
            <w:tcW w:w="184" w:type="pct"/>
            <w:tcBorders>
              <w:tl2br w:val="nil"/>
              <w:tr2bl w:val="nil"/>
            </w:tcBorders>
            <w:shd w:val="clear" w:color="auto" w:fill="FFFFFF"/>
            <w:vAlign w:val="center"/>
          </w:tcPr>
          <w:p w14:paraId="02068C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58.75</w:t>
            </w:r>
          </w:p>
        </w:tc>
        <w:tc>
          <w:tcPr>
            <w:tcW w:w="184" w:type="pct"/>
            <w:tcBorders>
              <w:tl2br w:val="nil"/>
              <w:tr2bl w:val="nil"/>
            </w:tcBorders>
            <w:shd w:val="clear" w:color="auto" w:fill="FFFFFF"/>
            <w:vAlign w:val="center"/>
          </w:tcPr>
          <w:p w14:paraId="025FF4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72.03</w:t>
            </w:r>
          </w:p>
        </w:tc>
        <w:tc>
          <w:tcPr>
            <w:tcW w:w="222" w:type="pct"/>
            <w:tcBorders>
              <w:tl2br w:val="nil"/>
              <w:tr2bl w:val="nil"/>
            </w:tcBorders>
            <w:shd w:val="clear" w:color="auto" w:fill="FFFFFF"/>
            <w:vAlign w:val="center"/>
          </w:tcPr>
          <w:p w14:paraId="550CEB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50.49</w:t>
            </w:r>
          </w:p>
        </w:tc>
        <w:tc>
          <w:tcPr>
            <w:tcW w:w="138" w:type="pct"/>
            <w:vMerge w:val="continue"/>
            <w:tcBorders>
              <w:tl2br w:val="nil"/>
              <w:tr2bl w:val="nil"/>
            </w:tcBorders>
            <w:shd w:val="clear" w:color="auto" w:fill="FFFFFF"/>
            <w:vAlign w:val="center"/>
          </w:tcPr>
          <w:p w14:paraId="166ED1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116CDC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6B9C59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7DF85B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0BF782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6E6575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36.37</w:t>
            </w:r>
          </w:p>
        </w:tc>
        <w:tc>
          <w:tcPr>
            <w:tcW w:w="184" w:type="pct"/>
            <w:tcBorders>
              <w:tl2br w:val="nil"/>
              <w:tr2bl w:val="nil"/>
            </w:tcBorders>
            <w:shd w:val="clear" w:color="auto" w:fill="FFFFFF"/>
            <w:vAlign w:val="center"/>
          </w:tcPr>
          <w:p w14:paraId="6A652F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32.58</w:t>
            </w:r>
          </w:p>
        </w:tc>
        <w:tc>
          <w:tcPr>
            <w:tcW w:w="184" w:type="pct"/>
            <w:tcBorders>
              <w:tl2br w:val="nil"/>
              <w:tr2bl w:val="nil"/>
            </w:tcBorders>
            <w:shd w:val="clear" w:color="auto" w:fill="FFFFFF"/>
            <w:vAlign w:val="center"/>
          </w:tcPr>
          <w:p w14:paraId="19882B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45.27</w:t>
            </w:r>
          </w:p>
        </w:tc>
        <w:tc>
          <w:tcPr>
            <w:tcW w:w="184" w:type="pct"/>
            <w:tcBorders>
              <w:tl2br w:val="nil"/>
              <w:tr2bl w:val="nil"/>
            </w:tcBorders>
            <w:shd w:val="clear" w:color="auto" w:fill="FFFFFF"/>
            <w:vAlign w:val="center"/>
          </w:tcPr>
          <w:p w14:paraId="3652F8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24.42</w:t>
            </w:r>
          </w:p>
        </w:tc>
        <w:tc>
          <w:tcPr>
            <w:tcW w:w="204" w:type="pct"/>
            <w:tcBorders>
              <w:tl2br w:val="nil"/>
              <w:tr2bl w:val="nil"/>
            </w:tcBorders>
            <w:shd w:val="clear" w:color="auto" w:fill="FFFFFF"/>
            <w:vAlign w:val="center"/>
          </w:tcPr>
          <w:p w14:paraId="7EAED8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34C36D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7B3AB35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35</w:t>
            </w:r>
          </w:p>
        </w:tc>
        <w:tc>
          <w:tcPr>
            <w:tcW w:w="151" w:type="pct"/>
            <w:vMerge w:val="continue"/>
            <w:tcBorders>
              <w:tl2br w:val="nil"/>
              <w:tr2bl w:val="nil"/>
            </w:tcBorders>
            <w:shd w:val="clear" w:color="auto" w:fill="FFFFFF"/>
            <w:vAlign w:val="center"/>
          </w:tcPr>
          <w:p w14:paraId="327849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732343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044571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11DCF4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85</w:t>
            </w:r>
          </w:p>
        </w:tc>
        <w:tc>
          <w:tcPr>
            <w:tcW w:w="334" w:type="pct"/>
            <w:vMerge w:val="continue"/>
            <w:tcBorders>
              <w:tl2br w:val="nil"/>
              <w:tr2bl w:val="nil"/>
            </w:tcBorders>
            <w:shd w:val="clear" w:color="auto" w:fill="FFFFFF"/>
            <w:vAlign w:val="center"/>
          </w:tcPr>
          <w:p w14:paraId="3CD84B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490248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0.43</w:t>
            </w:r>
          </w:p>
        </w:tc>
        <w:tc>
          <w:tcPr>
            <w:tcW w:w="230" w:type="pct"/>
            <w:tcBorders>
              <w:tl2br w:val="nil"/>
              <w:tr2bl w:val="nil"/>
            </w:tcBorders>
            <w:shd w:val="clear" w:color="auto" w:fill="FFFFFF"/>
            <w:vAlign w:val="center"/>
          </w:tcPr>
          <w:p w14:paraId="3491B4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-50.55</w:t>
            </w:r>
          </w:p>
        </w:tc>
        <w:tc>
          <w:tcPr>
            <w:tcW w:w="83" w:type="pct"/>
            <w:tcBorders>
              <w:tl2br w:val="nil"/>
              <w:tr2bl w:val="nil"/>
            </w:tcBorders>
            <w:shd w:val="clear" w:color="auto" w:fill="FFFFFF"/>
            <w:vAlign w:val="center"/>
          </w:tcPr>
          <w:p w14:paraId="1EB054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492E0E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32.17</w:t>
            </w:r>
          </w:p>
        </w:tc>
        <w:tc>
          <w:tcPr>
            <w:tcW w:w="184" w:type="pct"/>
            <w:tcBorders>
              <w:tl2br w:val="nil"/>
              <w:tr2bl w:val="nil"/>
            </w:tcBorders>
            <w:shd w:val="clear" w:color="auto" w:fill="FFFFFF"/>
            <w:vAlign w:val="center"/>
          </w:tcPr>
          <w:p w14:paraId="161F72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50.31</w:t>
            </w:r>
          </w:p>
        </w:tc>
        <w:tc>
          <w:tcPr>
            <w:tcW w:w="184" w:type="pct"/>
            <w:tcBorders>
              <w:tl2br w:val="nil"/>
              <w:tr2bl w:val="nil"/>
            </w:tcBorders>
            <w:shd w:val="clear" w:color="auto" w:fill="FFFFFF"/>
            <w:vAlign w:val="center"/>
          </w:tcPr>
          <w:p w14:paraId="1C8B87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10.90</w:t>
            </w:r>
          </w:p>
        </w:tc>
        <w:tc>
          <w:tcPr>
            <w:tcW w:w="253" w:type="pct"/>
            <w:tcBorders>
              <w:tl2br w:val="nil"/>
              <w:tr2bl w:val="nil"/>
            </w:tcBorders>
            <w:shd w:val="clear" w:color="auto" w:fill="FFFFFF"/>
            <w:vAlign w:val="center"/>
          </w:tcPr>
          <w:p w14:paraId="5374A7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130.20</w:t>
            </w:r>
          </w:p>
        </w:tc>
        <w:tc>
          <w:tcPr>
            <w:tcW w:w="184" w:type="pct"/>
            <w:tcBorders>
              <w:tl2br w:val="nil"/>
              <w:tr2bl w:val="nil"/>
            </w:tcBorders>
            <w:shd w:val="clear" w:color="auto" w:fill="FFFFFF"/>
            <w:vAlign w:val="center"/>
          </w:tcPr>
          <w:p w14:paraId="3861DF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62.63</w:t>
            </w:r>
          </w:p>
        </w:tc>
        <w:tc>
          <w:tcPr>
            <w:tcW w:w="184" w:type="pct"/>
            <w:tcBorders>
              <w:tl2br w:val="nil"/>
              <w:tr2bl w:val="nil"/>
            </w:tcBorders>
            <w:shd w:val="clear" w:color="auto" w:fill="FFFFFF"/>
            <w:vAlign w:val="center"/>
          </w:tcPr>
          <w:p w14:paraId="79845F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58.75</w:t>
            </w:r>
          </w:p>
        </w:tc>
        <w:tc>
          <w:tcPr>
            <w:tcW w:w="184" w:type="pct"/>
            <w:tcBorders>
              <w:tl2br w:val="nil"/>
              <w:tr2bl w:val="nil"/>
            </w:tcBorders>
            <w:shd w:val="clear" w:color="auto" w:fill="FFFFFF"/>
            <w:vAlign w:val="center"/>
          </w:tcPr>
          <w:p w14:paraId="40F656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72.03</w:t>
            </w:r>
          </w:p>
        </w:tc>
        <w:tc>
          <w:tcPr>
            <w:tcW w:w="222" w:type="pct"/>
            <w:tcBorders>
              <w:tl2br w:val="nil"/>
              <w:tr2bl w:val="nil"/>
            </w:tcBorders>
            <w:shd w:val="clear" w:color="auto" w:fill="FFFFFF"/>
            <w:vAlign w:val="center"/>
          </w:tcPr>
          <w:p w14:paraId="419E7A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50.49</w:t>
            </w:r>
          </w:p>
        </w:tc>
        <w:tc>
          <w:tcPr>
            <w:tcW w:w="138" w:type="pct"/>
            <w:vMerge w:val="continue"/>
            <w:tcBorders>
              <w:tl2br w:val="nil"/>
              <w:tr2bl w:val="nil"/>
            </w:tcBorders>
            <w:shd w:val="clear" w:color="auto" w:fill="FFFFFF"/>
            <w:vAlign w:val="center"/>
          </w:tcPr>
          <w:p w14:paraId="10938F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6A8F62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79AE0C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028606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41A925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459D56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36.37</w:t>
            </w:r>
          </w:p>
        </w:tc>
        <w:tc>
          <w:tcPr>
            <w:tcW w:w="184" w:type="pct"/>
            <w:tcBorders>
              <w:tl2br w:val="nil"/>
              <w:tr2bl w:val="nil"/>
            </w:tcBorders>
            <w:shd w:val="clear" w:color="auto" w:fill="FFFFFF"/>
            <w:vAlign w:val="center"/>
          </w:tcPr>
          <w:p w14:paraId="3EB0D7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32.58</w:t>
            </w:r>
          </w:p>
        </w:tc>
        <w:tc>
          <w:tcPr>
            <w:tcW w:w="184" w:type="pct"/>
            <w:tcBorders>
              <w:tl2br w:val="nil"/>
              <w:tr2bl w:val="nil"/>
            </w:tcBorders>
            <w:shd w:val="clear" w:color="auto" w:fill="FFFFFF"/>
            <w:vAlign w:val="center"/>
          </w:tcPr>
          <w:p w14:paraId="2D2BD6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45.27</w:t>
            </w:r>
          </w:p>
        </w:tc>
        <w:tc>
          <w:tcPr>
            <w:tcW w:w="184" w:type="pct"/>
            <w:tcBorders>
              <w:tl2br w:val="nil"/>
              <w:tr2bl w:val="nil"/>
            </w:tcBorders>
            <w:shd w:val="clear" w:color="auto" w:fill="FFFFFF"/>
            <w:vAlign w:val="center"/>
          </w:tcPr>
          <w:p w14:paraId="2152FD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24.42</w:t>
            </w:r>
          </w:p>
        </w:tc>
        <w:tc>
          <w:tcPr>
            <w:tcW w:w="204" w:type="pct"/>
            <w:tcBorders>
              <w:tl2br w:val="nil"/>
              <w:tr2bl w:val="nil"/>
            </w:tcBorders>
            <w:shd w:val="clear" w:color="auto" w:fill="FFFFFF"/>
            <w:vAlign w:val="center"/>
          </w:tcPr>
          <w:p w14:paraId="37E399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666E58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11EB9A7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36</w:t>
            </w:r>
          </w:p>
        </w:tc>
        <w:tc>
          <w:tcPr>
            <w:tcW w:w="151" w:type="pct"/>
            <w:vMerge w:val="continue"/>
            <w:tcBorders>
              <w:tl2br w:val="nil"/>
              <w:tr2bl w:val="nil"/>
            </w:tcBorders>
            <w:shd w:val="clear" w:color="auto" w:fill="FFFFFF"/>
            <w:vAlign w:val="center"/>
          </w:tcPr>
          <w:p w14:paraId="6D58CF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178DF8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6A94C7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367222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85</w:t>
            </w:r>
          </w:p>
        </w:tc>
        <w:tc>
          <w:tcPr>
            <w:tcW w:w="334" w:type="pct"/>
            <w:vMerge w:val="continue"/>
            <w:tcBorders>
              <w:tl2br w:val="nil"/>
              <w:tr2bl w:val="nil"/>
            </w:tcBorders>
            <w:shd w:val="clear" w:color="auto" w:fill="FFFFFF"/>
            <w:vAlign w:val="center"/>
          </w:tcPr>
          <w:p w14:paraId="620BB4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76A12E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0.43</w:t>
            </w:r>
          </w:p>
        </w:tc>
        <w:tc>
          <w:tcPr>
            <w:tcW w:w="230" w:type="pct"/>
            <w:tcBorders>
              <w:tl2br w:val="nil"/>
              <w:tr2bl w:val="nil"/>
            </w:tcBorders>
            <w:shd w:val="clear" w:color="auto" w:fill="FFFFFF"/>
            <w:vAlign w:val="center"/>
          </w:tcPr>
          <w:p w14:paraId="4E0CE7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-50.55</w:t>
            </w:r>
          </w:p>
        </w:tc>
        <w:tc>
          <w:tcPr>
            <w:tcW w:w="83" w:type="pct"/>
            <w:tcBorders>
              <w:tl2br w:val="nil"/>
              <w:tr2bl w:val="nil"/>
            </w:tcBorders>
            <w:shd w:val="clear" w:color="auto" w:fill="FFFFFF"/>
            <w:vAlign w:val="center"/>
          </w:tcPr>
          <w:p w14:paraId="0E46B6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031304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32.17</w:t>
            </w:r>
          </w:p>
        </w:tc>
        <w:tc>
          <w:tcPr>
            <w:tcW w:w="184" w:type="pct"/>
            <w:tcBorders>
              <w:tl2br w:val="nil"/>
              <w:tr2bl w:val="nil"/>
            </w:tcBorders>
            <w:shd w:val="clear" w:color="auto" w:fill="FFFFFF"/>
            <w:vAlign w:val="center"/>
          </w:tcPr>
          <w:p w14:paraId="66F944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50.31</w:t>
            </w:r>
          </w:p>
        </w:tc>
        <w:tc>
          <w:tcPr>
            <w:tcW w:w="184" w:type="pct"/>
            <w:tcBorders>
              <w:tl2br w:val="nil"/>
              <w:tr2bl w:val="nil"/>
            </w:tcBorders>
            <w:shd w:val="clear" w:color="auto" w:fill="FFFFFF"/>
            <w:vAlign w:val="center"/>
          </w:tcPr>
          <w:p w14:paraId="56CC2F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10.90</w:t>
            </w:r>
          </w:p>
        </w:tc>
        <w:tc>
          <w:tcPr>
            <w:tcW w:w="253" w:type="pct"/>
            <w:tcBorders>
              <w:tl2br w:val="nil"/>
              <w:tr2bl w:val="nil"/>
            </w:tcBorders>
            <w:shd w:val="clear" w:color="auto" w:fill="FFFFFF"/>
            <w:vAlign w:val="center"/>
          </w:tcPr>
          <w:p w14:paraId="2EB9EE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130.20</w:t>
            </w:r>
          </w:p>
        </w:tc>
        <w:tc>
          <w:tcPr>
            <w:tcW w:w="184" w:type="pct"/>
            <w:tcBorders>
              <w:tl2br w:val="nil"/>
              <w:tr2bl w:val="nil"/>
            </w:tcBorders>
            <w:shd w:val="clear" w:color="auto" w:fill="FFFFFF"/>
            <w:vAlign w:val="center"/>
          </w:tcPr>
          <w:p w14:paraId="60F6FF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62.63</w:t>
            </w:r>
          </w:p>
        </w:tc>
        <w:tc>
          <w:tcPr>
            <w:tcW w:w="184" w:type="pct"/>
            <w:tcBorders>
              <w:tl2br w:val="nil"/>
              <w:tr2bl w:val="nil"/>
            </w:tcBorders>
            <w:shd w:val="clear" w:color="auto" w:fill="FFFFFF"/>
            <w:vAlign w:val="center"/>
          </w:tcPr>
          <w:p w14:paraId="3382EF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58.75</w:t>
            </w:r>
          </w:p>
        </w:tc>
        <w:tc>
          <w:tcPr>
            <w:tcW w:w="184" w:type="pct"/>
            <w:tcBorders>
              <w:tl2br w:val="nil"/>
              <w:tr2bl w:val="nil"/>
            </w:tcBorders>
            <w:shd w:val="clear" w:color="auto" w:fill="FFFFFF"/>
            <w:vAlign w:val="center"/>
          </w:tcPr>
          <w:p w14:paraId="553A6B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72.03</w:t>
            </w:r>
          </w:p>
        </w:tc>
        <w:tc>
          <w:tcPr>
            <w:tcW w:w="222" w:type="pct"/>
            <w:tcBorders>
              <w:tl2br w:val="nil"/>
              <w:tr2bl w:val="nil"/>
            </w:tcBorders>
            <w:shd w:val="clear" w:color="auto" w:fill="FFFFFF"/>
            <w:vAlign w:val="center"/>
          </w:tcPr>
          <w:p w14:paraId="5E4F2D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50.49</w:t>
            </w:r>
          </w:p>
        </w:tc>
        <w:tc>
          <w:tcPr>
            <w:tcW w:w="138" w:type="pct"/>
            <w:vMerge w:val="continue"/>
            <w:tcBorders>
              <w:tl2br w:val="nil"/>
              <w:tr2bl w:val="nil"/>
            </w:tcBorders>
            <w:shd w:val="clear" w:color="auto" w:fill="FFFFFF"/>
            <w:vAlign w:val="center"/>
          </w:tcPr>
          <w:p w14:paraId="095A58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02CF84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2E503D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4366D9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375156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6C88B9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36.37</w:t>
            </w:r>
          </w:p>
        </w:tc>
        <w:tc>
          <w:tcPr>
            <w:tcW w:w="184" w:type="pct"/>
            <w:tcBorders>
              <w:tl2br w:val="nil"/>
              <w:tr2bl w:val="nil"/>
            </w:tcBorders>
            <w:shd w:val="clear" w:color="auto" w:fill="FFFFFF"/>
            <w:vAlign w:val="center"/>
          </w:tcPr>
          <w:p w14:paraId="4D206D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32.58</w:t>
            </w:r>
          </w:p>
        </w:tc>
        <w:tc>
          <w:tcPr>
            <w:tcW w:w="184" w:type="pct"/>
            <w:tcBorders>
              <w:tl2br w:val="nil"/>
              <w:tr2bl w:val="nil"/>
            </w:tcBorders>
            <w:shd w:val="clear" w:color="auto" w:fill="FFFFFF"/>
            <w:vAlign w:val="center"/>
          </w:tcPr>
          <w:p w14:paraId="717AE6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45.27</w:t>
            </w:r>
          </w:p>
        </w:tc>
        <w:tc>
          <w:tcPr>
            <w:tcW w:w="184" w:type="pct"/>
            <w:tcBorders>
              <w:tl2br w:val="nil"/>
              <w:tr2bl w:val="nil"/>
            </w:tcBorders>
            <w:shd w:val="clear" w:color="auto" w:fill="FFFFFF"/>
            <w:vAlign w:val="center"/>
          </w:tcPr>
          <w:p w14:paraId="3E0460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24.42</w:t>
            </w:r>
          </w:p>
        </w:tc>
        <w:tc>
          <w:tcPr>
            <w:tcW w:w="204" w:type="pct"/>
            <w:tcBorders>
              <w:tl2br w:val="nil"/>
              <w:tr2bl w:val="nil"/>
            </w:tcBorders>
            <w:shd w:val="clear" w:color="auto" w:fill="FFFFFF"/>
            <w:vAlign w:val="center"/>
          </w:tcPr>
          <w:p w14:paraId="0EFEB2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default" w:ascii="Times New Roman" w:hAnsi="Times New Roman" w:eastAsia="宋体" w:cs="Times New Roman"/>
                <w:color w:val="auto"/>
                <w:spacing w:val="0"/>
                <w:w w:val="100"/>
                <w:position w:val="0"/>
                <w:sz w:val="18"/>
                <w:szCs w:val="18"/>
                <w:lang w:val="en-US" w:eastAsia="zh-CN"/>
              </w:rPr>
              <w:t>1</w:t>
            </w:r>
          </w:p>
        </w:tc>
      </w:tr>
      <w:tr w14:paraId="1C9471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0A7B46A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37</w:t>
            </w:r>
          </w:p>
        </w:tc>
        <w:tc>
          <w:tcPr>
            <w:tcW w:w="151" w:type="pct"/>
            <w:vMerge w:val="continue"/>
            <w:tcBorders>
              <w:tl2br w:val="nil"/>
              <w:tr2bl w:val="nil"/>
            </w:tcBorders>
            <w:shd w:val="clear" w:color="auto" w:fill="FFFFFF"/>
            <w:vAlign w:val="center"/>
          </w:tcPr>
          <w:p w14:paraId="2C08F5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restart"/>
            <w:tcBorders>
              <w:tl2br w:val="nil"/>
              <w:tr2bl w:val="nil"/>
            </w:tcBorders>
            <w:shd w:val="clear" w:color="auto" w:fill="FFFFFF"/>
            <w:vAlign w:val="center"/>
          </w:tcPr>
          <w:p w14:paraId="00498F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cs="Times New Roman"/>
                <w:color w:val="auto"/>
                <w:spacing w:val="0"/>
                <w:w w:val="100"/>
                <w:position w:val="0"/>
                <w:sz w:val="18"/>
                <w:szCs w:val="18"/>
                <w:highlight w:val="none"/>
                <w:lang w:val="en-US" w:eastAsia="zh-CN"/>
              </w:rPr>
              <w:t>保护膜贴膜装置</w:t>
            </w:r>
          </w:p>
        </w:tc>
        <w:tc>
          <w:tcPr>
            <w:tcW w:w="104" w:type="pct"/>
            <w:tcBorders>
              <w:tl2br w:val="nil"/>
              <w:tr2bl w:val="nil"/>
            </w:tcBorders>
            <w:shd w:val="clear" w:color="auto" w:fill="FFFFFF"/>
            <w:vAlign w:val="center"/>
          </w:tcPr>
          <w:p w14:paraId="4A78EE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23E53F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85</w:t>
            </w:r>
          </w:p>
        </w:tc>
        <w:tc>
          <w:tcPr>
            <w:tcW w:w="334" w:type="pct"/>
            <w:vMerge w:val="continue"/>
            <w:tcBorders>
              <w:tl2br w:val="nil"/>
              <w:tr2bl w:val="nil"/>
            </w:tcBorders>
            <w:shd w:val="clear" w:color="auto" w:fill="FFFFFF"/>
            <w:vAlign w:val="center"/>
          </w:tcPr>
          <w:p w14:paraId="75E174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129693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-7.71</w:t>
            </w:r>
          </w:p>
        </w:tc>
        <w:tc>
          <w:tcPr>
            <w:tcW w:w="230" w:type="pct"/>
            <w:tcBorders>
              <w:tl2br w:val="nil"/>
              <w:tr2bl w:val="nil"/>
            </w:tcBorders>
            <w:shd w:val="clear" w:color="auto" w:fill="FFFFFF"/>
            <w:vAlign w:val="center"/>
          </w:tcPr>
          <w:p w14:paraId="32758A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-26.56</w:t>
            </w:r>
          </w:p>
        </w:tc>
        <w:tc>
          <w:tcPr>
            <w:tcW w:w="83" w:type="pct"/>
            <w:tcBorders>
              <w:tl2br w:val="nil"/>
              <w:tr2bl w:val="nil"/>
            </w:tcBorders>
            <w:shd w:val="clear" w:color="auto" w:fill="FFFFFF"/>
            <w:vAlign w:val="center"/>
          </w:tcPr>
          <w:p w14:paraId="7D071C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789E87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34.40</w:t>
            </w:r>
          </w:p>
        </w:tc>
        <w:tc>
          <w:tcPr>
            <w:tcW w:w="184" w:type="pct"/>
            <w:tcBorders>
              <w:tl2br w:val="nil"/>
              <w:tr2bl w:val="nil"/>
            </w:tcBorders>
            <w:shd w:val="clear" w:color="auto" w:fill="FFFFFF"/>
            <w:vAlign w:val="center"/>
          </w:tcPr>
          <w:p w14:paraId="03EB06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36.64</w:t>
            </w:r>
          </w:p>
        </w:tc>
        <w:tc>
          <w:tcPr>
            <w:tcW w:w="184" w:type="pct"/>
            <w:tcBorders>
              <w:tl2br w:val="nil"/>
              <w:tr2bl w:val="nil"/>
            </w:tcBorders>
            <w:shd w:val="clear" w:color="auto" w:fill="FFFFFF"/>
            <w:vAlign w:val="center"/>
          </w:tcPr>
          <w:p w14:paraId="5A2903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7.94</w:t>
            </w:r>
          </w:p>
        </w:tc>
        <w:tc>
          <w:tcPr>
            <w:tcW w:w="253" w:type="pct"/>
            <w:tcBorders>
              <w:tl2br w:val="nil"/>
              <w:tr2bl w:val="nil"/>
            </w:tcBorders>
            <w:shd w:val="clear" w:color="auto" w:fill="FFFFFF"/>
            <w:vAlign w:val="center"/>
          </w:tcPr>
          <w:p w14:paraId="6BB5FA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134.28</w:t>
            </w:r>
          </w:p>
        </w:tc>
        <w:tc>
          <w:tcPr>
            <w:tcW w:w="184" w:type="pct"/>
            <w:tcBorders>
              <w:tl2br w:val="nil"/>
              <w:tr2bl w:val="nil"/>
            </w:tcBorders>
            <w:shd w:val="clear" w:color="auto" w:fill="FFFFFF"/>
            <w:vAlign w:val="center"/>
          </w:tcPr>
          <w:p w14:paraId="5FED48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60.29</w:t>
            </w:r>
          </w:p>
        </w:tc>
        <w:tc>
          <w:tcPr>
            <w:tcW w:w="184" w:type="pct"/>
            <w:tcBorders>
              <w:tl2br w:val="nil"/>
              <w:tr2bl w:val="nil"/>
            </w:tcBorders>
            <w:shd w:val="clear" w:color="auto" w:fill="FFFFFF"/>
            <w:vAlign w:val="center"/>
          </w:tcPr>
          <w:p w14:paraId="0D4D41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59.74</w:t>
            </w:r>
          </w:p>
        </w:tc>
        <w:tc>
          <w:tcPr>
            <w:tcW w:w="184" w:type="pct"/>
            <w:tcBorders>
              <w:tl2br w:val="nil"/>
              <w:tr2bl w:val="nil"/>
            </w:tcBorders>
            <w:shd w:val="clear" w:color="auto" w:fill="FFFFFF"/>
            <w:vAlign w:val="center"/>
          </w:tcPr>
          <w:p w14:paraId="036083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73.02</w:t>
            </w:r>
          </w:p>
        </w:tc>
        <w:tc>
          <w:tcPr>
            <w:tcW w:w="222" w:type="pct"/>
            <w:tcBorders>
              <w:tl2br w:val="nil"/>
              <w:tr2bl w:val="nil"/>
            </w:tcBorders>
            <w:shd w:val="clear" w:color="auto" w:fill="FFFFFF"/>
            <w:vAlign w:val="center"/>
          </w:tcPr>
          <w:p w14:paraId="506E5F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48.46</w:t>
            </w:r>
          </w:p>
        </w:tc>
        <w:tc>
          <w:tcPr>
            <w:tcW w:w="138" w:type="pct"/>
            <w:vMerge w:val="continue"/>
            <w:tcBorders>
              <w:tl2br w:val="nil"/>
              <w:tr2bl w:val="nil"/>
            </w:tcBorders>
            <w:shd w:val="clear" w:color="auto" w:fill="FFFFFF"/>
            <w:vAlign w:val="center"/>
          </w:tcPr>
          <w:p w14:paraId="598D94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512A53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65A845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1FFFAB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66E12D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123EE5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34.04</w:t>
            </w:r>
          </w:p>
        </w:tc>
        <w:tc>
          <w:tcPr>
            <w:tcW w:w="184" w:type="pct"/>
            <w:tcBorders>
              <w:tl2br w:val="nil"/>
              <w:tr2bl w:val="nil"/>
            </w:tcBorders>
            <w:shd w:val="clear" w:color="auto" w:fill="FFFFFF"/>
            <w:vAlign w:val="center"/>
          </w:tcPr>
          <w:p w14:paraId="7A732C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33.51</w:t>
            </w:r>
          </w:p>
        </w:tc>
        <w:tc>
          <w:tcPr>
            <w:tcW w:w="184" w:type="pct"/>
            <w:tcBorders>
              <w:tl2br w:val="nil"/>
              <w:tr2bl w:val="nil"/>
            </w:tcBorders>
            <w:shd w:val="clear" w:color="auto" w:fill="FFFFFF"/>
            <w:vAlign w:val="center"/>
          </w:tcPr>
          <w:p w14:paraId="7BFD2B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45.99</w:t>
            </w:r>
          </w:p>
        </w:tc>
        <w:tc>
          <w:tcPr>
            <w:tcW w:w="184" w:type="pct"/>
            <w:tcBorders>
              <w:tl2br w:val="nil"/>
              <w:tr2bl w:val="nil"/>
            </w:tcBorders>
            <w:shd w:val="clear" w:color="auto" w:fill="FFFFFF"/>
            <w:vAlign w:val="center"/>
          </w:tcPr>
          <w:p w14:paraId="344F44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22.40</w:t>
            </w:r>
          </w:p>
        </w:tc>
        <w:tc>
          <w:tcPr>
            <w:tcW w:w="204" w:type="pct"/>
            <w:tcBorders>
              <w:tl2br w:val="nil"/>
              <w:tr2bl w:val="nil"/>
            </w:tcBorders>
            <w:shd w:val="clear" w:color="auto" w:fill="FFFFFF"/>
            <w:vAlign w:val="center"/>
          </w:tcPr>
          <w:p w14:paraId="474488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6BBC76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5C0BDFC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38</w:t>
            </w:r>
          </w:p>
        </w:tc>
        <w:tc>
          <w:tcPr>
            <w:tcW w:w="151" w:type="pct"/>
            <w:vMerge w:val="continue"/>
            <w:tcBorders>
              <w:tl2br w:val="nil"/>
              <w:tr2bl w:val="nil"/>
            </w:tcBorders>
            <w:shd w:val="clear" w:color="auto" w:fill="FFFFFF"/>
            <w:vAlign w:val="center"/>
          </w:tcPr>
          <w:p w14:paraId="1DCF3E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1C953D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pacing w:val="0"/>
                <w:w w:val="100"/>
                <w:position w:val="0"/>
                <w:sz w:val="18"/>
                <w:szCs w:val="18"/>
                <w:highlight w:val="none"/>
                <w:lang w:val="en-US" w:eastAsia="zh-CN"/>
              </w:rPr>
            </w:pPr>
          </w:p>
        </w:tc>
        <w:tc>
          <w:tcPr>
            <w:tcW w:w="104" w:type="pct"/>
            <w:tcBorders>
              <w:tl2br w:val="nil"/>
              <w:tr2bl w:val="nil"/>
            </w:tcBorders>
            <w:shd w:val="clear" w:color="auto" w:fill="FFFFFF"/>
            <w:vAlign w:val="center"/>
          </w:tcPr>
          <w:p w14:paraId="2DB8D1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4126FA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85</w:t>
            </w:r>
          </w:p>
        </w:tc>
        <w:tc>
          <w:tcPr>
            <w:tcW w:w="334" w:type="pct"/>
            <w:vMerge w:val="continue"/>
            <w:tcBorders>
              <w:tl2br w:val="nil"/>
              <w:tr2bl w:val="nil"/>
            </w:tcBorders>
            <w:shd w:val="clear" w:color="auto" w:fill="FFFFFF"/>
            <w:vAlign w:val="center"/>
          </w:tcPr>
          <w:p w14:paraId="458430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0F99D6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-7.71</w:t>
            </w:r>
          </w:p>
        </w:tc>
        <w:tc>
          <w:tcPr>
            <w:tcW w:w="230" w:type="pct"/>
            <w:tcBorders>
              <w:tl2br w:val="nil"/>
              <w:tr2bl w:val="nil"/>
            </w:tcBorders>
            <w:shd w:val="clear" w:color="auto" w:fill="FFFFFF"/>
            <w:vAlign w:val="center"/>
          </w:tcPr>
          <w:p w14:paraId="336C05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-26.56</w:t>
            </w:r>
          </w:p>
        </w:tc>
        <w:tc>
          <w:tcPr>
            <w:tcW w:w="83" w:type="pct"/>
            <w:tcBorders>
              <w:tl2br w:val="nil"/>
              <w:tr2bl w:val="nil"/>
            </w:tcBorders>
            <w:shd w:val="clear" w:color="auto" w:fill="FFFFFF"/>
            <w:vAlign w:val="center"/>
          </w:tcPr>
          <w:p w14:paraId="48C6F6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0625D8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34.40</w:t>
            </w:r>
          </w:p>
        </w:tc>
        <w:tc>
          <w:tcPr>
            <w:tcW w:w="184" w:type="pct"/>
            <w:tcBorders>
              <w:tl2br w:val="nil"/>
              <w:tr2bl w:val="nil"/>
            </w:tcBorders>
            <w:shd w:val="clear" w:color="auto" w:fill="FFFFFF"/>
            <w:vAlign w:val="center"/>
          </w:tcPr>
          <w:p w14:paraId="3929D7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36.64</w:t>
            </w:r>
          </w:p>
        </w:tc>
        <w:tc>
          <w:tcPr>
            <w:tcW w:w="184" w:type="pct"/>
            <w:tcBorders>
              <w:tl2br w:val="nil"/>
              <w:tr2bl w:val="nil"/>
            </w:tcBorders>
            <w:shd w:val="clear" w:color="auto" w:fill="FFFFFF"/>
            <w:vAlign w:val="center"/>
          </w:tcPr>
          <w:p w14:paraId="3D12C7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7.94</w:t>
            </w:r>
          </w:p>
        </w:tc>
        <w:tc>
          <w:tcPr>
            <w:tcW w:w="253" w:type="pct"/>
            <w:tcBorders>
              <w:tl2br w:val="nil"/>
              <w:tr2bl w:val="nil"/>
            </w:tcBorders>
            <w:shd w:val="clear" w:color="auto" w:fill="FFFFFF"/>
            <w:vAlign w:val="center"/>
          </w:tcPr>
          <w:p w14:paraId="075832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134.28</w:t>
            </w:r>
          </w:p>
        </w:tc>
        <w:tc>
          <w:tcPr>
            <w:tcW w:w="184" w:type="pct"/>
            <w:tcBorders>
              <w:tl2br w:val="nil"/>
              <w:tr2bl w:val="nil"/>
            </w:tcBorders>
            <w:shd w:val="clear" w:color="auto" w:fill="FFFFFF"/>
            <w:vAlign w:val="center"/>
          </w:tcPr>
          <w:p w14:paraId="2B1D9C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60.29</w:t>
            </w:r>
          </w:p>
        </w:tc>
        <w:tc>
          <w:tcPr>
            <w:tcW w:w="184" w:type="pct"/>
            <w:tcBorders>
              <w:tl2br w:val="nil"/>
              <w:tr2bl w:val="nil"/>
            </w:tcBorders>
            <w:shd w:val="clear" w:color="auto" w:fill="FFFFFF"/>
            <w:vAlign w:val="center"/>
          </w:tcPr>
          <w:p w14:paraId="50D7B4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59.74</w:t>
            </w:r>
          </w:p>
        </w:tc>
        <w:tc>
          <w:tcPr>
            <w:tcW w:w="184" w:type="pct"/>
            <w:tcBorders>
              <w:tl2br w:val="nil"/>
              <w:tr2bl w:val="nil"/>
            </w:tcBorders>
            <w:shd w:val="clear" w:color="auto" w:fill="FFFFFF"/>
            <w:vAlign w:val="center"/>
          </w:tcPr>
          <w:p w14:paraId="6223FA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73.02</w:t>
            </w:r>
          </w:p>
        </w:tc>
        <w:tc>
          <w:tcPr>
            <w:tcW w:w="222" w:type="pct"/>
            <w:tcBorders>
              <w:tl2br w:val="nil"/>
              <w:tr2bl w:val="nil"/>
            </w:tcBorders>
            <w:shd w:val="clear" w:color="auto" w:fill="FFFFFF"/>
            <w:vAlign w:val="center"/>
          </w:tcPr>
          <w:p w14:paraId="2B9CE4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48.46</w:t>
            </w:r>
          </w:p>
        </w:tc>
        <w:tc>
          <w:tcPr>
            <w:tcW w:w="138" w:type="pct"/>
            <w:vMerge w:val="continue"/>
            <w:tcBorders>
              <w:tl2br w:val="nil"/>
              <w:tr2bl w:val="nil"/>
            </w:tcBorders>
            <w:shd w:val="clear" w:color="auto" w:fill="FFFFFF"/>
            <w:vAlign w:val="center"/>
          </w:tcPr>
          <w:p w14:paraId="479C9F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6BEEBC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5A0F6B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121477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6B4166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5E9C69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34.04</w:t>
            </w:r>
          </w:p>
        </w:tc>
        <w:tc>
          <w:tcPr>
            <w:tcW w:w="184" w:type="pct"/>
            <w:tcBorders>
              <w:tl2br w:val="nil"/>
              <w:tr2bl w:val="nil"/>
            </w:tcBorders>
            <w:shd w:val="clear" w:color="auto" w:fill="FFFFFF"/>
            <w:vAlign w:val="center"/>
          </w:tcPr>
          <w:p w14:paraId="313414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33.51</w:t>
            </w:r>
          </w:p>
        </w:tc>
        <w:tc>
          <w:tcPr>
            <w:tcW w:w="184" w:type="pct"/>
            <w:tcBorders>
              <w:tl2br w:val="nil"/>
              <w:tr2bl w:val="nil"/>
            </w:tcBorders>
            <w:shd w:val="clear" w:color="auto" w:fill="FFFFFF"/>
            <w:vAlign w:val="center"/>
          </w:tcPr>
          <w:p w14:paraId="3C7E5C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45.99</w:t>
            </w:r>
          </w:p>
        </w:tc>
        <w:tc>
          <w:tcPr>
            <w:tcW w:w="184" w:type="pct"/>
            <w:tcBorders>
              <w:tl2br w:val="nil"/>
              <w:tr2bl w:val="nil"/>
            </w:tcBorders>
            <w:shd w:val="clear" w:color="auto" w:fill="FFFFFF"/>
            <w:vAlign w:val="center"/>
          </w:tcPr>
          <w:p w14:paraId="53E32C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22.40</w:t>
            </w:r>
          </w:p>
        </w:tc>
        <w:tc>
          <w:tcPr>
            <w:tcW w:w="204" w:type="pct"/>
            <w:tcBorders>
              <w:tl2br w:val="nil"/>
              <w:tr2bl w:val="nil"/>
            </w:tcBorders>
            <w:shd w:val="clear" w:color="auto" w:fill="FFFFFF"/>
            <w:vAlign w:val="center"/>
          </w:tcPr>
          <w:p w14:paraId="5D1D21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default" w:ascii="Times New Roman" w:hAnsi="Times New Roman" w:eastAsia="宋体" w:cs="Times New Roman"/>
                <w:color w:val="auto"/>
                <w:spacing w:val="0"/>
                <w:w w:val="100"/>
                <w:position w:val="0"/>
                <w:sz w:val="18"/>
                <w:szCs w:val="18"/>
                <w:lang w:val="en-US" w:eastAsia="zh-CN"/>
              </w:rPr>
              <w:t>1</w:t>
            </w:r>
          </w:p>
        </w:tc>
      </w:tr>
      <w:tr w14:paraId="49DE4B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3A9D439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39</w:t>
            </w:r>
          </w:p>
        </w:tc>
        <w:tc>
          <w:tcPr>
            <w:tcW w:w="151" w:type="pct"/>
            <w:vMerge w:val="continue"/>
            <w:tcBorders>
              <w:tl2br w:val="nil"/>
              <w:tr2bl w:val="nil"/>
            </w:tcBorders>
            <w:shd w:val="clear" w:color="auto" w:fill="FFFFFF"/>
            <w:vAlign w:val="center"/>
          </w:tcPr>
          <w:p w14:paraId="2ABA2D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3F7427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pacing w:val="0"/>
                <w:w w:val="100"/>
                <w:position w:val="0"/>
                <w:sz w:val="18"/>
                <w:szCs w:val="18"/>
                <w:highlight w:val="none"/>
                <w:lang w:val="en-US" w:eastAsia="zh-CN"/>
              </w:rPr>
            </w:pPr>
          </w:p>
        </w:tc>
        <w:tc>
          <w:tcPr>
            <w:tcW w:w="104" w:type="pct"/>
            <w:tcBorders>
              <w:tl2br w:val="nil"/>
              <w:tr2bl w:val="nil"/>
            </w:tcBorders>
            <w:shd w:val="clear" w:color="auto" w:fill="FFFFFF"/>
            <w:vAlign w:val="center"/>
          </w:tcPr>
          <w:p w14:paraId="079A48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313940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85</w:t>
            </w:r>
          </w:p>
        </w:tc>
        <w:tc>
          <w:tcPr>
            <w:tcW w:w="334" w:type="pct"/>
            <w:vMerge w:val="continue"/>
            <w:tcBorders>
              <w:tl2br w:val="nil"/>
              <w:tr2bl w:val="nil"/>
            </w:tcBorders>
            <w:shd w:val="clear" w:color="auto" w:fill="FFFFFF"/>
            <w:vAlign w:val="center"/>
          </w:tcPr>
          <w:p w14:paraId="7403E0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053186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-7.71</w:t>
            </w:r>
          </w:p>
        </w:tc>
        <w:tc>
          <w:tcPr>
            <w:tcW w:w="230" w:type="pct"/>
            <w:tcBorders>
              <w:tl2br w:val="nil"/>
              <w:tr2bl w:val="nil"/>
            </w:tcBorders>
            <w:shd w:val="clear" w:color="auto" w:fill="FFFFFF"/>
            <w:vAlign w:val="center"/>
          </w:tcPr>
          <w:p w14:paraId="560C8E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-26.56</w:t>
            </w:r>
          </w:p>
        </w:tc>
        <w:tc>
          <w:tcPr>
            <w:tcW w:w="83" w:type="pct"/>
            <w:tcBorders>
              <w:tl2br w:val="nil"/>
              <w:tr2bl w:val="nil"/>
            </w:tcBorders>
            <w:shd w:val="clear" w:color="auto" w:fill="FFFFFF"/>
            <w:vAlign w:val="center"/>
          </w:tcPr>
          <w:p w14:paraId="6FC657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60890E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34.40</w:t>
            </w:r>
          </w:p>
        </w:tc>
        <w:tc>
          <w:tcPr>
            <w:tcW w:w="184" w:type="pct"/>
            <w:tcBorders>
              <w:tl2br w:val="nil"/>
              <w:tr2bl w:val="nil"/>
            </w:tcBorders>
            <w:shd w:val="clear" w:color="auto" w:fill="FFFFFF"/>
            <w:vAlign w:val="center"/>
          </w:tcPr>
          <w:p w14:paraId="601F2A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36.64</w:t>
            </w:r>
          </w:p>
        </w:tc>
        <w:tc>
          <w:tcPr>
            <w:tcW w:w="184" w:type="pct"/>
            <w:tcBorders>
              <w:tl2br w:val="nil"/>
              <w:tr2bl w:val="nil"/>
            </w:tcBorders>
            <w:shd w:val="clear" w:color="auto" w:fill="FFFFFF"/>
            <w:vAlign w:val="center"/>
          </w:tcPr>
          <w:p w14:paraId="76545E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7.94</w:t>
            </w:r>
          </w:p>
        </w:tc>
        <w:tc>
          <w:tcPr>
            <w:tcW w:w="253" w:type="pct"/>
            <w:tcBorders>
              <w:tl2br w:val="nil"/>
              <w:tr2bl w:val="nil"/>
            </w:tcBorders>
            <w:shd w:val="clear" w:color="auto" w:fill="FFFFFF"/>
            <w:vAlign w:val="center"/>
          </w:tcPr>
          <w:p w14:paraId="33589B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134.28</w:t>
            </w:r>
          </w:p>
        </w:tc>
        <w:tc>
          <w:tcPr>
            <w:tcW w:w="184" w:type="pct"/>
            <w:tcBorders>
              <w:tl2br w:val="nil"/>
              <w:tr2bl w:val="nil"/>
            </w:tcBorders>
            <w:shd w:val="clear" w:color="auto" w:fill="FFFFFF"/>
            <w:vAlign w:val="center"/>
          </w:tcPr>
          <w:p w14:paraId="75C449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60.29</w:t>
            </w:r>
          </w:p>
        </w:tc>
        <w:tc>
          <w:tcPr>
            <w:tcW w:w="184" w:type="pct"/>
            <w:tcBorders>
              <w:tl2br w:val="nil"/>
              <w:tr2bl w:val="nil"/>
            </w:tcBorders>
            <w:shd w:val="clear" w:color="auto" w:fill="FFFFFF"/>
            <w:vAlign w:val="center"/>
          </w:tcPr>
          <w:p w14:paraId="03AD03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59.74</w:t>
            </w:r>
          </w:p>
        </w:tc>
        <w:tc>
          <w:tcPr>
            <w:tcW w:w="184" w:type="pct"/>
            <w:tcBorders>
              <w:tl2br w:val="nil"/>
              <w:tr2bl w:val="nil"/>
            </w:tcBorders>
            <w:shd w:val="clear" w:color="auto" w:fill="FFFFFF"/>
            <w:vAlign w:val="center"/>
          </w:tcPr>
          <w:p w14:paraId="22C03D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73.02</w:t>
            </w:r>
          </w:p>
        </w:tc>
        <w:tc>
          <w:tcPr>
            <w:tcW w:w="222" w:type="pct"/>
            <w:tcBorders>
              <w:tl2br w:val="nil"/>
              <w:tr2bl w:val="nil"/>
            </w:tcBorders>
            <w:shd w:val="clear" w:color="auto" w:fill="FFFFFF"/>
            <w:vAlign w:val="center"/>
          </w:tcPr>
          <w:p w14:paraId="258DBC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48.46</w:t>
            </w:r>
          </w:p>
        </w:tc>
        <w:tc>
          <w:tcPr>
            <w:tcW w:w="138" w:type="pct"/>
            <w:vMerge w:val="continue"/>
            <w:tcBorders>
              <w:tl2br w:val="nil"/>
              <w:tr2bl w:val="nil"/>
            </w:tcBorders>
            <w:shd w:val="clear" w:color="auto" w:fill="FFFFFF"/>
            <w:vAlign w:val="center"/>
          </w:tcPr>
          <w:p w14:paraId="1AA362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623D4B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1395E7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0CC8E4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33B683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20538C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34.04</w:t>
            </w:r>
          </w:p>
        </w:tc>
        <w:tc>
          <w:tcPr>
            <w:tcW w:w="184" w:type="pct"/>
            <w:tcBorders>
              <w:tl2br w:val="nil"/>
              <w:tr2bl w:val="nil"/>
            </w:tcBorders>
            <w:shd w:val="clear" w:color="auto" w:fill="FFFFFF"/>
            <w:vAlign w:val="center"/>
          </w:tcPr>
          <w:p w14:paraId="1D6E86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33.51</w:t>
            </w:r>
          </w:p>
        </w:tc>
        <w:tc>
          <w:tcPr>
            <w:tcW w:w="184" w:type="pct"/>
            <w:tcBorders>
              <w:tl2br w:val="nil"/>
              <w:tr2bl w:val="nil"/>
            </w:tcBorders>
            <w:shd w:val="clear" w:color="auto" w:fill="FFFFFF"/>
            <w:vAlign w:val="center"/>
          </w:tcPr>
          <w:p w14:paraId="4CE005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45.99</w:t>
            </w:r>
          </w:p>
        </w:tc>
        <w:tc>
          <w:tcPr>
            <w:tcW w:w="184" w:type="pct"/>
            <w:tcBorders>
              <w:tl2br w:val="nil"/>
              <w:tr2bl w:val="nil"/>
            </w:tcBorders>
            <w:shd w:val="clear" w:color="auto" w:fill="FFFFFF"/>
            <w:vAlign w:val="center"/>
          </w:tcPr>
          <w:p w14:paraId="5F52BA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22.40</w:t>
            </w:r>
          </w:p>
        </w:tc>
        <w:tc>
          <w:tcPr>
            <w:tcW w:w="204" w:type="pct"/>
            <w:tcBorders>
              <w:tl2br w:val="nil"/>
              <w:tr2bl w:val="nil"/>
            </w:tcBorders>
            <w:shd w:val="clear" w:color="auto" w:fill="FFFFFF"/>
            <w:vAlign w:val="center"/>
          </w:tcPr>
          <w:p w14:paraId="386D89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default" w:ascii="Times New Roman" w:hAnsi="Times New Roman" w:eastAsia="宋体" w:cs="Times New Roman"/>
                <w:color w:val="auto"/>
                <w:spacing w:val="0"/>
                <w:w w:val="100"/>
                <w:position w:val="0"/>
                <w:sz w:val="18"/>
                <w:szCs w:val="18"/>
                <w:lang w:val="en-US" w:eastAsia="zh-CN"/>
              </w:rPr>
              <w:t>1</w:t>
            </w:r>
          </w:p>
        </w:tc>
      </w:tr>
      <w:tr w14:paraId="45F84E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500E4D3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41</w:t>
            </w:r>
          </w:p>
        </w:tc>
        <w:tc>
          <w:tcPr>
            <w:tcW w:w="151" w:type="pct"/>
            <w:vMerge w:val="continue"/>
            <w:tcBorders>
              <w:tl2br w:val="nil"/>
              <w:tr2bl w:val="nil"/>
            </w:tcBorders>
            <w:shd w:val="clear" w:color="auto" w:fill="FFFFFF"/>
            <w:vAlign w:val="center"/>
          </w:tcPr>
          <w:p w14:paraId="7C1A5F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p>
        </w:tc>
        <w:tc>
          <w:tcPr>
            <w:tcW w:w="280" w:type="pct"/>
            <w:vMerge w:val="restart"/>
            <w:tcBorders>
              <w:tl2br w:val="nil"/>
              <w:tr2bl w:val="nil"/>
            </w:tcBorders>
            <w:shd w:val="clear" w:color="auto" w:fill="FFFFFF"/>
            <w:vAlign w:val="center"/>
          </w:tcPr>
          <w:p w14:paraId="38064A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18"/>
                <w:szCs w:val="18"/>
              </w:rPr>
            </w:pPr>
            <w:r>
              <w:rPr>
                <w:rFonts w:hint="default" w:ascii="Times New Roman" w:hAnsi="Times New Roman" w:cs="Times New Roman"/>
                <w:color w:val="auto"/>
                <w:spacing w:val="0"/>
                <w:w w:val="100"/>
                <w:position w:val="0"/>
                <w:sz w:val="18"/>
                <w:szCs w:val="18"/>
                <w:highlight w:val="none"/>
                <w:lang w:val="en-US" w:eastAsia="zh-CN"/>
              </w:rPr>
              <w:t>纵向滚刀修边机组</w:t>
            </w:r>
          </w:p>
        </w:tc>
        <w:tc>
          <w:tcPr>
            <w:tcW w:w="104" w:type="pct"/>
            <w:tcBorders>
              <w:tl2br w:val="nil"/>
              <w:tr2bl w:val="nil"/>
            </w:tcBorders>
            <w:shd w:val="clear" w:color="auto" w:fill="FFFFFF"/>
            <w:vAlign w:val="center"/>
          </w:tcPr>
          <w:p w14:paraId="6677B1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293689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80</w:t>
            </w:r>
          </w:p>
        </w:tc>
        <w:tc>
          <w:tcPr>
            <w:tcW w:w="334" w:type="pct"/>
            <w:vMerge w:val="continue"/>
            <w:tcBorders>
              <w:tl2br w:val="nil"/>
              <w:tr2bl w:val="nil"/>
            </w:tcBorders>
            <w:shd w:val="clear" w:color="auto" w:fill="FFFFFF"/>
            <w:vAlign w:val="center"/>
          </w:tcPr>
          <w:p w14:paraId="7D5742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p>
        </w:tc>
        <w:tc>
          <w:tcPr>
            <w:tcW w:w="230" w:type="pct"/>
            <w:tcBorders>
              <w:tl2br w:val="nil"/>
              <w:tr2bl w:val="nil"/>
            </w:tcBorders>
            <w:shd w:val="clear" w:color="auto" w:fill="FFFFFF"/>
            <w:vAlign w:val="center"/>
          </w:tcPr>
          <w:p w14:paraId="05E53A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-8.78</w:t>
            </w:r>
          </w:p>
        </w:tc>
        <w:tc>
          <w:tcPr>
            <w:tcW w:w="230" w:type="pct"/>
            <w:tcBorders>
              <w:tl2br w:val="nil"/>
              <w:tr2bl w:val="nil"/>
            </w:tcBorders>
            <w:shd w:val="clear" w:color="auto" w:fill="FFFFFF"/>
            <w:vAlign w:val="center"/>
          </w:tcPr>
          <w:p w14:paraId="1E6AF9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-14.57</w:t>
            </w:r>
          </w:p>
        </w:tc>
        <w:tc>
          <w:tcPr>
            <w:tcW w:w="83" w:type="pct"/>
            <w:tcBorders>
              <w:tl2br w:val="nil"/>
              <w:tr2bl w:val="nil"/>
            </w:tcBorders>
            <w:shd w:val="clear" w:color="auto" w:fill="FFFFFF"/>
            <w:vAlign w:val="center"/>
          </w:tcPr>
          <w:p w14:paraId="0E6807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3E8EA6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32.52</w:t>
            </w:r>
          </w:p>
        </w:tc>
        <w:tc>
          <w:tcPr>
            <w:tcW w:w="184" w:type="pct"/>
            <w:tcBorders>
              <w:tl2br w:val="nil"/>
              <w:tr2bl w:val="nil"/>
            </w:tcBorders>
            <w:shd w:val="clear" w:color="auto" w:fill="FFFFFF"/>
            <w:vAlign w:val="center"/>
          </w:tcPr>
          <w:p w14:paraId="558B51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43.66</w:t>
            </w:r>
          </w:p>
        </w:tc>
        <w:tc>
          <w:tcPr>
            <w:tcW w:w="184" w:type="pct"/>
            <w:tcBorders>
              <w:tl2br w:val="nil"/>
              <w:tr2bl w:val="nil"/>
            </w:tcBorders>
            <w:shd w:val="clear" w:color="auto" w:fill="FFFFFF"/>
            <w:vAlign w:val="center"/>
          </w:tcPr>
          <w:p w14:paraId="439241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9.46</w:t>
            </w:r>
          </w:p>
        </w:tc>
        <w:tc>
          <w:tcPr>
            <w:tcW w:w="253" w:type="pct"/>
            <w:tcBorders>
              <w:tl2br w:val="nil"/>
              <w:tr2bl w:val="nil"/>
            </w:tcBorders>
            <w:shd w:val="clear" w:color="auto" w:fill="FFFFFF"/>
            <w:vAlign w:val="center"/>
          </w:tcPr>
          <w:p w14:paraId="098948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121.67</w:t>
            </w:r>
          </w:p>
        </w:tc>
        <w:tc>
          <w:tcPr>
            <w:tcW w:w="184" w:type="pct"/>
            <w:tcBorders>
              <w:tl2br w:val="nil"/>
              <w:tr2bl w:val="nil"/>
            </w:tcBorders>
            <w:shd w:val="clear" w:color="auto" w:fill="FFFFFF"/>
            <w:vAlign w:val="center"/>
          </w:tcPr>
          <w:p w14:paraId="560E6F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57.54</w:t>
            </w:r>
          </w:p>
        </w:tc>
        <w:tc>
          <w:tcPr>
            <w:tcW w:w="184" w:type="pct"/>
            <w:tcBorders>
              <w:tl2br w:val="nil"/>
              <w:tr2bl w:val="nil"/>
            </w:tcBorders>
            <w:shd w:val="clear" w:color="auto" w:fill="FFFFFF"/>
            <w:vAlign w:val="center"/>
          </w:tcPr>
          <w:p w14:paraId="4A4A31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54.98</w:t>
            </w:r>
          </w:p>
        </w:tc>
        <w:tc>
          <w:tcPr>
            <w:tcW w:w="184" w:type="pct"/>
            <w:tcBorders>
              <w:tl2br w:val="nil"/>
              <w:tr2bl w:val="nil"/>
            </w:tcBorders>
            <w:shd w:val="clear" w:color="auto" w:fill="FFFFFF"/>
            <w:vAlign w:val="center"/>
          </w:tcPr>
          <w:p w14:paraId="7123E6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68.26</w:t>
            </w:r>
          </w:p>
        </w:tc>
        <w:tc>
          <w:tcPr>
            <w:tcW w:w="222" w:type="pct"/>
            <w:tcBorders>
              <w:tl2br w:val="nil"/>
              <w:tr2bl w:val="nil"/>
            </w:tcBorders>
            <w:shd w:val="clear" w:color="auto" w:fill="FFFFFF"/>
            <w:vAlign w:val="center"/>
          </w:tcPr>
          <w:p w14:paraId="34D66C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46.08</w:t>
            </w:r>
          </w:p>
        </w:tc>
        <w:tc>
          <w:tcPr>
            <w:tcW w:w="138" w:type="pct"/>
            <w:vMerge w:val="continue"/>
            <w:tcBorders>
              <w:tl2br w:val="nil"/>
              <w:tr2bl w:val="nil"/>
            </w:tcBorders>
            <w:shd w:val="clear" w:color="auto" w:fill="FFFFFF"/>
            <w:vAlign w:val="center"/>
          </w:tcPr>
          <w:p w14:paraId="184E81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05AC38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168783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3FA083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66A891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24EDC3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31.28</w:t>
            </w:r>
          </w:p>
        </w:tc>
        <w:tc>
          <w:tcPr>
            <w:tcW w:w="184" w:type="pct"/>
            <w:tcBorders>
              <w:tl2br w:val="nil"/>
              <w:tr2bl w:val="nil"/>
            </w:tcBorders>
            <w:shd w:val="clear" w:color="auto" w:fill="FFFFFF"/>
            <w:vAlign w:val="center"/>
          </w:tcPr>
          <w:p w14:paraId="12BB6A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28.78</w:t>
            </w:r>
          </w:p>
        </w:tc>
        <w:tc>
          <w:tcPr>
            <w:tcW w:w="184" w:type="pct"/>
            <w:tcBorders>
              <w:tl2br w:val="nil"/>
              <w:tr2bl w:val="nil"/>
            </w:tcBorders>
            <w:shd w:val="clear" w:color="auto" w:fill="FFFFFF"/>
            <w:vAlign w:val="center"/>
          </w:tcPr>
          <w:p w14:paraId="0A7ECA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41.39</w:t>
            </w:r>
          </w:p>
        </w:tc>
        <w:tc>
          <w:tcPr>
            <w:tcW w:w="184" w:type="pct"/>
            <w:tcBorders>
              <w:tl2br w:val="nil"/>
              <w:tr2bl w:val="nil"/>
            </w:tcBorders>
            <w:shd w:val="clear" w:color="auto" w:fill="FFFFFF"/>
            <w:vAlign w:val="center"/>
          </w:tcPr>
          <w:p w14:paraId="4E9954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20.01</w:t>
            </w:r>
          </w:p>
        </w:tc>
        <w:tc>
          <w:tcPr>
            <w:tcW w:w="204" w:type="pct"/>
            <w:tcBorders>
              <w:tl2br w:val="nil"/>
              <w:tr2bl w:val="nil"/>
            </w:tcBorders>
            <w:shd w:val="clear" w:color="auto" w:fill="FFFFFF"/>
            <w:vAlign w:val="center"/>
          </w:tcPr>
          <w:p w14:paraId="5A22A6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3ED9AA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3A68570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42</w:t>
            </w:r>
          </w:p>
        </w:tc>
        <w:tc>
          <w:tcPr>
            <w:tcW w:w="151" w:type="pct"/>
            <w:vMerge w:val="continue"/>
            <w:tcBorders>
              <w:tl2br w:val="nil"/>
              <w:tr2bl w:val="nil"/>
            </w:tcBorders>
            <w:shd w:val="clear" w:color="auto" w:fill="FFFFFF"/>
            <w:vAlign w:val="center"/>
          </w:tcPr>
          <w:p w14:paraId="713AE8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119B6A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303432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0E234D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80</w:t>
            </w:r>
          </w:p>
        </w:tc>
        <w:tc>
          <w:tcPr>
            <w:tcW w:w="334" w:type="pct"/>
            <w:vMerge w:val="continue"/>
            <w:tcBorders>
              <w:tl2br w:val="nil"/>
              <w:tr2bl w:val="nil"/>
            </w:tcBorders>
            <w:shd w:val="clear" w:color="auto" w:fill="FFFFFF"/>
            <w:vAlign w:val="center"/>
          </w:tcPr>
          <w:p w14:paraId="127358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3FD1E9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-8.78</w:t>
            </w:r>
          </w:p>
        </w:tc>
        <w:tc>
          <w:tcPr>
            <w:tcW w:w="230" w:type="pct"/>
            <w:tcBorders>
              <w:tl2br w:val="nil"/>
              <w:tr2bl w:val="nil"/>
            </w:tcBorders>
            <w:shd w:val="clear" w:color="auto" w:fill="FFFFFF"/>
            <w:vAlign w:val="center"/>
          </w:tcPr>
          <w:p w14:paraId="3747CA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-14.57</w:t>
            </w:r>
          </w:p>
        </w:tc>
        <w:tc>
          <w:tcPr>
            <w:tcW w:w="83" w:type="pct"/>
            <w:tcBorders>
              <w:tl2br w:val="nil"/>
              <w:tr2bl w:val="nil"/>
            </w:tcBorders>
            <w:shd w:val="clear" w:color="auto" w:fill="FFFFFF"/>
            <w:vAlign w:val="center"/>
          </w:tcPr>
          <w:p w14:paraId="1BBD87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015DAA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32.52</w:t>
            </w:r>
          </w:p>
        </w:tc>
        <w:tc>
          <w:tcPr>
            <w:tcW w:w="184" w:type="pct"/>
            <w:tcBorders>
              <w:tl2br w:val="nil"/>
              <w:tr2bl w:val="nil"/>
            </w:tcBorders>
            <w:shd w:val="clear" w:color="auto" w:fill="FFFFFF"/>
            <w:vAlign w:val="center"/>
          </w:tcPr>
          <w:p w14:paraId="4B52D3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43.66</w:t>
            </w:r>
          </w:p>
        </w:tc>
        <w:tc>
          <w:tcPr>
            <w:tcW w:w="184" w:type="pct"/>
            <w:tcBorders>
              <w:tl2br w:val="nil"/>
              <w:tr2bl w:val="nil"/>
            </w:tcBorders>
            <w:shd w:val="clear" w:color="auto" w:fill="FFFFFF"/>
            <w:vAlign w:val="center"/>
          </w:tcPr>
          <w:p w14:paraId="0FE2C8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9.46</w:t>
            </w:r>
          </w:p>
        </w:tc>
        <w:tc>
          <w:tcPr>
            <w:tcW w:w="253" w:type="pct"/>
            <w:tcBorders>
              <w:tl2br w:val="nil"/>
              <w:tr2bl w:val="nil"/>
            </w:tcBorders>
            <w:shd w:val="clear" w:color="auto" w:fill="FFFFFF"/>
            <w:vAlign w:val="center"/>
          </w:tcPr>
          <w:p w14:paraId="779EFB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121.67</w:t>
            </w:r>
          </w:p>
        </w:tc>
        <w:tc>
          <w:tcPr>
            <w:tcW w:w="184" w:type="pct"/>
            <w:tcBorders>
              <w:tl2br w:val="nil"/>
              <w:tr2bl w:val="nil"/>
            </w:tcBorders>
            <w:shd w:val="clear" w:color="auto" w:fill="FFFFFF"/>
            <w:vAlign w:val="center"/>
          </w:tcPr>
          <w:p w14:paraId="43A582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57.54</w:t>
            </w:r>
          </w:p>
        </w:tc>
        <w:tc>
          <w:tcPr>
            <w:tcW w:w="184" w:type="pct"/>
            <w:tcBorders>
              <w:tl2br w:val="nil"/>
              <w:tr2bl w:val="nil"/>
            </w:tcBorders>
            <w:shd w:val="clear" w:color="auto" w:fill="FFFFFF"/>
            <w:vAlign w:val="center"/>
          </w:tcPr>
          <w:p w14:paraId="14B95A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54.98</w:t>
            </w:r>
          </w:p>
        </w:tc>
        <w:tc>
          <w:tcPr>
            <w:tcW w:w="184" w:type="pct"/>
            <w:tcBorders>
              <w:tl2br w:val="nil"/>
              <w:tr2bl w:val="nil"/>
            </w:tcBorders>
            <w:shd w:val="clear" w:color="auto" w:fill="FFFFFF"/>
            <w:vAlign w:val="center"/>
          </w:tcPr>
          <w:p w14:paraId="592AF4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68.26</w:t>
            </w:r>
          </w:p>
        </w:tc>
        <w:tc>
          <w:tcPr>
            <w:tcW w:w="222" w:type="pct"/>
            <w:tcBorders>
              <w:tl2br w:val="nil"/>
              <w:tr2bl w:val="nil"/>
            </w:tcBorders>
            <w:shd w:val="clear" w:color="auto" w:fill="FFFFFF"/>
            <w:vAlign w:val="center"/>
          </w:tcPr>
          <w:p w14:paraId="03DB47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46.08</w:t>
            </w:r>
          </w:p>
        </w:tc>
        <w:tc>
          <w:tcPr>
            <w:tcW w:w="138" w:type="pct"/>
            <w:vMerge w:val="continue"/>
            <w:tcBorders>
              <w:tl2br w:val="nil"/>
              <w:tr2bl w:val="nil"/>
            </w:tcBorders>
            <w:shd w:val="clear" w:color="auto" w:fill="FFFFFF"/>
            <w:vAlign w:val="center"/>
          </w:tcPr>
          <w:p w14:paraId="7C2A8E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5F4F25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2B2A05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6ABEF5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0F2F3B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004718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31.28</w:t>
            </w:r>
          </w:p>
        </w:tc>
        <w:tc>
          <w:tcPr>
            <w:tcW w:w="184" w:type="pct"/>
            <w:tcBorders>
              <w:tl2br w:val="nil"/>
              <w:tr2bl w:val="nil"/>
            </w:tcBorders>
            <w:shd w:val="clear" w:color="auto" w:fill="FFFFFF"/>
            <w:vAlign w:val="center"/>
          </w:tcPr>
          <w:p w14:paraId="50AD34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28.78</w:t>
            </w:r>
          </w:p>
        </w:tc>
        <w:tc>
          <w:tcPr>
            <w:tcW w:w="184" w:type="pct"/>
            <w:tcBorders>
              <w:tl2br w:val="nil"/>
              <w:tr2bl w:val="nil"/>
            </w:tcBorders>
            <w:shd w:val="clear" w:color="auto" w:fill="FFFFFF"/>
            <w:vAlign w:val="center"/>
          </w:tcPr>
          <w:p w14:paraId="170762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41.39</w:t>
            </w:r>
          </w:p>
        </w:tc>
        <w:tc>
          <w:tcPr>
            <w:tcW w:w="184" w:type="pct"/>
            <w:tcBorders>
              <w:tl2br w:val="nil"/>
              <w:tr2bl w:val="nil"/>
            </w:tcBorders>
            <w:shd w:val="clear" w:color="auto" w:fill="FFFFFF"/>
            <w:vAlign w:val="center"/>
          </w:tcPr>
          <w:p w14:paraId="77F32F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20.01</w:t>
            </w:r>
          </w:p>
        </w:tc>
        <w:tc>
          <w:tcPr>
            <w:tcW w:w="204" w:type="pct"/>
            <w:tcBorders>
              <w:tl2br w:val="nil"/>
              <w:tr2bl w:val="nil"/>
            </w:tcBorders>
            <w:shd w:val="clear" w:color="auto" w:fill="FFFFFF"/>
            <w:vAlign w:val="center"/>
          </w:tcPr>
          <w:p w14:paraId="6B61F9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6CE2A1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4673544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43</w:t>
            </w:r>
          </w:p>
        </w:tc>
        <w:tc>
          <w:tcPr>
            <w:tcW w:w="151" w:type="pct"/>
            <w:vMerge w:val="continue"/>
            <w:tcBorders>
              <w:tl2br w:val="nil"/>
              <w:tr2bl w:val="nil"/>
            </w:tcBorders>
            <w:shd w:val="clear" w:color="auto" w:fill="FFFFFF"/>
            <w:vAlign w:val="center"/>
          </w:tcPr>
          <w:p w14:paraId="2644F4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0F1133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649718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3EACCB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80</w:t>
            </w:r>
          </w:p>
        </w:tc>
        <w:tc>
          <w:tcPr>
            <w:tcW w:w="334" w:type="pct"/>
            <w:vMerge w:val="continue"/>
            <w:tcBorders>
              <w:tl2br w:val="nil"/>
              <w:tr2bl w:val="nil"/>
            </w:tcBorders>
            <w:shd w:val="clear" w:color="auto" w:fill="FFFFFF"/>
            <w:vAlign w:val="center"/>
          </w:tcPr>
          <w:p w14:paraId="74C777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589EFD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-8.78</w:t>
            </w:r>
          </w:p>
        </w:tc>
        <w:tc>
          <w:tcPr>
            <w:tcW w:w="230" w:type="pct"/>
            <w:tcBorders>
              <w:tl2br w:val="nil"/>
              <w:tr2bl w:val="nil"/>
            </w:tcBorders>
            <w:shd w:val="clear" w:color="auto" w:fill="FFFFFF"/>
            <w:vAlign w:val="center"/>
          </w:tcPr>
          <w:p w14:paraId="016E6E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-14.57</w:t>
            </w:r>
          </w:p>
        </w:tc>
        <w:tc>
          <w:tcPr>
            <w:tcW w:w="83" w:type="pct"/>
            <w:tcBorders>
              <w:tl2br w:val="nil"/>
              <w:tr2bl w:val="nil"/>
            </w:tcBorders>
            <w:shd w:val="clear" w:color="auto" w:fill="FFFFFF"/>
            <w:vAlign w:val="center"/>
          </w:tcPr>
          <w:p w14:paraId="09930B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3C7B01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32.52</w:t>
            </w:r>
          </w:p>
        </w:tc>
        <w:tc>
          <w:tcPr>
            <w:tcW w:w="184" w:type="pct"/>
            <w:tcBorders>
              <w:tl2br w:val="nil"/>
              <w:tr2bl w:val="nil"/>
            </w:tcBorders>
            <w:shd w:val="clear" w:color="auto" w:fill="FFFFFF"/>
            <w:vAlign w:val="center"/>
          </w:tcPr>
          <w:p w14:paraId="3BCA61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43.66</w:t>
            </w:r>
          </w:p>
        </w:tc>
        <w:tc>
          <w:tcPr>
            <w:tcW w:w="184" w:type="pct"/>
            <w:tcBorders>
              <w:tl2br w:val="nil"/>
              <w:tr2bl w:val="nil"/>
            </w:tcBorders>
            <w:shd w:val="clear" w:color="auto" w:fill="FFFFFF"/>
            <w:vAlign w:val="center"/>
          </w:tcPr>
          <w:p w14:paraId="174835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9.46</w:t>
            </w:r>
          </w:p>
        </w:tc>
        <w:tc>
          <w:tcPr>
            <w:tcW w:w="253" w:type="pct"/>
            <w:tcBorders>
              <w:tl2br w:val="nil"/>
              <w:tr2bl w:val="nil"/>
            </w:tcBorders>
            <w:shd w:val="clear" w:color="auto" w:fill="FFFFFF"/>
            <w:vAlign w:val="center"/>
          </w:tcPr>
          <w:p w14:paraId="2891C1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121.67</w:t>
            </w:r>
          </w:p>
        </w:tc>
        <w:tc>
          <w:tcPr>
            <w:tcW w:w="184" w:type="pct"/>
            <w:tcBorders>
              <w:tl2br w:val="nil"/>
              <w:tr2bl w:val="nil"/>
            </w:tcBorders>
            <w:shd w:val="clear" w:color="auto" w:fill="FFFFFF"/>
            <w:vAlign w:val="center"/>
          </w:tcPr>
          <w:p w14:paraId="3BE974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57.54</w:t>
            </w:r>
          </w:p>
        </w:tc>
        <w:tc>
          <w:tcPr>
            <w:tcW w:w="184" w:type="pct"/>
            <w:tcBorders>
              <w:tl2br w:val="nil"/>
              <w:tr2bl w:val="nil"/>
            </w:tcBorders>
            <w:shd w:val="clear" w:color="auto" w:fill="FFFFFF"/>
            <w:vAlign w:val="center"/>
          </w:tcPr>
          <w:p w14:paraId="23540D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54.98</w:t>
            </w:r>
          </w:p>
        </w:tc>
        <w:tc>
          <w:tcPr>
            <w:tcW w:w="184" w:type="pct"/>
            <w:tcBorders>
              <w:tl2br w:val="nil"/>
              <w:tr2bl w:val="nil"/>
            </w:tcBorders>
            <w:shd w:val="clear" w:color="auto" w:fill="FFFFFF"/>
            <w:vAlign w:val="center"/>
          </w:tcPr>
          <w:p w14:paraId="0BAA97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68.26</w:t>
            </w:r>
          </w:p>
        </w:tc>
        <w:tc>
          <w:tcPr>
            <w:tcW w:w="222" w:type="pct"/>
            <w:tcBorders>
              <w:tl2br w:val="nil"/>
              <w:tr2bl w:val="nil"/>
            </w:tcBorders>
            <w:shd w:val="clear" w:color="auto" w:fill="FFFFFF"/>
            <w:vAlign w:val="center"/>
          </w:tcPr>
          <w:p w14:paraId="2C8F46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46.08</w:t>
            </w:r>
          </w:p>
        </w:tc>
        <w:tc>
          <w:tcPr>
            <w:tcW w:w="138" w:type="pct"/>
            <w:vMerge w:val="continue"/>
            <w:tcBorders>
              <w:tl2br w:val="nil"/>
              <w:tr2bl w:val="nil"/>
            </w:tcBorders>
            <w:shd w:val="clear" w:color="auto" w:fill="FFFFFF"/>
            <w:vAlign w:val="center"/>
          </w:tcPr>
          <w:p w14:paraId="172E5C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7A774C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6CD546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6EBC68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3EE772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30F859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31.28</w:t>
            </w:r>
          </w:p>
        </w:tc>
        <w:tc>
          <w:tcPr>
            <w:tcW w:w="184" w:type="pct"/>
            <w:tcBorders>
              <w:tl2br w:val="nil"/>
              <w:tr2bl w:val="nil"/>
            </w:tcBorders>
            <w:shd w:val="clear" w:color="auto" w:fill="FFFFFF"/>
            <w:vAlign w:val="center"/>
          </w:tcPr>
          <w:p w14:paraId="142C2C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28.78</w:t>
            </w:r>
          </w:p>
        </w:tc>
        <w:tc>
          <w:tcPr>
            <w:tcW w:w="184" w:type="pct"/>
            <w:tcBorders>
              <w:tl2br w:val="nil"/>
              <w:tr2bl w:val="nil"/>
            </w:tcBorders>
            <w:shd w:val="clear" w:color="auto" w:fill="FFFFFF"/>
            <w:vAlign w:val="center"/>
          </w:tcPr>
          <w:p w14:paraId="1C1ED8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41.39</w:t>
            </w:r>
          </w:p>
        </w:tc>
        <w:tc>
          <w:tcPr>
            <w:tcW w:w="184" w:type="pct"/>
            <w:tcBorders>
              <w:tl2br w:val="nil"/>
              <w:tr2bl w:val="nil"/>
            </w:tcBorders>
            <w:shd w:val="clear" w:color="auto" w:fill="FFFFFF"/>
            <w:vAlign w:val="center"/>
          </w:tcPr>
          <w:p w14:paraId="0CC475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20.01</w:t>
            </w:r>
          </w:p>
        </w:tc>
        <w:tc>
          <w:tcPr>
            <w:tcW w:w="204" w:type="pct"/>
            <w:tcBorders>
              <w:tl2br w:val="nil"/>
              <w:tr2bl w:val="nil"/>
            </w:tcBorders>
            <w:shd w:val="clear" w:color="auto" w:fill="FFFFFF"/>
            <w:vAlign w:val="center"/>
          </w:tcPr>
          <w:p w14:paraId="644991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46FACB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30D24F2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44</w:t>
            </w:r>
          </w:p>
        </w:tc>
        <w:tc>
          <w:tcPr>
            <w:tcW w:w="151" w:type="pct"/>
            <w:vMerge w:val="continue"/>
            <w:tcBorders>
              <w:tl2br w:val="nil"/>
              <w:tr2bl w:val="nil"/>
            </w:tcBorders>
            <w:shd w:val="clear" w:color="auto" w:fill="FFFFFF"/>
            <w:vAlign w:val="center"/>
          </w:tcPr>
          <w:p w14:paraId="18A4E5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72A2BA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0F0F4C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3133B0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80</w:t>
            </w:r>
          </w:p>
        </w:tc>
        <w:tc>
          <w:tcPr>
            <w:tcW w:w="334" w:type="pct"/>
            <w:vMerge w:val="continue"/>
            <w:tcBorders>
              <w:tl2br w:val="nil"/>
              <w:tr2bl w:val="nil"/>
            </w:tcBorders>
            <w:shd w:val="clear" w:color="auto" w:fill="FFFFFF"/>
            <w:vAlign w:val="center"/>
          </w:tcPr>
          <w:p w14:paraId="5329F0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3F00AD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-8.78</w:t>
            </w:r>
          </w:p>
        </w:tc>
        <w:tc>
          <w:tcPr>
            <w:tcW w:w="230" w:type="pct"/>
            <w:tcBorders>
              <w:tl2br w:val="nil"/>
              <w:tr2bl w:val="nil"/>
            </w:tcBorders>
            <w:shd w:val="clear" w:color="auto" w:fill="FFFFFF"/>
            <w:vAlign w:val="center"/>
          </w:tcPr>
          <w:p w14:paraId="7E4D39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-14.57</w:t>
            </w:r>
          </w:p>
        </w:tc>
        <w:tc>
          <w:tcPr>
            <w:tcW w:w="83" w:type="pct"/>
            <w:tcBorders>
              <w:tl2br w:val="nil"/>
              <w:tr2bl w:val="nil"/>
            </w:tcBorders>
            <w:shd w:val="clear" w:color="auto" w:fill="FFFFFF"/>
            <w:vAlign w:val="center"/>
          </w:tcPr>
          <w:p w14:paraId="22762C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17F052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32.52</w:t>
            </w:r>
          </w:p>
        </w:tc>
        <w:tc>
          <w:tcPr>
            <w:tcW w:w="184" w:type="pct"/>
            <w:tcBorders>
              <w:tl2br w:val="nil"/>
              <w:tr2bl w:val="nil"/>
            </w:tcBorders>
            <w:shd w:val="clear" w:color="auto" w:fill="FFFFFF"/>
            <w:vAlign w:val="center"/>
          </w:tcPr>
          <w:p w14:paraId="7229D9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43.66</w:t>
            </w:r>
          </w:p>
        </w:tc>
        <w:tc>
          <w:tcPr>
            <w:tcW w:w="184" w:type="pct"/>
            <w:tcBorders>
              <w:tl2br w:val="nil"/>
              <w:tr2bl w:val="nil"/>
            </w:tcBorders>
            <w:shd w:val="clear" w:color="auto" w:fill="FFFFFF"/>
            <w:vAlign w:val="center"/>
          </w:tcPr>
          <w:p w14:paraId="30A8C3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9.46</w:t>
            </w:r>
          </w:p>
        </w:tc>
        <w:tc>
          <w:tcPr>
            <w:tcW w:w="253" w:type="pct"/>
            <w:tcBorders>
              <w:tl2br w:val="nil"/>
              <w:tr2bl w:val="nil"/>
            </w:tcBorders>
            <w:shd w:val="clear" w:color="auto" w:fill="FFFFFF"/>
            <w:vAlign w:val="center"/>
          </w:tcPr>
          <w:p w14:paraId="360168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121.67</w:t>
            </w:r>
          </w:p>
        </w:tc>
        <w:tc>
          <w:tcPr>
            <w:tcW w:w="184" w:type="pct"/>
            <w:tcBorders>
              <w:tl2br w:val="nil"/>
              <w:tr2bl w:val="nil"/>
            </w:tcBorders>
            <w:shd w:val="clear" w:color="auto" w:fill="FFFFFF"/>
            <w:vAlign w:val="center"/>
          </w:tcPr>
          <w:p w14:paraId="62B999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57.54</w:t>
            </w:r>
          </w:p>
        </w:tc>
        <w:tc>
          <w:tcPr>
            <w:tcW w:w="184" w:type="pct"/>
            <w:tcBorders>
              <w:tl2br w:val="nil"/>
              <w:tr2bl w:val="nil"/>
            </w:tcBorders>
            <w:shd w:val="clear" w:color="auto" w:fill="FFFFFF"/>
            <w:vAlign w:val="center"/>
          </w:tcPr>
          <w:p w14:paraId="0E03E8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54.98</w:t>
            </w:r>
          </w:p>
        </w:tc>
        <w:tc>
          <w:tcPr>
            <w:tcW w:w="184" w:type="pct"/>
            <w:tcBorders>
              <w:tl2br w:val="nil"/>
              <w:tr2bl w:val="nil"/>
            </w:tcBorders>
            <w:shd w:val="clear" w:color="auto" w:fill="FFFFFF"/>
            <w:vAlign w:val="center"/>
          </w:tcPr>
          <w:p w14:paraId="244863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68.26</w:t>
            </w:r>
          </w:p>
        </w:tc>
        <w:tc>
          <w:tcPr>
            <w:tcW w:w="222" w:type="pct"/>
            <w:tcBorders>
              <w:tl2br w:val="nil"/>
              <w:tr2bl w:val="nil"/>
            </w:tcBorders>
            <w:shd w:val="clear" w:color="auto" w:fill="FFFFFF"/>
            <w:vAlign w:val="center"/>
          </w:tcPr>
          <w:p w14:paraId="5652CD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46.08</w:t>
            </w:r>
          </w:p>
        </w:tc>
        <w:tc>
          <w:tcPr>
            <w:tcW w:w="138" w:type="pct"/>
            <w:vMerge w:val="continue"/>
            <w:tcBorders>
              <w:tl2br w:val="nil"/>
              <w:tr2bl w:val="nil"/>
            </w:tcBorders>
            <w:shd w:val="clear" w:color="auto" w:fill="FFFFFF"/>
            <w:vAlign w:val="center"/>
          </w:tcPr>
          <w:p w14:paraId="770507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438A5D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2AF825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6E849C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65DB58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67C4C8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31.28</w:t>
            </w:r>
          </w:p>
        </w:tc>
        <w:tc>
          <w:tcPr>
            <w:tcW w:w="184" w:type="pct"/>
            <w:tcBorders>
              <w:tl2br w:val="nil"/>
              <w:tr2bl w:val="nil"/>
            </w:tcBorders>
            <w:shd w:val="clear" w:color="auto" w:fill="FFFFFF"/>
            <w:vAlign w:val="center"/>
          </w:tcPr>
          <w:p w14:paraId="648263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28.78</w:t>
            </w:r>
          </w:p>
        </w:tc>
        <w:tc>
          <w:tcPr>
            <w:tcW w:w="184" w:type="pct"/>
            <w:tcBorders>
              <w:tl2br w:val="nil"/>
              <w:tr2bl w:val="nil"/>
            </w:tcBorders>
            <w:shd w:val="clear" w:color="auto" w:fill="FFFFFF"/>
            <w:vAlign w:val="center"/>
          </w:tcPr>
          <w:p w14:paraId="2FE975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41.39</w:t>
            </w:r>
          </w:p>
        </w:tc>
        <w:tc>
          <w:tcPr>
            <w:tcW w:w="184" w:type="pct"/>
            <w:tcBorders>
              <w:tl2br w:val="nil"/>
              <w:tr2bl w:val="nil"/>
            </w:tcBorders>
            <w:shd w:val="clear" w:color="auto" w:fill="FFFFFF"/>
            <w:vAlign w:val="center"/>
          </w:tcPr>
          <w:p w14:paraId="2FB527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20.01</w:t>
            </w:r>
          </w:p>
        </w:tc>
        <w:tc>
          <w:tcPr>
            <w:tcW w:w="204" w:type="pct"/>
            <w:tcBorders>
              <w:tl2br w:val="nil"/>
              <w:tr2bl w:val="nil"/>
            </w:tcBorders>
            <w:shd w:val="clear" w:color="auto" w:fill="FFFFFF"/>
            <w:vAlign w:val="center"/>
          </w:tcPr>
          <w:p w14:paraId="52DE7C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0E5207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3E66F775">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45</w:t>
            </w:r>
          </w:p>
        </w:tc>
        <w:tc>
          <w:tcPr>
            <w:tcW w:w="151" w:type="pct"/>
            <w:vMerge w:val="continue"/>
            <w:tcBorders>
              <w:tl2br w:val="nil"/>
              <w:tr2bl w:val="nil"/>
            </w:tcBorders>
            <w:shd w:val="clear" w:color="auto" w:fill="FFFFFF"/>
            <w:vAlign w:val="center"/>
          </w:tcPr>
          <w:p w14:paraId="61C4E3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7BA610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0FA642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eastAsia" w:ascii="Times New Roman" w:hAnsi="Times New Roman"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1B3A15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kern w:val="2"/>
                <w:position w:val="0"/>
                <w:sz w:val="18"/>
                <w:szCs w:val="18"/>
                <w:lang w:val="en-US" w:eastAsia="zh-CN" w:bidi="ar-SA"/>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80</w:t>
            </w:r>
          </w:p>
        </w:tc>
        <w:tc>
          <w:tcPr>
            <w:tcW w:w="334" w:type="pct"/>
            <w:vMerge w:val="continue"/>
            <w:tcBorders>
              <w:tl2br w:val="nil"/>
              <w:tr2bl w:val="nil"/>
            </w:tcBorders>
            <w:shd w:val="clear" w:color="auto" w:fill="FFFFFF"/>
            <w:vAlign w:val="center"/>
          </w:tcPr>
          <w:p w14:paraId="3D4700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78335F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-8.78</w:t>
            </w:r>
          </w:p>
        </w:tc>
        <w:tc>
          <w:tcPr>
            <w:tcW w:w="230" w:type="pct"/>
            <w:tcBorders>
              <w:tl2br w:val="nil"/>
              <w:tr2bl w:val="nil"/>
            </w:tcBorders>
            <w:shd w:val="clear" w:color="auto" w:fill="FFFFFF"/>
            <w:vAlign w:val="center"/>
          </w:tcPr>
          <w:p w14:paraId="784A52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-14.57</w:t>
            </w:r>
          </w:p>
        </w:tc>
        <w:tc>
          <w:tcPr>
            <w:tcW w:w="83" w:type="pct"/>
            <w:tcBorders>
              <w:tl2br w:val="nil"/>
              <w:tr2bl w:val="nil"/>
            </w:tcBorders>
            <w:shd w:val="clear" w:color="auto" w:fill="FFFFFF"/>
            <w:vAlign w:val="center"/>
          </w:tcPr>
          <w:p w14:paraId="506FDE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382D64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32.52</w:t>
            </w:r>
          </w:p>
        </w:tc>
        <w:tc>
          <w:tcPr>
            <w:tcW w:w="184" w:type="pct"/>
            <w:tcBorders>
              <w:tl2br w:val="nil"/>
              <w:tr2bl w:val="nil"/>
            </w:tcBorders>
            <w:shd w:val="clear" w:color="auto" w:fill="FFFFFF"/>
            <w:vAlign w:val="center"/>
          </w:tcPr>
          <w:p w14:paraId="5D954F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43.66</w:t>
            </w:r>
          </w:p>
        </w:tc>
        <w:tc>
          <w:tcPr>
            <w:tcW w:w="184" w:type="pct"/>
            <w:tcBorders>
              <w:tl2br w:val="nil"/>
              <w:tr2bl w:val="nil"/>
            </w:tcBorders>
            <w:shd w:val="clear" w:color="auto" w:fill="FFFFFF"/>
            <w:vAlign w:val="center"/>
          </w:tcPr>
          <w:p w14:paraId="081F6A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9.46</w:t>
            </w:r>
          </w:p>
        </w:tc>
        <w:tc>
          <w:tcPr>
            <w:tcW w:w="253" w:type="pct"/>
            <w:tcBorders>
              <w:tl2br w:val="nil"/>
              <w:tr2bl w:val="nil"/>
            </w:tcBorders>
            <w:shd w:val="clear" w:color="auto" w:fill="FFFFFF"/>
            <w:vAlign w:val="center"/>
          </w:tcPr>
          <w:p w14:paraId="6F4AE5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121.67</w:t>
            </w:r>
          </w:p>
        </w:tc>
        <w:tc>
          <w:tcPr>
            <w:tcW w:w="184" w:type="pct"/>
            <w:tcBorders>
              <w:tl2br w:val="nil"/>
              <w:tr2bl w:val="nil"/>
            </w:tcBorders>
            <w:shd w:val="clear" w:color="auto" w:fill="FFFFFF"/>
            <w:vAlign w:val="center"/>
          </w:tcPr>
          <w:p w14:paraId="443311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57.54</w:t>
            </w:r>
          </w:p>
        </w:tc>
        <w:tc>
          <w:tcPr>
            <w:tcW w:w="184" w:type="pct"/>
            <w:tcBorders>
              <w:tl2br w:val="nil"/>
              <w:tr2bl w:val="nil"/>
            </w:tcBorders>
            <w:shd w:val="clear" w:color="auto" w:fill="FFFFFF"/>
            <w:vAlign w:val="center"/>
          </w:tcPr>
          <w:p w14:paraId="4E0323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54.98</w:t>
            </w:r>
          </w:p>
        </w:tc>
        <w:tc>
          <w:tcPr>
            <w:tcW w:w="184" w:type="pct"/>
            <w:tcBorders>
              <w:tl2br w:val="nil"/>
              <w:tr2bl w:val="nil"/>
            </w:tcBorders>
            <w:shd w:val="clear" w:color="auto" w:fill="FFFFFF"/>
            <w:vAlign w:val="center"/>
          </w:tcPr>
          <w:p w14:paraId="57C5D7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68.26</w:t>
            </w:r>
          </w:p>
        </w:tc>
        <w:tc>
          <w:tcPr>
            <w:tcW w:w="222" w:type="pct"/>
            <w:tcBorders>
              <w:tl2br w:val="nil"/>
              <w:tr2bl w:val="nil"/>
            </w:tcBorders>
            <w:shd w:val="clear" w:color="auto" w:fill="FFFFFF"/>
            <w:vAlign w:val="center"/>
          </w:tcPr>
          <w:p w14:paraId="6FB246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46.08</w:t>
            </w:r>
          </w:p>
        </w:tc>
        <w:tc>
          <w:tcPr>
            <w:tcW w:w="138" w:type="pct"/>
            <w:vMerge w:val="continue"/>
            <w:tcBorders>
              <w:tl2br w:val="nil"/>
              <w:tr2bl w:val="nil"/>
            </w:tcBorders>
            <w:shd w:val="clear" w:color="auto" w:fill="FFFFFF"/>
            <w:vAlign w:val="center"/>
          </w:tcPr>
          <w:p w14:paraId="7DDB27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05AB45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460A1F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368D0D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70C9F4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5A7AD4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31.28</w:t>
            </w:r>
          </w:p>
        </w:tc>
        <w:tc>
          <w:tcPr>
            <w:tcW w:w="184" w:type="pct"/>
            <w:tcBorders>
              <w:tl2br w:val="nil"/>
              <w:tr2bl w:val="nil"/>
            </w:tcBorders>
            <w:shd w:val="clear" w:color="auto" w:fill="FFFFFF"/>
            <w:vAlign w:val="center"/>
          </w:tcPr>
          <w:p w14:paraId="40A497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28.78</w:t>
            </w:r>
          </w:p>
        </w:tc>
        <w:tc>
          <w:tcPr>
            <w:tcW w:w="184" w:type="pct"/>
            <w:tcBorders>
              <w:tl2br w:val="nil"/>
              <w:tr2bl w:val="nil"/>
            </w:tcBorders>
            <w:shd w:val="clear" w:color="auto" w:fill="FFFFFF"/>
            <w:vAlign w:val="center"/>
          </w:tcPr>
          <w:p w14:paraId="43F9EA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41.39</w:t>
            </w:r>
          </w:p>
        </w:tc>
        <w:tc>
          <w:tcPr>
            <w:tcW w:w="184" w:type="pct"/>
            <w:tcBorders>
              <w:tl2br w:val="nil"/>
              <w:tr2bl w:val="nil"/>
            </w:tcBorders>
            <w:shd w:val="clear" w:color="auto" w:fill="FFFFFF"/>
            <w:vAlign w:val="center"/>
          </w:tcPr>
          <w:p w14:paraId="152E3E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20.01</w:t>
            </w:r>
          </w:p>
        </w:tc>
        <w:tc>
          <w:tcPr>
            <w:tcW w:w="204" w:type="pct"/>
            <w:tcBorders>
              <w:tl2br w:val="nil"/>
              <w:tr2bl w:val="nil"/>
            </w:tcBorders>
            <w:shd w:val="clear" w:color="auto" w:fill="FFFFFF"/>
            <w:vAlign w:val="center"/>
          </w:tcPr>
          <w:p w14:paraId="0E77DE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default" w:ascii="Times New Roman" w:hAnsi="Times New Roman" w:eastAsia="宋体" w:cs="Times New Roman"/>
                <w:color w:val="auto"/>
                <w:spacing w:val="0"/>
                <w:w w:val="100"/>
                <w:position w:val="0"/>
                <w:sz w:val="18"/>
                <w:szCs w:val="18"/>
                <w:lang w:val="en-US" w:eastAsia="zh-CN"/>
              </w:rPr>
              <w:t>1</w:t>
            </w:r>
          </w:p>
        </w:tc>
      </w:tr>
      <w:tr w14:paraId="3096DB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057A6DF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46</w:t>
            </w:r>
          </w:p>
        </w:tc>
        <w:tc>
          <w:tcPr>
            <w:tcW w:w="151" w:type="pct"/>
            <w:vMerge w:val="continue"/>
            <w:tcBorders>
              <w:tl2br w:val="nil"/>
              <w:tr2bl w:val="nil"/>
            </w:tcBorders>
            <w:shd w:val="clear" w:color="auto" w:fill="FFFFFF"/>
            <w:vAlign w:val="center"/>
          </w:tcPr>
          <w:p w14:paraId="4E7917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5E4A56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5F1979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eastAsia" w:ascii="Times New Roman" w:hAnsi="Times New Roman"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0992CB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kern w:val="2"/>
                <w:position w:val="0"/>
                <w:sz w:val="18"/>
                <w:szCs w:val="18"/>
                <w:lang w:val="en-US" w:eastAsia="zh-CN" w:bidi="ar-SA"/>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80</w:t>
            </w:r>
          </w:p>
        </w:tc>
        <w:tc>
          <w:tcPr>
            <w:tcW w:w="334" w:type="pct"/>
            <w:vMerge w:val="continue"/>
            <w:tcBorders>
              <w:tl2br w:val="nil"/>
              <w:tr2bl w:val="nil"/>
            </w:tcBorders>
            <w:shd w:val="clear" w:color="auto" w:fill="FFFFFF"/>
            <w:vAlign w:val="center"/>
          </w:tcPr>
          <w:p w14:paraId="75BE8D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2ABF4D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-8.78</w:t>
            </w:r>
          </w:p>
        </w:tc>
        <w:tc>
          <w:tcPr>
            <w:tcW w:w="230" w:type="pct"/>
            <w:tcBorders>
              <w:tl2br w:val="nil"/>
              <w:tr2bl w:val="nil"/>
            </w:tcBorders>
            <w:shd w:val="clear" w:color="auto" w:fill="FFFFFF"/>
            <w:vAlign w:val="center"/>
          </w:tcPr>
          <w:p w14:paraId="59C3A2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-14.57</w:t>
            </w:r>
          </w:p>
        </w:tc>
        <w:tc>
          <w:tcPr>
            <w:tcW w:w="83" w:type="pct"/>
            <w:tcBorders>
              <w:tl2br w:val="nil"/>
              <w:tr2bl w:val="nil"/>
            </w:tcBorders>
            <w:shd w:val="clear" w:color="auto" w:fill="FFFFFF"/>
            <w:vAlign w:val="center"/>
          </w:tcPr>
          <w:p w14:paraId="5E20E9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2E0410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32.52</w:t>
            </w:r>
          </w:p>
        </w:tc>
        <w:tc>
          <w:tcPr>
            <w:tcW w:w="184" w:type="pct"/>
            <w:tcBorders>
              <w:tl2br w:val="nil"/>
              <w:tr2bl w:val="nil"/>
            </w:tcBorders>
            <w:shd w:val="clear" w:color="auto" w:fill="FFFFFF"/>
            <w:vAlign w:val="center"/>
          </w:tcPr>
          <w:p w14:paraId="2E620C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43.66</w:t>
            </w:r>
          </w:p>
        </w:tc>
        <w:tc>
          <w:tcPr>
            <w:tcW w:w="184" w:type="pct"/>
            <w:tcBorders>
              <w:tl2br w:val="nil"/>
              <w:tr2bl w:val="nil"/>
            </w:tcBorders>
            <w:shd w:val="clear" w:color="auto" w:fill="FFFFFF"/>
            <w:vAlign w:val="center"/>
          </w:tcPr>
          <w:p w14:paraId="232E37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9.46</w:t>
            </w:r>
          </w:p>
        </w:tc>
        <w:tc>
          <w:tcPr>
            <w:tcW w:w="253" w:type="pct"/>
            <w:tcBorders>
              <w:tl2br w:val="nil"/>
              <w:tr2bl w:val="nil"/>
            </w:tcBorders>
            <w:shd w:val="clear" w:color="auto" w:fill="FFFFFF"/>
            <w:vAlign w:val="center"/>
          </w:tcPr>
          <w:p w14:paraId="452305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121.67</w:t>
            </w:r>
          </w:p>
        </w:tc>
        <w:tc>
          <w:tcPr>
            <w:tcW w:w="184" w:type="pct"/>
            <w:tcBorders>
              <w:tl2br w:val="nil"/>
              <w:tr2bl w:val="nil"/>
            </w:tcBorders>
            <w:shd w:val="clear" w:color="auto" w:fill="FFFFFF"/>
            <w:vAlign w:val="center"/>
          </w:tcPr>
          <w:p w14:paraId="665BC9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57.54</w:t>
            </w:r>
          </w:p>
        </w:tc>
        <w:tc>
          <w:tcPr>
            <w:tcW w:w="184" w:type="pct"/>
            <w:tcBorders>
              <w:tl2br w:val="nil"/>
              <w:tr2bl w:val="nil"/>
            </w:tcBorders>
            <w:shd w:val="clear" w:color="auto" w:fill="FFFFFF"/>
            <w:vAlign w:val="center"/>
          </w:tcPr>
          <w:p w14:paraId="2F5E6F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54.98</w:t>
            </w:r>
          </w:p>
        </w:tc>
        <w:tc>
          <w:tcPr>
            <w:tcW w:w="184" w:type="pct"/>
            <w:tcBorders>
              <w:tl2br w:val="nil"/>
              <w:tr2bl w:val="nil"/>
            </w:tcBorders>
            <w:shd w:val="clear" w:color="auto" w:fill="FFFFFF"/>
            <w:vAlign w:val="center"/>
          </w:tcPr>
          <w:p w14:paraId="587B68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68.26</w:t>
            </w:r>
          </w:p>
        </w:tc>
        <w:tc>
          <w:tcPr>
            <w:tcW w:w="222" w:type="pct"/>
            <w:tcBorders>
              <w:tl2br w:val="nil"/>
              <w:tr2bl w:val="nil"/>
            </w:tcBorders>
            <w:shd w:val="clear" w:color="auto" w:fill="FFFFFF"/>
            <w:vAlign w:val="center"/>
          </w:tcPr>
          <w:p w14:paraId="10B7D5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46.08</w:t>
            </w:r>
          </w:p>
        </w:tc>
        <w:tc>
          <w:tcPr>
            <w:tcW w:w="138" w:type="pct"/>
            <w:vMerge w:val="continue"/>
            <w:tcBorders>
              <w:tl2br w:val="nil"/>
              <w:tr2bl w:val="nil"/>
            </w:tcBorders>
            <w:shd w:val="clear" w:color="auto" w:fill="FFFFFF"/>
            <w:vAlign w:val="center"/>
          </w:tcPr>
          <w:p w14:paraId="27BD6B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45AB60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71FCD8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431C47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72B5A8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1E1728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31.28</w:t>
            </w:r>
          </w:p>
        </w:tc>
        <w:tc>
          <w:tcPr>
            <w:tcW w:w="184" w:type="pct"/>
            <w:tcBorders>
              <w:tl2br w:val="nil"/>
              <w:tr2bl w:val="nil"/>
            </w:tcBorders>
            <w:shd w:val="clear" w:color="auto" w:fill="FFFFFF"/>
            <w:vAlign w:val="center"/>
          </w:tcPr>
          <w:p w14:paraId="16E9B1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28.78</w:t>
            </w:r>
          </w:p>
        </w:tc>
        <w:tc>
          <w:tcPr>
            <w:tcW w:w="184" w:type="pct"/>
            <w:tcBorders>
              <w:tl2br w:val="nil"/>
              <w:tr2bl w:val="nil"/>
            </w:tcBorders>
            <w:shd w:val="clear" w:color="auto" w:fill="FFFFFF"/>
            <w:vAlign w:val="center"/>
          </w:tcPr>
          <w:p w14:paraId="7D189C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41.39</w:t>
            </w:r>
          </w:p>
        </w:tc>
        <w:tc>
          <w:tcPr>
            <w:tcW w:w="184" w:type="pct"/>
            <w:tcBorders>
              <w:tl2br w:val="nil"/>
              <w:tr2bl w:val="nil"/>
            </w:tcBorders>
            <w:shd w:val="clear" w:color="auto" w:fill="FFFFFF"/>
            <w:vAlign w:val="center"/>
          </w:tcPr>
          <w:p w14:paraId="702BFA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20.01</w:t>
            </w:r>
          </w:p>
        </w:tc>
        <w:tc>
          <w:tcPr>
            <w:tcW w:w="204" w:type="pct"/>
            <w:tcBorders>
              <w:tl2br w:val="nil"/>
              <w:tr2bl w:val="nil"/>
            </w:tcBorders>
            <w:shd w:val="clear" w:color="auto" w:fill="FFFFFF"/>
            <w:vAlign w:val="center"/>
          </w:tcPr>
          <w:p w14:paraId="113215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default" w:ascii="Times New Roman" w:hAnsi="Times New Roman" w:eastAsia="宋体" w:cs="Times New Roman"/>
                <w:color w:val="auto"/>
                <w:spacing w:val="0"/>
                <w:w w:val="100"/>
                <w:position w:val="0"/>
                <w:sz w:val="18"/>
                <w:szCs w:val="18"/>
                <w:lang w:val="en-US" w:eastAsia="zh-CN"/>
              </w:rPr>
              <w:t>1</w:t>
            </w:r>
          </w:p>
        </w:tc>
      </w:tr>
      <w:tr w14:paraId="0C28E4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0700BF5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47</w:t>
            </w:r>
          </w:p>
        </w:tc>
        <w:tc>
          <w:tcPr>
            <w:tcW w:w="151" w:type="pct"/>
            <w:vMerge w:val="continue"/>
            <w:tcBorders>
              <w:tl2br w:val="nil"/>
              <w:tr2bl w:val="nil"/>
            </w:tcBorders>
            <w:shd w:val="clear" w:color="auto" w:fill="FFFFFF"/>
            <w:vAlign w:val="center"/>
          </w:tcPr>
          <w:p w14:paraId="4BF89C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restart"/>
            <w:tcBorders>
              <w:tl2br w:val="nil"/>
              <w:tr2bl w:val="nil"/>
            </w:tcBorders>
            <w:shd w:val="clear" w:color="auto" w:fill="FFFFFF"/>
            <w:vAlign w:val="center"/>
          </w:tcPr>
          <w:p w14:paraId="1894C4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18"/>
                <w:szCs w:val="18"/>
              </w:rPr>
            </w:pPr>
            <w:r>
              <w:rPr>
                <w:rFonts w:hint="default" w:ascii="Times New Roman" w:hAnsi="Times New Roman" w:cs="Times New Roman"/>
                <w:caps w:val="0"/>
                <w:snapToGrid/>
                <w:color w:val="auto"/>
                <w:spacing w:val="0"/>
                <w:w w:val="100"/>
                <w:kern w:val="21"/>
                <w:position w:val="0"/>
                <w:sz w:val="18"/>
                <w:szCs w:val="18"/>
                <w:highlight w:val="none"/>
                <w:lang w:val="en-US" w:eastAsia="zh-CN"/>
              </w:rPr>
              <w:t>五辊板材整平机</w:t>
            </w:r>
          </w:p>
        </w:tc>
        <w:tc>
          <w:tcPr>
            <w:tcW w:w="104" w:type="pct"/>
            <w:tcBorders>
              <w:tl2br w:val="nil"/>
              <w:tr2bl w:val="nil"/>
            </w:tcBorders>
            <w:shd w:val="clear" w:color="auto" w:fill="FFFFFF"/>
            <w:vAlign w:val="center"/>
          </w:tcPr>
          <w:p w14:paraId="1F70F4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32D25F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80</w:t>
            </w:r>
          </w:p>
        </w:tc>
        <w:tc>
          <w:tcPr>
            <w:tcW w:w="334" w:type="pct"/>
            <w:vMerge w:val="continue"/>
            <w:tcBorders>
              <w:tl2br w:val="nil"/>
              <w:tr2bl w:val="nil"/>
            </w:tcBorders>
            <w:shd w:val="clear" w:color="auto" w:fill="FFFFFF"/>
            <w:vAlign w:val="center"/>
          </w:tcPr>
          <w:p w14:paraId="5B3956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471A1F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-14.14</w:t>
            </w:r>
          </w:p>
        </w:tc>
        <w:tc>
          <w:tcPr>
            <w:tcW w:w="230" w:type="pct"/>
            <w:tcBorders>
              <w:tl2br w:val="nil"/>
              <w:tr2bl w:val="nil"/>
            </w:tcBorders>
            <w:shd w:val="clear" w:color="auto" w:fill="FFFFFF"/>
            <w:vAlign w:val="center"/>
          </w:tcPr>
          <w:p w14:paraId="6F056F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3.86</w:t>
            </w:r>
          </w:p>
        </w:tc>
        <w:tc>
          <w:tcPr>
            <w:tcW w:w="83" w:type="pct"/>
            <w:tcBorders>
              <w:tl2br w:val="nil"/>
              <w:tr2bl w:val="nil"/>
            </w:tcBorders>
            <w:shd w:val="clear" w:color="auto" w:fill="FFFFFF"/>
            <w:vAlign w:val="center"/>
          </w:tcPr>
          <w:p w14:paraId="250A8D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20151D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33.34</w:t>
            </w:r>
          </w:p>
        </w:tc>
        <w:tc>
          <w:tcPr>
            <w:tcW w:w="184" w:type="pct"/>
            <w:tcBorders>
              <w:tl2br w:val="nil"/>
              <w:tr2bl w:val="nil"/>
            </w:tcBorders>
            <w:shd w:val="clear" w:color="auto" w:fill="FFFFFF"/>
            <w:vAlign w:val="center"/>
          </w:tcPr>
          <w:p w14:paraId="729E2F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37.30</w:t>
            </w:r>
          </w:p>
        </w:tc>
        <w:tc>
          <w:tcPr>
            <w:tcW w:w="184" w:type="pct"/>
            <w:tcBorders>
              <w:tl2br w:val="nil"/>
              <w:tr2bl w:val="nil"/>
            </w:tcBorders>
            <w:shd w:val="clear" w:color="auto" w:fill="FFFFFF"/>
            <w:vAlign w:val="center"/>
          </w:tcPr>
          <w:p w14:paraId="73B3B2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8.08</w:t>
            </w:r>
          </w:p>
        </w:tc>
        <w:tc>
          <w:tcPr>
            <w:tcW w:w="253" w:type="pct"/>
            <w:tcBorders>
              <w:tl2br w:val="nil"/>
              <w:tr2bl w:val="nil"/>
            </w:tcBorders>
            <w:shd w:val="clear" w:color="auto" w:fill="FFFFFF"/>
            <w:vAlign w:val="center"/>
          </w:tcPr>
          <w:p w14:paraId="324404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100.10</w:t>
            </w:r>
          </w:p>
        </w:tc>
        <w:tc>
          <w:tcPr>
            <w:tcW w:w="184" w:type="pct"/>
            <w:tcBorders>
              <w:tl2br w:val="nil"/>
              <w:tr2bl w:val="nil"/>
            </w:tcBorders>
            <w:shd w:val="clear" w:color="auto" w:fill="FFFFFF"/>
            <w:vAlign w:val="center"/>
          </w:tcPr>
          <w:p w14:paraId="5FC60A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57.32</w:t>
            </w:r>
          </w:p>
        </w:tc>
        <w:tc>
          <w:tcPr>
            <w:tcW w:w="184" w:type="pct"/>
            <w:tcBorders>
              <w:tl2br w:val="nil"/>
              <w:tr2bl w:val="nil"/>
            </w:tcBorders>
            <w:shd w:val="clear" w:color="auto" w:fill="FFFFFF"/>
            <w:vAlign w:val="center"/>
          </w:tcPr>
          <w:p w14:paraId="6E3692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56.35</w:t>
            </w:r>
          </w:p>
        </w:tc>
        <w:tc>
          <w:tcPr>
            <w:tcW w:w="184" w:type="pct"/>
            <w:tcBorders>
              <w:tl2br w:val="nil"/>
              <w:tr2bl w:val="nil"/>
            </w:tcBorders>
            <w:shd w:val="clear" w:color="auto" w:fill="FFFFFF"/>
            <w:vAlign w:val="center"/>
          </w:tcPr>
          <w:p w14:paraId="5991D0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69.63</w:t>
            </w:r>
          </w:p>
        </w:tc>
        <w:tc>
          <w:tcPr>
            <w:tcW w:w="222" w:type="pct"/>
            <w:tcBorders>
              <w:tl2br w:val="nil"/>
              <w:tr2bl w:val="nil"/>
            </w:tcBorders>
            <w:shd w:val="clear" w:color="auto" w:fill="FFFFFF"/>
            <w:vAlign w:val="center"/>
          </w:tcPr>
          <w:p w14:paraId="1D78CA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47.77</w:t>
            </w:r>
          </w:p>
        </w:tc>
        <w:tc>
          <w:tcPr>
            <w:tcW w:w="138" w:type="pct"/>
            <w:vMerge w:val="continue"/>
            <w:tcBorders>
              <w:tl2br w:val="nil"/>
              <w:tr2bl w:val="nil"/>
            </w:tcBorders>
            <w:shd w:val="clear" w:color="auto" w:fill="FFFFFF"/>
            <w:vAlign w:val="center"/>
          </w:tcPr>
          <w:p w14:paraId="45CD16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145005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28CD9B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16C915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6AECB0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7D4F49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31.07</w:t>
            </w:r>
          </w:p>
        </w:tc>
        <w:tc>
          <w:tcPr>
            <w:tcW w:w="184" w:type="pct"/>
            <w:tcBorders>
              <w:tl2br w:val="nil"/>
              <w:tr2bl w:val="nil"/>
            </w:tcBorders>
            <w:shd w:val="clear" w:color="auto" w:fill="FFFFFF"/>
            <w:vAlign w:val="center"/>
          </w:tcPr>
          <w:p w14:paraId="72146A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30.12</w:t>
            </w:r>
          </w:p>
        </w:tc>
        <w:tc>
          <w:tcPr>
            <w:tcW w:w="184" w:type="pct"/>
            <w:tcBorders>
              <w:tl2br w:val="nil"/>
              <w:tr2bl w:val="nil"/>
            </w:tcBorders>
            <w:shd w:val="clear" w:color="auto" w:fill="FFFFFF"/>
            <w:vAlign w:val="center"/>
          </w:tcPr>
          <w:p w14:paraId="391D99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42.62</w:t>
            </w:r>
          </w:p>
        </w:tc>
        <w:tc>
          <w:tcPr>
            <w:tcW w:w="184" w:type="pct"/>
            <w:tcBorders>
              <w:tl2br w:val="nil"/>
              <w:tr2bl w:val="nil"/>
            </w:tcBorders>
            <w:shd w:val="clear" w:color="auto" w:fill="FFFFFF"/>
            <w:vAlign w:val="center"/>
          </w:tcPr>
          <w:p w14:paraId="499BD2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21.69</w:t>
            </w:r>
          </w:p>
        </w:tc>
        <w:tc>
          <w:tcPr>
            <w:tcW w:w="204" w:type="pct"/>
            <w:tcBorders>
              <w:tl2br w:val="nil"/>
              <w:tr2bl w:val="nil"/>
            </w:tcBorders>
            <w:shd w:val="clear" w:color="auto" w:fill="FFFFFF"/>
            <w:vAlign w:val="center"/>
          </w:tcPr>
          <w:p w14:paraId="246A97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232C56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575679E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48</w:t>
            </w:r>
          </w:p>
        </w:tc>
        <w:tc>
          <w:tcPr>
            <w:tcW w:w="151" w:type="pct"/>
            <w:vMerge w:val="continue"/>
            <w:tcBorders>
              <w:tl2br w:val="nil"/>
              <w:tr2bl w:val="nil"/>
            </w:tcBorders>
            <w:shd w:val="clear" w:color="auto" w:fill="FFFFFF"/>
            <w:vAlign w:val="center"/>
          </w:tcPr>
          <w:p w14:paraId="1FEBD5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569311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5794EA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49CE9B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80</w:t>
            </w:r>
          </w:p>
        </w:tc>
        <w:tc>
          <w:tcPr>
            <w:tcW w:w="334" w:type="pct"/>
            <w:vMerge w:val="continue"/>
            <w:tcBorders>
              <w:tl2br w:val="nil"/>
              <w:tr2bl w:val="nil"/>
            </w:tcBorders>
            <w:shd w:val="clear" w:color="auto" w:fill="FFFFFF"/>
            <w:vAlign w:val="center"/>
          </w:tcPr>
          <w:p w14:paraId="06148C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606B7F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-14.14</w:t>
            </w:r>
          </w:p>
        </w:tc>
        <w:tc>
          <w:tcPr>
            <w:tcW w:w="230" w:type="pct"/>
            <w:tcBorders>
              <w:tl2br w:val="nil"/>
              <w:tr2bl w:val="nil"/>
            </w:tcBorders>
            <w:shd w:val="clear" w:color="auto" w:fill="FFFFFF"/>
            <w:vAlign w:val="center"/>
          </w:tcPr>
          <w:p w14:paraId="3FF631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3.86</w:t>
            </w:r>
          </w:p>
        </w:tc>
        <w:tc>
          <w:tcPr>
            <w:tcW w:w="83" w:type="pct"/>
            <w:tcBorders>
              <w:tl2br w:val="nil"/>
              <w:tr2bl w:val="nil"/>
            </w:tcBorders>
            <w:shd w:val="clear" w:color="auto" w:fill="FFFFFF"/>
            <w:vAlign w:val="center"/>
          </w:tcPr>
          <w:p w14:paraId="66F8FC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7F8AFE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33.34</w:t>
            </w:r>
          </w:p>
        </w:tc>
        <w:tc>
          <w:tcPr>
            <w:tcW w:w="184" w:type="pct"/>
            <w:tcBorders>
              <w:tl2br w:val="nil"/>
              <w:tr2bl w:val="nil"/>
            </w:tcBorders>
            <w:shd w:val="clear" w:color="auto" w:fill="FFFFFF"/>
            <w:vAlign w:val="center"/>
          </w:tcPr>
          <w:p w14:paraId="6A7AD4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37.30</w:t>
            </w:r>
          </w:p>
        </w:tc>
        <w:tc>
          <w:tcPr>
            <w:tcW w:w="184" w:type="pct"/>
            <w:tcBorders>
              <w:tl2br w:val="nil"/>
              <w:tr2bl w:val="nil"/>
            </w:tcBorders>
            <w:shd w:val="clear" w:color="auto" w:fill="FFFFFF"/>
            <w:vAlign w:val="center"/>
          </w:tcPr>
          <w:p w14:paraId="1E0514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8.08</w:t>
            </w:r>
          </w:p>
        </w:tc>
        <w:tc>
          <w:tcPr>
            <w:tcW w:w="253" w:type="pct"/>
            <w:tcBorders>
              <w:tl2br w:val="nil"/>
              <w:tr2bl w:val="nil"/>
            </w:tcBorders>
            <w:shd w:val="clear" w:color="auto" w:fill="FFFFFF"/>
            <w:vAlign w:val="center"/>
          </w:tcPr>
          <w:p w14:paraId="52EB50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100.10</w:t>
            </w:r>
          </w:p>
        </w:tc>
        <w:tc>
          <w:tcPr>
            <w:tcW w:w="184" w:type="pct"/>
            <w:tcBorders>
              <w:tl2br w:val="nil"/>
              <w:tr2bl w:val="nil"/>
            </w:tcBorders>
            <w:shd w:val="clear" w:color="auto" w:fill="FFFFFF"/>
            <w:vAlign w:val="center"/>
          </w:tcPr>
          <w:p w14:paraId="1A34B1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57.32</w:t>
            </w:r>
          </w:p>
        </w:tc>
        <w:tc>
          <w:tcPr>
            <w:tcW w:w="184" w:type="pct"/>
            <w:tcBorders>
              <w:tl2br w:val="nil"/>
              <w:tr2bl w:val="nil"/>
            </w:tcBorders>
            <w:shd w:val="clear" w:color="auto" w:fill="FFFFFF"/>
            <w:vAlign w:val="center"/>
          </w:tcPr>
          <w:p w14:paraId="5A9110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56.35</w:t>
            </w:r>
          </w:p>
        </w:tc>
        <w:tc>
          <w:tcPr>
            <w:tcW w:w="184" w:type="pct"/>
            <w:tcBorders>
              <w:tl2br w:val="nil"/>
              <w:tr2bl w:val="nil"/>
            </w:tcBorders>
            <w:shd w:val="clear" w:color="auto" w:fill="FFFFFF"/>
            <w:vAlign w:val="center"/>
          </w:tcPr>
          <w:p w14:paraId="695574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69.63</w:t>
            </w:r>
          </w:p>
        </w:tc>
        <w:tc>
          <w:tcPr>
            <w:tcW w:w="222" w:type="pct"/>
            <w:tcBorders>
              <w:tl2br w:val="nil"/>
              <w:tr2bl w:val="nil"/>
            </w:tcBorders>
            <w:shd w:val="clear" w:color="auto" w:fill="FFFFFF"/>
            <w:vAlign w:val="center"/>
          </w:tcPr>
          <w:p w14:paraId="3E983D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47.77</w:t>
            </w:r>
          </w:p>
        </w:tc>
        <w:tc>
          <w:tcPr>
            <w:tcW w:w="138" w:type="pct"/>
            <w:vMerge w:val="continue"/>
            <w:tcBorders>
              <w:tl2br w:val="nil"/>
              <w:tr2bl w:val="nil"/>
            </w:tcBorders>
            <w:shd w:val="clear" w:color="auto" w:fill="FFFFFF"/>
            <w:vAlign w:val="center"/>
          </w:tcPr>
          <w:p w14:paraId="5E60DC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300989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02441F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30935B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0EAD29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0C45BA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31.07</w:t>
            </w:r>
          </w:p>
        </w:tc>
        <w:tc>
          <w:tcPr>
            <w:tcW w:w="184" w:type="pct"/>
            <w:tcBorders>
              <w:tl2br w:val="nil"/>
              <w:tr2bl w:val="nil"/>
            </w:tcBorders>
            <w:shd w:val="clear" w:color="auto" w:fill="FFFFFF"/>
            <w:vAlign w:val="center"/>
          </w:tcPr>
          <w:p w14:paraId="2F71D7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30.12</w:t>
            </w:r>
          </w:p>
        </w:tc>
        <w:tc>
          <w:tcPr>
            <w:tcW w:w="184" w:type="pct"/>
            <w:tcBorders>
              <w:tl2br w:val="nil"/>
              <w:tr2bl w:val="nil"/>
            </w:tcBorders>
            <w:shd w:val="clear" w:color="auto" w:fill="FFFFFF"/>
            <w:vAlign w:val="center"/>
          </w:tcPr>
          <w:p w14:paraId="436076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42.62</w:t>
            </w:r>
          </w:p>
        </w:tc>
        <w:tc>
          <w:tcPr>
            <w:tcW w:w="184" w:type="pct"/>
            <w:tcBorders>
              <w:tl2br w:val="nil"/>
              <w:tr2bl w:val="nil"/>
            </w:tcBorders>
            <w:shd w:val="clear" w:color="auto" w:fill="FFFFFF"/>
            <w:vAlign w:val="center"/>
          </w:tcPr>
          <w:p w14:paraId="46AF7F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21.69</w:t>
            </w:r>
          </w:p>
        </w:tc>
        <w:tc>
          <w:tcPr>
            <w:tcW w:w="204" w:type="pct"/>
            <w:tcBorders>
              <w:tl2br w:val="nil"/>
              <w:tr2bl w:val="nil"/>
            </w:tcBorders>
            <w:shd w:val="clear" w:color="auto" w:fill="FFFFFF"/>
            <w:vAlign w:val="center"/>
          </w:tcPr>
          <w:p w14:paraId="05CE2D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15F646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21CB0CF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49</w:t>
            </w:r>
          </w:p>
        </w:tc>
        <w:tc>
          <w:tcPr>
            <w:tcW w:w="151" w:type="pct"/>
            <w:vMerge w:val="continue"/>
            <w:tcBorders>
              <w:tl2br w:val="nil"/>
              <w:tr2bl w:val="nil"/>
            </w:tcBorders>
            <w:shd w:val="clear" w:color="auto" w:fill="FFFFFF"/>
            <w:vAlign w:val="center"/>
          </w:tcPr>
          <w:p w14:paraId="6B1E0B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11DC78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01E00B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483666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80</w:t>
            </w:r>
          </w:p>
        </w:tc>
        <w:tc>
          <w:tcPr>
            <w:tcW w:w="334" w:type="pct"/>
            <w:vMerge w:val="continue"/>
            <w:tcBorders>
              <w:tl2br w:val="nil"/>
              <w:tr2bl w:val="nil"/>
            </w:tcBorders>
            <w:shd w:val="clear" w:color="auto" w:fill="FFFFFF"/>
            <w:vAlign w:val="center"/>
          </w:tcPr>
          <w:p w14:paraId="201B43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753E30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-14.14</w:t>
            </w:r>
          </w:p>
        </w:tc>
        <w:tc>
          <w:tcPr>
            <w:tcW w:w="230" w:type="pct"/>
            <w:tcBorders>
              <w:tl2br w:val="nil"/>
              <w:tr2bl w:val="nil"/>
            </w:tcBorders>
            <w:shd w:val="clear" w:color="auto" w:fill="FFFFFF"/>
            <w:vAlign w:val="center"/>
          </w:tcPr>
          <w:p w14:paraId="0108BB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3.86</w:t>
            </w:r>
          </w:p>
        </w:tc>
        <w:tc>
          <w:tcPr>
            <w:tcW w:w="83" w:type="pct"/>
            <w:tcBorders>
              <w:tl2br w:val="nil"/>
              <w:tr2bl w:val="nil"/>
            </w:tcBorders>
            <w:shd w:val="clear" w:color="auto" w:fill="FFFFFF"/>
            <w:vAlign w:val="center"/>
          </w:tcPr>
          <w:p w14:paraId="790F6D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30BC70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33.34</w:t>
            </w:r>
          </w:p>
        </w:tc>
        <w:tc>
          <w:tcPr>
            <w:tcW w:w="184" w:type="pct"/>
            <w:tcBorders>
              <w:tl2br w:val="nil"/>
              <w:tr2bl w:val="nil"/>
            </w:tcBorders>
            <w:shd w:val="clear" w:color="auto" w:fill="FFFFFF"/>
            <w:vAlign w:val="center"/>
          </w:tcPr>
          <w:p w14:paraId="7B2F68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37.30</w:t>
            </w:r>
          </w:p>
        </w:tc>
        <w:tc>
          <w:tcPr>
            <w:tcW w:w="184" w:type="pct"/>
            <w:tcBorders>
              <w:tl2br w:val="nil"/>
              <w:tr2bl w:val="nil"/>
            </w:tcBorders>
            <w:shd w:val="clear" w:color="auto" w:fill="FFFFFF"/>
            <w:vAlign w:val="center"/>
          </w:tcPr>
          <w:p w14:paraId="52BFA5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8.08</w:t>
            </w:r>
          </w:p>
        </w:tc>
        <w:tc>
          <w:tcPr>
            <w:tcW w:w="253" w:type="pct"/>
            <w:tcBorders>
              <w:tl2br w:val="nil"/>
              <w:tr2bl w:val="nil"/>
            </w:tcBorders>
            <w:shd w:val="clear" w:color="auto" w:fill="FFFFFF"/>
            <w:vAlign w:val="center"/>
          </w:tcPr>
          <w:p w14:paraId="40C204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100.10</w:t>
            </w:r>
          </w:p>
        </w:tc>
        <w:tc>
          <w:tcPr>
            <w:tcW w:w="184" w:type="pct"/>
            <w:tcBorders>
              <w:tl2br w:val="nil"/>
              <w:tr2bl w:val="nil"/>
            </w:tcBorders>
            <w:shd w:val="clear" w:color="auto" w:fill="FFFFFF"/>
            <w:vAlign w:val="center"/>
          </w:tcPr>
          <w:p w14:paraId="78C031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57.32</w:t>
            </w:r>
          </w:p>
        </w:tc>
        <w:tc>
          <w:tcPr>
            <w:tcW w:w="184" w:type="pct"/>
            <w:tcBorders>
              <w:tl2br w:val="nil"/>
              <w:tr2bl w:val="nil"/>
            </w:tcBorders>
            <w:shd w:val="clear" w:color="auto" w:fill="FFFFFF"/>
            <w:vAlign w:val="center"/>
          </w:tcPr>
          <w:p w14:paraId="5C8475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56.35</w:t>
            </w:r>
          </w:p>
        </w:tc>
        <w:tc>
          <w:tcPr>
            <w:tcW w:w="184" w:type="pct"/>
            <w:tcBorders>
              <w:tl2br w:val="nil"/>
              <w:tr2bl w:val="nil"/>
            </w:tcBorders>
            <w:shd w:val="clear" w:color="auto" w:fill="FFFFFF"/>
            <w:vAlign w:val="center"/>
          </w:tcPr>
          <w:p w14:paraId="2C2F7A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69.63</w:t>
            </w:r>
          </w:p>
        </w:tc>
        <w:tc>
          <w:tcPr>
            <w:tcW w:w="222" w:type="pct"/>
            <w:tcBorders>
              <w:tl2br w:val="nil"/>
              <w:tr2bl w:val="nil"/>
            </w:tcBorders>
            <w:shd w:val="clear" w:color="auto" w:fill="FFFFFF"/>
            <w:vAlign w:val="center"/>
          </w:tcPr>
          <w:p w14:paraId="70228D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47.77</w:t>
            </w:r>
          </w:p>
        </w:tc>
        <w:tc>
          <w:tcPr>
            <w:tcW w:w="138" w:type="pct"/>
            <w:vMerge w:val="continue"/>
            <w:tcBorders>
              <w:tl2br w:val="nil"/>
              <w:tr2bl w:val="nil"/>
            </w:tcBorders>
            <w:shd w:val="clear" w:color="auto" w:fill="FFFFFF"/>
            <w:vAlign w:val="center"/>
          </w:tcPr>
          <w:p w14:paraId="3573C8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290410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0DE27F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37D8A4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60AB29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26A2B3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31.07</w:t>
            </w:r>
          </w:p>
        </w:tc>
        <w:tc>
          <w:tcPr>
            <w:tcW w:w="184" w:type="pct"/>
            <w:tcBorders>
              <w:tl2br w:val="nil"/>
              <w:tr2bl w:val="nil"/>
            </w:tcBorders>
            <w:shd w:val="clear" w:color="auto" w:fill="FFFFFF"/>
            <w:vAlign w:val="center"/>
          </w:tcPr>
          <w:p w14:paraId="54D792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30.12</w:t>
            </w:r>
          </w:p>
        </w:tc>
        <w:tc>
          <w:tcPr>
            <w:tcW w:w="184" w:type="pct"/>
            <w:tcBorders>
              <w:tl2br w:val="nil"/>
              <w:tr2bl w:val="nil"/>
            </w:tcBorders>
            <w:shd w:val="clear" w:color="auto" w:fill="FFFFFF"/>
            <w:vAlign w:val="center"/>
          </w:tcPr>
          <w:p w14:paraId="4D4A5B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42.62</w:t>
            </w:r>
          </w:p>
        </w:tc>
        <w:tc>
          <w:tcPr>
            <w:tcW w:w="184" w:type="pct"/>
            <w:tcBorders>
              <w:tl2br w:val="nil"/>
              <w:tr2bl w:val="nil"/>
            </w:tcBorders>
            <w:shd w:val="clear" w:color="auto" w:fill="FFFFFF"/>
            <w:vAlign w:val="center"/>
          </w:tcPr>
          <w:p w14:paraId="35F8F2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21.69</w:t>
            </w:r>
          </w:p>
        </w:tc>
        <w:tc>
          <w:tcPr>
            <w:tcW w:w="204" w:type="pct"/>
            <w:tcBorders>
              <w:tl2br w:val="nil"/>
              <w:tr2bl w:val="nil"/>
            </w:tcBorders>
            <w:shd w:val="clear" w:color="auto" w:fill="FFFFFF"/>
            <w:vAlign w:val="center"/>
          </w:tcPr>
          <w:p w14:paraId="7CE545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77818A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333D462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50</w:t>
            </w:r>
          </w:p>
        </w:tc>
        <w:tc>
          <w:tcPr>
            <w:tcW w:w="151" w:type="pct"/>
            <w:vMerge w:val="continue"/>
            <w:tcBorders>
              <w:tl2br w:val="nil"/>
              <w:tr2bl w:val="nil"/>
            </w:tcBorders>
            <w:shd w:val="clear" w:color="auto" w:fill="FFFFFF"/>
            <w:vAlign w:val="center"/>
          </w:tcPr>
          <w:p w14:paraId="69CFB4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2C7354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70BD47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18C8BA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80</w:t>
            </w:r>
          </w:p>
        </w:tc>
        <w:tc>
          <w:tcPr>
            <w:tcW w:w="334" w:type="pct"/>
            <w:vMerge w:val="continue"/>
            <w:tcBorders>
              <w:tl2br w:val="nil"/>
              <w:tr2bl w:val="nil"/>
            </w:tcBorders>
            <w:shd w:val="clear" w:color="auto" w:fill="FFFFFF"/>
            <w:vAlign w:val="center"/>
          </w:tcPr>
          <w:p w14:paraId="22002E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15346A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-14.14</w:t>
            </w:r>
          </w:p>
        </w:tc>
        <w:tc>
          <w:tcPr>
            <w:tcW w:w="230" w:type="pct"/>
            <w:tcBorders>
              <w:tl2br w:val="nil"/>
              <w:tr2bl w:val="nil"/>
            </w:tcBorders>
            <w:shd w:val="clear" w:color="auto" w:fill="FFFFFF"/>
            <w:vAlign w:val="center"/>
          </w:tcPr>
          <w:p w14:paraId="3C0449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3.86</w:t>
            </w:r>
          </w:p>
        </w:tc>
        <w:tc>
          <w:tcPr>
            <w:tcW w:w="83" w:type="pct"/>
            <w:tcBorders>
              <w:tl2br w:val="nil"/>
              <w:tr2bl w:val="nil"/>
            </w:tcBorders>
            <w:shd w:val="clear" w:color="auto" w:fill="FFFFFF"/>
            <w:vAlign w:val="center"/>
          </w:tcPr>
          <w:p w14:paraId="6D527C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2F1B45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33.34</w:t>
            </w:r>
          </w:p>
        </w:tc>
        <w:tc>
          <w:tcPr>
            <w:tcW w:w="184" w:type="pct"/>
            <w:tcBorders>
              <w:tl2br w:val="nil"/>
              <w:tr2bl w:val="nil"/>
            </w:tcBorders>
            <w:shd w:val="clear" w:color="auto" w:fill="FFFFFF"/>
            <w:vAlign w:val="center"/>
          </w:tcPr>
          <w:p w14:paraId="26DBE9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37.30</w:t>
            </w:r>
          </w:p>
        </w:tc>
        <w:tc>
          <w:tcPr>
            <w:tcW w:w="184" w:type="pct"/>
            <w:tcBorders>
              <w:tl2br w:val="nil"/>
              <w:tr2bl w:val="nil"/>
            </w:tcBorders>
            <w:shd w:val="clear" w:color="auto" w:fill="FFFFFF"/>
            <w:vAlign w:val="center"/>
          </w:tcPr>
          <w:p w14:paraId="23F470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8.08</w:t>
            </w:r>
          </w:p>
        </w:tc>
        <w:tc>
          <w:tcPr>
            <w:tcW w:w="253" w:type="pct"/>
            <w:tcBorders>
              <w:tl2br w:val="nil"/>
              <w:tr2bl w:val="nil"/>
            </w:tcBorders>
            <w:shd w:val="clear" w:color="auto" w:fill="FFFFFF"/>
            <w:vAlign w:val="center"/>
          </w:tcPr>
          <w:p w14:paraId="2129E5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100.10</w:t>
            </w:r>
          </w:p>
        </w:tc>
        <w:tc>
          <w:tcPr>
            <w:tcW w:w="184" w:type="pct"/>
            <w:tcBorders>
              <w:tl2br w:val="nil"/>
              <w:tr2bl w:val="nil"/>
            </w:tcBorders>
            <w:shd w:val="clear" w:color="auto" w:fill="FFFFFF"/>
            <w:vAlign w:val="center"/>
          </w:tcPr>
          <w:p w14:paraId="334291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57.32</w:t>
            </w:r>
          </w:p>
        </w:tc>
        <w:tc>
          <w:tcPr>
            <w:tcW w:w="184" w:type="pct"/>
            <w:tcBorders>
              <w:tl2br w:val="nil"/>
              <w:tr2bl w:val="nil"/>
            </w:tcBorders>
            <w:shd w:val="clear" w:color="auto" w:fill="FFFFFF"/>
            <w:vAlign w:val="center"/>
          </w:tcPr>
          <w:p w14:paraId="4384DD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56.35</w:t>
            </w:r>
          </w:p>
        </w:tc>
        <w:tc>
          <w:tcPr>
            <w:tcW w:w="184" w:type="pct"/>
            <w:tcBorders>
              <w:tl2br w:val="nil"/>
              <w:tr2bl w:val="nil"/>
            </w:tcBorders>
            <w:shd w:val="clear" w:color="auto" w:fill="FFFFFF"/>
            <w:vAlign w:val="center"/>
          </w:tcPr>
          <w:p w14:paraId="1C2DA7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69.63</w:t>
            </w:r>
          </w:p>
        </w:tc>
        <w:tc>
          <w:tcPr>
            <w:tcW w:w="222" w:type="pct"/>
            <w:tcBorders>
              <w:tl2br w:val="nil"/>
              <w:tr2bl w:val="nil"/>
            </w:tcBorders>
            <w:shd w:val="clear" w:color="auto" w:fill="FFFFFF"/>
            <w:vAlign w:val="center"/>
          </w:tcPr>
          <w:p w14:paraId="10A42F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47.77</w:t>
            </w:r>
          </w:p>
        </w:tc>
        <w:tc>
          <w:tcPr>
            <w:tcW w:w="138" w:type="pct"/>
            <w:vMerge w:val="continue"/>
            <w:tcBorders>
              <w:tl2br w:val="nil"/>
              <w:tr2bl w:val="nil"/>
            </w:tcBorders>
            <w:shd w:val="clear" w:color="auto" w:fill="FFFFFF"/>
            <w:vAlign w:val="center"/>
          </w:tcPr>
          <w:p w14:paraId="2BFE0A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3082DD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010C66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48B102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4E19E7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72C1EF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31.07</w:t>
            </w:r>
          </w:p>
        </w:tc>
        <w:tc>
          <w:tcPr>
            <w:tcW w:w="184" w:type="pct"/>
            <w:tcBorders>
              <w:tl2br w:val="nil"/>
              <w:tr2bl w:val="nil"/>
            </w:tcBorders>
            <w:shd w:val="clear" w:color="auto" w:fill="FFFFFF"/>
            <w:vAlign w:val="center"/>
          </w:tcPr>
          <w:p w14:paraId="3F911D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30.12</w:t>
            </w:r>
          </w:p>
        </w:tc>
        <w:tc>
          <w:tcPr>
            <w:tcW w:w="184" w:type="pct"/>
            <w:tcBorders>
              <w:tl2br w:val="nil"/>
              <w:tr2bl w:val="nil"/>
            </w:tcBorders>
            <w:shd w:val="clear" w:color="auto" w:fill="FFFFFF"/>
            <w:vAlign w:val="center"/>
          </w:tcPr>
          <w:p w14:paraId="1F9687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42.62</w:t>
            </w:r>
          </w:p>
        </w:tc>
        <w:tc>
          <w:tcPr>
            <w:tcW w:w="184" w:type="pct"/>
            <w:tcBorders>
              <w:tl2br w:val="nil"/>
              <w:tr2bl w:val="nil"/>
            </w:tcBorders>
            <w:shd w:val="clear" w:color="auto" w:fill="FFFFFF"/>
            <w:vAlign w:val="center"/>
          </w:tcPr>
          <w:p w14:paraId="55F3F6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21.69</w:t>
            </w:r>
          </w:p>
        </w:tc>
        <w:tc>
          <w:tcPr>
            <w:tcW w:w="204" w:type="pct"/>
            <w:tcBorders>
              <w:tl2br w:val="nil"/>
              <w:tr2bl w:val="nil"/>
            </w:tcBorders>
            <w:shd w:val="clear" w:color="auto" w:fill="FFFFFF"/>
            <w:vAlign w:val="center"/>
          </w:tcPr>
          <w:p w14:paraId="32FD32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542825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712E760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51</w:t>
            </w:r>
          </w:p>
        </w:tc>
        <w:tc>
          <w:tcPr>
            <w:tcW w:w="151" w:type="pct"/>
            <w:vMerge w:val="continue"/>
            <w:tcBorders>
              <w:tl2br w:val="nil"/>
              <w:tr2bl w:val="nil"/>
            </w:tcBorders>
            <w:shd w:val="clear" w:color="auto" w:fill="FFFFFF"/>
            <w:vAlign w:val="center"/>
          </w:tcPr>
          <w:p w14:paraId="70417F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77E223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2DE2AA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3F8274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80</w:t>
            </w:r>
          </w:p>
        </w:tc>
        <w:tc>
          <w:tcPr>
            <w:tcW w:w="334" w:type="pct"/>
            <w:vMerge w:val="continue"/>
            <w:tcBorders>
              <w:tl2br w:val="nil"/>
              <w:tr2bl w:val="nil"/>
            </w:tcBorders>
            <w:shd w:val="clear" w:color="auto" w:fill="FFFFFF"/>
            <w:vAlign w:val="center"/>
          </w:tcPr>
          <w:p w14:paraId="1DFFE6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0F00D0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-14.14</w:t>
            </w:r>
          </w:p>
        </w:tc>
        <w:tc>
          <w:tcPr>
            <w:tcW w:w="230" w:type="pct"/>
            <w:tcBorders>
              <w:tl2br w:val="nil"/>
              <w:tr2bl w:val="nil"/>
            </w:tcBorders>
            <w:shd w:val="clear" w:color="auto" w:fill="FFFFFF"/>
            <w:vAlign w:val="center"/>
          </w:tcPr>
          <w:p w14:paraId="151C78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3.86</w:t>
            </w:r>
          </w:p>
        </w:tc>
        <w:tc>
          <w:tcPr>
            <w:tcW w:w="83" w:type="pct"/>
            <w:tcBorders>
              <w:tl2br w:val="nil"/>
              <w:tr2bl w:val="nil"/>
            </w:tcBorders>
            <w:shd w:val="clear" w:color="auto" w:fill="FFFFFF"/>
            <w:vAlign w:val="center"/>
          </w:tcPr>
          <w:p w14:paraId="768FFD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76EAC6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33.34</w:t>
            </w:r>
          </w:p>
        </w:tc>
        <w:tc>
          <w:tcPr>
            <w:tcW w:w="184" w:type="pct"/>
            <w:tcBorders>
              <w:tl2br w:val="nil"/>
              <w:tr2bl w:val="nil"/>
            </w:tcBorders>
            <w:shd w:val="clear" w:color="auto" w:fill="FFFFFF"/>
            <w:vAlign w:val="center"/>
          </w:tcPr>
          <w:p w14:paraId="5ADB85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37.30</w:t>
            </w:r>
          </w:p>
        </w:tc>
        <w:tc>
          <w:tcPr>
            <w:tcW w:w="184" w:type="pct"/>
            <w:tcBorders>
              <w:tl2br w:val="nil"/>
              <w:tr2bl w:val="nil"/>
            </w:tcBorders>
            <w:shd w:val="clear" w:color="auto" w:fill="FFFFFF"/>
            <w:vAlign w:val="center"/>
          </w:tcPr>
          <w:p w14:paraId="03C9F5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8.08</w:t>
            </w:r>
          </w:p>
        </w:tc>
        <w:tc>
          <w:tcPr>
            <w:tcW w:w="253" w:type="pct"/>
            <w:tcBorders>
              <w:tl2br w:val="nil"/>
              <w:tr2bl w:val="nil"/>
            </w:tcBorders>
            <w:shd w:val="clear" w:color="auto" w:fill="FFFFFF"/>
            <w:vAlign w:val="center"/>
          </w:tcPr>
          <w:p w14:paraId="673FC9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100.10</w:t>
            </w:r>
          </w:p>
        </w:tc>
        <w:tc>
          <w:tcPr>
            <w:tcW w:w="184" w:type="pct"/>
            <w:tcBorders>
              <w:tl2br w:val="nil"/>
              <w:tr2bl w:val="nil"/>
            </w:tcBorders>
            <w:shd w:val="clear" w:color="auto" w:fill="FFFFFF"/>
            <w:vAlign w:val="center"/>
          </w:tcPr>
          <w:p w14:paraId="544311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57.32</w:t>
            </w:r>
          </w:p>
        </w:tc>
        <w:tc>
          <w:tcPr>
            <w:tcW w:w="184" w:type="pct"/>
            <w:tcBorders>
              <w:tl2br w:val="nil"/>
              <w:tr2bl w:val="nil"/>
            </w:tcBorders>
            <w:shd w:val="clear" w:color="auto" w:fill="FFFFFF"/>
            <w:vAlign w:val="center"/>
          </w:tcPr>
          <w:p w14:paraId="7FB5B7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56.35</w:t>
            </w:r>
          </w:p>
        </w:tc>
        <w:tc>
          <w:tcPr>
            <w:tcW w:w="184" w:type="pct"/>
            <w:tcBorders>
              <w:tl2br w:val="nil"/>
              <w:tr2bl w:val="nil"/>
            </w:tcBorders>
            <w:shd w:val="clear" w:color="auto" w:fill="FFFFFF"/>
            <w:vAlign w:val="center"/>
          </w:tcPr>
          <w:p w14:paraId="426852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69.63</w:t>
            </w:r>
          </w:p>
        </w:tc>
        <w:tc>
          <w:tcPr>
            <w:tcW w:w="222" w:type="pct"/>
            <w:tcBorders>
              <w:tl2br w:val="nil"/>
              <w:tr2bl w:val="nil"/>
            </w:tcBorders>
            <w:shd w:val="clear" w:color="auto" w:fill="FFFFFF"/>
            <w:vAlign w:val="center"/>
          </w:tcPr>
          <w:p w14:paraId="7084EF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47.77</w:t>
            </w:r>
          </w:p>
        </w:tc>
        <w:tc>
          <w:tcPr>
            <w:tcW w:w="138" w:type="pct"/>
            <w:vMerge w:val="continue"/>
            <w:tcBorders>
              <w:tl2br w:val="nil"/>
              <w:tr2bl w:val="nil"/>
            </w:tcBorders>
            <w:shd w:val="clear" w:color="auto" w:fill="FFFFFF"/>
            <w:vAlign w:val="center"/>
          </w:tcPr>
          <w:p w14:paraId="4A0938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57F23D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72CCA5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68DF6F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766BDF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659794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31.07</w:t>
            </w:r>
          </w:p>
        </w:tc>
        <w:tc>
          <w:tcPr>
            <w:tcW w:w="184" w:type="pct"/>
            <w:tcBorders>
              <w:tl2br w:val="nil"/>
              <w:tr2bl w:val="nil"/>
            </w:tcBorders>
            <w:shd w:val="clear" w:color="auto" w:fill="FFFFFF"/>
            <w:vAlign w:val="center"/>
          </w:tcPr>
          <w:p w14:paraId="73FF63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30.12</w:t>
            </w:r>
          </w:p>
        </w:tc>
        <w:tc>
          <w:tcPr>
            <w:tcW w:w="184" w:type="pct"/>
            <w:tcBorders>
              <w:tl2br w:val="nil"/>
              <w:tr2bl w:val="nil"/>
            </w:tcBorders>
            <w:shd w:val="clear" w:color="auto" w:fill="FFFFFF"/>
            <w:vAlign w:val="center"/>
          </w:tcPr>
          <w:p w14:paraId="1FCD17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42.62</w:t>
            </w:r>
          </w:p>
        </w:tc>
        <w:tc>
          <w:tcPr>
            <w:tcW w:w="184" w:type="pct"/>
            <w:tcBorders>
              <w:tl2br w:val="nil"/>
              <w:tr2bl w:val="nil"/>
            </w:tcBorders>
            <w:shd w:val="clear" w:color="auto" w:fill="FFFFFF"/>
            <w:vAlign w:val="center"/>
          </w:tcPr>
          <w:p w14:paraId="0205BF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21.69</w:t>
            </w:r>
          </w:p>
        </w:tc>
        <w:tc>
          <w:tcPr>
            <w:tcW w:w="204" w:type="pct"/>
            <w:tcBorders>
              <w:tl2br w:val="nil"/>
              <w:tr2bl w:val="nil"/>
            </w:tcBorders>
            <w:shd w:val="clear" w:color="auto" w:fill="FFFFFF"/>
            <w:vAlign w:val="center"/>
          </w:tcPr>
          <w:p w14:paraId="111016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default" w:ascii="Times New Roman" w:hAnsi="Times New Roman" w:eastAsia="宋体" w:cs="Times New Roman"/>
                <w:color w:val="auto"/>
                <w:spacing w:val="0"/>
                <w:w w:val="100"/>
                <w:position w:val="0"/>
                <w:sz w:val="18"/>
                <w:szCs w:val="18"/>
                <w:lang w:val="en-US" w:eastAsia="zh-CN"/>
              </w:rPr>
              <w:t>1</w:t>
            </w:r>
          </w:p>
        </w:tc>
      </w:tr>
      <w:tr w14:paraId="1D15E7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7C5ACCF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52</w:t>
            </w:r>
          </w:p>
        </w:tc>
        <w:tc>
          <w:tcPr>
            <w:tcW w:w="151" w:type="pct"/>
            <w:vMerge w:val="continue"/>
            <w:tcBorders>
              <w:tl2br w:val="nil"/>
              <w:tr2bl w:val="nil"/>
            </w:tcBorders>
            <w:shd w:val="clear" w:color="auto" w:fill="FFFFFF"/>
            <w:vAlign w:val="center"/>
          </w:tcPr>
          <w:p w14:paraId="291FE5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14080A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2439A7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719B4E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80</w:t>
            </w:r>
          </w:p>
        </w:tc>
        <w:tc>
          <w:tcPr>
            <w:tcW w:w="334" w:type="pct"/>
            <w:vMerge w:val="continue"/>
            <w:tcBorders>
              <w:tl2br w:val="nil"/>
              <w:tr2bl w:val="nil"/>
            </w:tcBorders>
            <w:shd w:val="clear" w:color="auto" w:fill="FFFFFF"/>
            <w:vAlign w:val="center"/>
          </w:tcPr>
          <w:p w14:paraId="6B77C3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3BCB3B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-14.14</w:t>
            </w:r>
          </w:p>
        </w:tc>
        <w:tc>
          <w:tcPr>
            <w:tcW w:w="230" w:type="pct"/>
            <w:tcBorders>
              <w:tl2br w:val="nil"/>
              <w:tr2bl w:val="nil"/>
            </w:tcBorders>
            <w:shd w:val="clear" w:color="auto" w:fill="FFFFFF"/>
            <w:vAlign w:val="center"/>
          </w:tcPr>
          <w:p w14:paraId="36B2D9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3.86</w:t>
            </w:r>
          </w:p>
        </w:tc>
        <w:tc>
          <w:tcPr>
            <w:tcW w:w="83" w:type="pct"/>
            <w:tcBorders>
              <w:tl2br w:val="nil"/>
              <w:tr2bl w:val="nil"/>
            </w:tcBorders>
            <w:shd w:val="clear" w:color="auto" w:fill="FFFFFF"/>
            <w:vAlign w:val="center"/>
          </w:tcPr>
          <w:p w14:paraId="42DFA7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7E534B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33.34</w:t>
            </w:r>
          </w:p>
        </w:tc>
        <w:tc>
          <w:tcPr>
            <w:tcW w:w="184" w:type="pct"/>
            <w:tcBorders>
              <w:tl2br w:val="nil"/>
              <w:tr2bl w:val="nil"/>
            </w:tcBorders>
            <w:shd w:val="clear" w:color="auto" w:fill="FFFFFF"/>
            <w:vAlign w:val="center"/>
          </w:tcPr>
          <w:p w14:paraId="750A2A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37.30</w:t>
            </w:r>
          </w:p>
        </w:tc>
        <w:tc>
          <w:tcPr>
            <w:tcW w:w="184" w:type="pct"/>
            <w:tcBorders>
              <w:tl2br w:val="nil"/>
              <w:tr2bl w:val="nil"/>
            </w:tcBorders>
            <w:shd w:val="clear" w:color="auto" w:fill="FFFFFF"/>
            <w:vAlign w:val="center"/>
          </w:tcPr>
          <w:p w14:paraId="5D8D7F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8.08</w:t>
            </w:r>
          </w:p>
        </w:tc>
        <w:tc>
          <w:tcPr>
            <w:tcW w:w="253" w:type="pct"/>
            <w:tcBorders>
              <w:tl2br w:val="nil"/>
              <w:tr2bl w:val="nil"/>
            </w:tcBorders>
            <w:shd w:val="clear" w:color="auto" w:fill="FFFFFF"/>
            <w:vAlign w:val="center"/>
          </w:tcPr>
          <w:p w14:paraId="0B780C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100.10</w:t>
            </w:r>
          </w:p>
        </w:tc>
        <w:tc>
          <w:tcPr>
            <w:tcW w:w="184" w:type="pct"/>
            <w:tcBorders>
              <w:tl2br w:val="nil"/>
              <w:tr2bl w:val="nil"/>
            </w:tcBorders>
            <w:shd w:val="clear" w:color="auto" w:fill="FFFFFF"/>
            <w:vAlign w:val="center"/>
          </w:tcPr>
          <w:p w14:paraId="22DA23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57.32</w:t>
            </w:r>
          </w:p>
        </w:tc>
        <w:tc>
          <w:tcPr>
            <w:tcW w:w="184" w:type="pct"/>
            <w:tcBorders>
              <w:tl2br w:val="nil"/>
              <w:tr2bl w:val="nil"/>
            </w:tcBorders>
            <w:shd w:val="clear" w:color="auto" w:fill="FFFFFF"/>
            <w:vAlign w:val="center"/>
          </w:tcPr>
          <w:p w14:paraId="456EEE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56.35</w:t>
            </w:r>
          </w:p>
        </w:tc>
        <w:tc>
          <w:tcPr>
            <w:tcW w:w="184" w:type="pct"/>
            <w:tcBorders>
              <w:tl2br w:val="nil"/>
              <w:tr2bl w:val="nil"/>
            </w:tcBorders>
            <w:shd w:val="clear" w:color="auto" w:fill="FFFFFF"/>
            <w:vAlign w:val="center"/>
          </w:tcPr>
          <w:p w14:paraId="3ADC41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69.63</w:t>
            </w:r>
          </w:p>
        </w:tc>
        <w:tc>
          <w:tcPr>
            <w:tcW w:w="222" w:type="pct"/>
            <w:tcBorders>
              <w:tl2br w:val="nil"/>
              <w:tr2bl w:val="nil"/>
            </w:tcBorders>
            <w:shd w:val="clear" w:color="auto" w:fill="FFFFFF"/>
            <w:vAlign w:val="center"/>
          </w:tcPr>
          <w:p w14:paraId="698481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47.77</w:t>
            </w:r>
          </w:p>
        </w:tc>
        <w:tc>
          <w:tcPr>
            <w:tcW w:w="138" w:type="pct"/>
            <w:vMerge w:val="continue"/>
            <w:tcBorders>
              <w:tl2br w:val="nil"/>
              <w:tr2bl w:val="nil"/>
            </w:tcBorders>
            <w:shd w:val="clear" w:color="auto" w:fill="FFFFFF"/>
            <w:vAlign w:val="center"/>
          </w:tcPr>
          <w:p w14:paraId="1BD6A3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449037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69FF81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48A221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00A999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6864B3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31.07</w:t>
            </w:r>
          </w:p>
        </w:tc>
        <w:tc>
          <w:tcPr>
            <w:tcW w:w="184" w:type="pct"/>
            <w:tcBorders>
              <w:tl2br w:val="nil"/>
              <w:tr2bl w:val="nil"/>
            </w:tcBorders>
            <w:shd w:val="clear" w:color="auto" w:fill="FFFFFF"/>
            <w:vAlign w:val="center"/>
          </w:tcPr>
          <w:p w14:paraId="1B8599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30.12</w:t>
            </w:r>
          </w:p>
        </w:tc>
        <w:tc>
          <w:tcPr>
            <w:tcW w:w="184" w:type="pct"/>
            <w:tcBorders>
              <w:tl2br w:val="nil"/>
              <w:tr2bl w:val="nil"/>
            </w:tcBorders>
            <w:shd w:val="clear" w:color="auto" w:fill="FFFFFF"/>
            <w:vAlign w:val="center"/>
          </w:tcPr>
          <w:p w14:paraId="138D4F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42.62</w:t>
            </w:r>
          </w:p>
        </w:tc>
        <w:tc>
          <w:tcPr>
            <w:tcW w:w="184" w:type="pct"/>
            <w:tcBorders>
              <w:tl2br w:val="nil"/>
              <w:tr2bl w:val="nil"/>
            </w:tcBorders>
            <w:shd w:val="clear" w:color="auto" w:fill="FFFFFF"/>
            <w:vAlign w:val="center"/>
          </w:tcPr>
          <w:p w14:paraId="1E2137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21.69</w:t>
            </w:r>
          </w:p>
        </w:tc>
        <w:tc>
          <w:tcPr>
            <w:tcW w:w="204" w:type="pct"/>
            <w:tcBorders>
              <w:tl2br w:val="nil"/>
              <w:tr2bl w:val="nil"/>
            </w:tcBorders>
            <w:shd w:val="clear" w:color="auto" w:fill="FFFFFF"/>
            <w:vAlign w:val="center"/>
          </w:tcPr>
          <w:p w14:paraId="23A9FE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default" w:ascii="Times New Roman" w:hAnsi="Times New Roman" w:eastAsia="宋体" w:cs="Times New Roman"/>
                <w:color w:val="auto"/>
                <w:spacing w:val="0"/>
                <w:w w:val="100"/>
                <w:position w:val="0"/>
                <w:sz w:val="18"/>
                <w:szCs w:val="18"/>
                <w:lang w:val="en-US" w:eastAsia="zh-CN"/>
              </w:rPr>
              <w:t>1</w:t>
            </w:r>
          </w:p>
        </w:tc>
      </w:tr>
      <w:tr w14:paraId="008388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1717357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53</w:t>
            </w:r>
          </w:p>
        </w:tc>
        <w:tc>
          <w:tcPr>
            <w:tcW w:w="151" w:type="pct"/>
            <w:vMerge w:val="continue"/>
            <w:tcBorders>
              <w:tl2br w:val="nil"/>
              <w:tr2bl w:val="nil"/>
            </w:tcBorders>
            <w:shd w:val="clear" w:color="auto" w:fill="FFFFFF"/>
            <w:vAlign w:val="center"/>
          </w:tcPr>
          <w:p w14:paraId="214417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restart"/>
            <w:tcBorders>
              <w:tl2br w:val="nil"/>
              <w:tr2bl w:val="nil"/>
            </w:tcBorders>
            <w:shd w:val="clear" w:color="auto" w:fill="FFFFFF"/>
            <w:vAlign w:val="center"/>
          </w:tcPr>
          <w:p w14:paraId="6AD9D9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18"/>
                <w:szCs w:val="18"/>
              </w:rPr>
            </w:pPr>
            <w:r>
              <w:rPr>
                <w:rFonts w:hint="default" w:ascii="Times New Roman" w:hAnsi="Times New Roman" w:cs="Times New Roman"/>
                <w:color w:val="auto"/>
                <w:spacing w:val="0"/>
                <w:w w:val="100"/>
                <w:position w:val="0"/>
                <w:sz w:val="18"/>
                <w:szCs w:val="18"/>
                <w:highlight w:val="none"/>
                <w:lang w:val="en-US" w:eastAsia="zh-CN"/>
              </w:rPr>
              <w:t>定速牵引装置</w:t>
            </w:r>
          </w:p>
        </w:tc>
        <w:tc>
          <w:tcPr>
            <w:tcW w:w="104" w:type="pct"/>
            <w:tcBorders>
              <w:tl2br w:val="nil"/>
              <w:tr2bl w:val="nil"/>
            </w:tcBorders>
            <w:shd w:val="clear" w:color="auto" w:fill="FFFFFF"/>
            <w:vAlign w:val="center"/>
          </w:tcPr>
          <w:p w14:paraId="6B01E9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662AD6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80</w:t>
            </w:r>
          </w:p>
        </w:tc>
        <w:tc>
          <w:tcPr>
            <w:tcW w:w="334" w:type="pct"/>
            <w:vMerge w:val="continue"/>
            <w:tcBorders>
              <w:tl2br w:val="nil"/>
              <w:tr2bl w:val="nil"/>
            </w:tcBorders>
            <w:shd w:val="clear" w:color="auto" w:fill="FFFFFF"/>
            <w:vAlign w:val="center"/>
          </w:tcPr>
          <w:p w14:paraId="150097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7F3C4D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-18.21</w:t>
            </w:r>
          </w:p>
        </w:tc>
        <w:tc>
          <w:tcPr>
            <w:tcW w:w="230" w:type="pct"/>
            <w:tcBorders>
              <w:tl2br w:val="nil"/>
              <w:tr2bl w:val="nil"/>
            </w:tcBorders>
            <w:shd w:val="clear" w:color="auto" w:fill="FFFFFF"/>
            <w:vAlign w:val="center"/>
          </w:tcPr>
          <w:p w14:paraId="38AB7A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17.56</w:t>
            </w:r>
          </w:p>
        </w:tc>
        <w:tc>
          <w:tcPr>
            <w:tcW w:w="83" w:type="pct"/>
            <w:tcBorders>
              <w:tl2br w:val="nil"/>
              <w:tr2bl w:val="nil"/>
            </w:tcBorders>
            <w:shd w:val="clear" w:color="auto" w:fill="FFFFFF"/>
            <w:vAlign w:val="center"/>
          </w:tcPr>
          <w:p w14:paraId="5E1A7A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7546E3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34.03</w:t>
            </w:r>
          </w:p>
        </w:tc>
        <w:tc>
          <w:tcPr>
            <w:tcW w:w="184" w:type="pct"/>
            <w:tcBorders>
              <w:tl2br w:val="nil"/>
              <w:tr2bl w:val="nil"/>
            </w:tcBorders>
            <w:shd w:val="clear" w:color="auto" w:fill="FFFFFF"/>
            <w:vAlign w:val="center"/>
          </w:tcPr>
          <w:p w14:paraId="5F25AA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32.18</w:t>
            </w:r>
          </w:p>
        </w:tc>
        <w:tc>
          <w:tcPr>
            <w:tcW w:w="184" w:type="pct"/>
            <w:tcBorders>
              <w:tl2br w:val="nil"/>
              <w:tr2bl w:val="nil"/>
            </w:tcBorders>
            <w:shd w:val="clear" w:color="auto" w:fill="FFFFFF"/>
            <w:vAlign w:val="center"/>
          </w:tcPr>
          <w:p w14:paraId="4B9370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6.97</w:t>
            </w:r>
          </w:p>
        </w:tc>
        <w:tc>
          <w:tcPr>
            <w:tcW w:w="253" w:type="pct"/>
            <w:tcBorders>
              <w:tl2br w:val="nil"/>
              <w:tr2bl w:val="nil"/>
            </w:tcBorders>
            <w:shd w:val="clear" w:color="auto" w:fill="FFFFFF"/>
            <w:vAlign w:val="center"/>
          </w:tcPr>
          <w:p w14:paraId="6C6D46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84.00</w:t>
            </w:r>
          </w:p>
        </w:tc>
        <w:tc>
          <w:tcPr>
            <w:tcW w:w="184" w:type="pct"/>
            <w:tcBorders>
              <w:tl2br w:val="nil"/>
              <w:tr2bl w:val="nil"/>
            </w:tcBorders>
            <w:shd w:val="clear" w:color="auto" w:fill="FFFFFF"/>
            <w:vAlign w:val="center"/>
          </w:tcPr>
          <w:p w14:paraId="229889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57.14</w:t>
            </w:r>
          </w:p>
        </w:tc>
        <w:tc>
          <w:tcPr>
            <w:tcW w:w="184" w:type="pct"/>
            <w:tcBorders>
              <w:tl2br w:val="nil"/>
              <w:tr2bl w:val="nil"/>
            </w:tcBorders>
            <w:shd w:val="clear" w:color="auto" w:fill="FFFFFF"/>
            <w:vAlign w:val="center"/>
          </w:tcPr>
          <w:p w14:paraId="20B2E4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57.63</w:t>
            </w:r>
          </w:p>
        </w:tc>
        <w:tc>
          <w:tcPr>
            <w:tcW w:w="184" w:type="pct"/>
            <w:tcBorders>
              <w:tl2br w:val="nil"/>
              <w:tr2bl w:val="nil"/>
            </w:tcBorders>
            <w:shd w:val="clear" w:color="auto" w:fill="FFFFFF"/>
            <w:vAlign w:val="center"/>
          </w:tcPr>
          <w:p w14:paraId="67A3EB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70.91</w:t>
            </w:r>
          </w:p>
        </w:tc>
        <w:tc>
          <w:tcPr>
            <w:tcW w:w="222" w:type="pct"/>
            <w:tcBorders>
              <w:tl2br w:val="nil"/>
              <w:tr2bl w:val="nil"/>
            </w:tcBorders>
            <w:shd w:val="clear" w:color="auto" w:fill="FFFFFF"/>
            <w:vAlign w:val="center"/>
          </w:tcPr>
          <w:p w14:paraId="2EF3E1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49.30</w:t>
            </w:r>
          </w:p>
        </w:tc>
        <w:tc>
          <w:tcPr>
            <w:tcW w:w="138" w:type="pct"/>
            <w:vMerge w:val="continue"/>
            <w:tcBorders>
              <w:tl2br w:val="nil"/>
              <w:tr2bl w:val="nil"/>
            </w:tcBorders>
            <w:shd w:val="clear" w:color="auto" w:fill="FFFFFF"/>
            <w:vAlign w:val="center"/>
          </w:tcPr>
          <w:p w14:paraId="23EAAF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20EC47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317C35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121809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67A85E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13B26A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30.89</w:t>
            </w:r>
          </w:p>
        </w:tc>
        <w:tc>
          <w:tcPr>
            <w:tcW w:w="184" w:type="pct"/>
            <w:tcBorders>
              <w:tl2br w:val="nil"/>
              <w:tr2bl w:val="nil"/>
            </w:tcBorders>
            <w:shd w:val="clear" w:color="auto" w:fill="FFFFFF"/>
            <w:vAlign w:val="center"/>
          </w:tcPr>
          <w:p w14:paraId="2E4A1B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31.36</w:t>
            </w:r>
          </w:p>
        </w:tc>
        <w:tc>
          <w:tcPr>
            <w:tcW w:w="184" w:type="pct"/>
            <w:tcBorders>
              <w:tl2br w:val="nil"/>
              <w:tr2bl w:val="nil"/>
            </w:tcBorders>
            <w:shd w:val="clear" w:color="auto" w:fill="FFFFFF"/>
            <w:vAlign w:val="center"/>
          </w:tcPr>
          <w:p w14:paraId="336C67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43.75</w:t>
            </w:r>
          </w:p>
        </w:tc>
        <w:tc>
          <w:tcPr>
            <w:tcW w:w="184" w:type="pct"/>
            <w:tcBorders>
              <w:tl2br w:val="nil"/>
              <w:tr2bl w:val="nil"/>
            </w:tcBorders>
            <w:shd w:val="clear" w:color="auto" w:fill="FFFFFF"/>
            <w:vAlign w:val="center"/>
          </w:tcPr>
          <w:p w14:paraId="2377DB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23.19</w:t>
            </w:r>
          </w:p>
        </w:tc>
        <w:tc>
          <w:tcPr>
            <w:tcW w:w="204" w:type="pct"/>
            <w:tcBorders>
              <w:tl2br w:val="nil"/>
              <w:tr2bl w:val="nil"/>
            </w:tcBorders>
            <w:shd w:val="clear" w:color="auto" w:fill="FFFFFF"/>
            <w:vAlign w:val="center"/>
          </w:tcPr>
          <w:p w14:paraId="036185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0607A3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30B0A3E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54</w:t>
            </w:r>
          </w:p>
        </w:tc>
        <w:tc>
          <w:tcPr>
            <w:tcW w:w="151" w:type="pct"/>
            <w:vMerge w:val="continue"/>
            <w:tcBorders>
              <w:tl2br w:val="nil"/>
              <w:tr2bl w:val="nil"/>
            </w:tcBorders>
            <w:shd w:val="clear" w:color="auto" w:fill="FFFFFF"/>
            <w:vAlign w:val="center"/>
          </w:tcPr>
          <w:p w14:paraId="462FE1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5093C0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78A770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072B8D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80</w:t>
            </w:r>
          </w:p>
        </w:tc>
        <w:tc>
          <w:tcPr>
            <w:tcW w:w="334" w:type="pct"/>
            <w:vMerge w:val="continue"/>
            <w:tcBorders>
              <w:tl2br w:val="nil"/>
              <w:tr2bl w:val="nil"/>
            </w:tcBorders>
            <w:shd w:val="clear" w:color="auto" w:fill="FFFFFF"/>
            <w:vAlign w:val="center"/>
          </w:tcPr>
          <w:p w14:paraId="1A3AC2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765C41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-18.21</w:t>
            </w:r>
          </w:p>
        </w:tc>
        <w:tc>
          <w:tcPr>
            <w:tcW w:w="230" w:type="pct"/>
            <w:tcBorders>
              <w:tl2br w:val="nil"/>
              <w:tr2bl w:val="nil"/>
            </w:tcBorders>
            <w:shd w:val="clear" w:color="auto" w:fill="FFFFFF"/>
            <w:vAlign w:val="center"/>
          </w:tcPr>
          <w:p w14:paraId="299B63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17.56</w:t>
            </w:r>
          </w:p>
        </w:tc>
        <w:tc>
          <w:tcPr>
            <w:tcW w:w="83" w:type="pct"/>
            <w:tcBorders>
              <w:tl2br w:val="nil"/>
              <w:tr2bl w:val="nil"/>
            </w:tcBorders>
            <w:shd w:val="clear" w:color="auto" w:fill="FFFFFF"/>
            <w:vAlign w:val="center"/>
          </w:tcPr>
          <w:p w14:paraId="24F973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1BC3FB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34.03</w:t>
            </w:r>
          </w:p>
        </w:tc>
        <w:tc>
          <w:tcPr>
            <w:tcW w:w="184" w:type="pct"/>
            <w:tcBorders>
              <w:tl2br w:val="nil"/>
              <w:tr2bl w:val="nil"/>
            </w:tcBorders>
            <w:shd w:val="clear" w:color="auto" w:fill="FFFFFF"/>
            <w:vAlign w:val="center"/>
          </w:tcPr>
          <w:p w14:paraId="6DA2F6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32.18</w:t>
            </w:r>
          </w:p>
        </w:tc>
        <w:tc>
          <w:tcPr>
            <w:tcW w:w="184" w:type="pct"/>
            <w:tcBorders>
              <w:tl2br w:val="nil"/>
              <w:tr2bl w:val="nil"/>
            </w:tcBorders>
            <w:shd w:val="clear" w:color="auto" w:fill="FFFFFF"/>
            <w:vAlign w:val="center"/>
          </w:tcPr>
          <w:p w14:paraId="297E60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6.97</w:t>
            </w:r>
          </w:p>
        </w:tc>
        <w:tc>
          <w:tcPr>
            <w:tcW w:w="253" w:type="pct"/>
            <w:tcBorders>
              <w:tl2br w:val="nil"/>
              <w:tr2bl w:val="nil"/>
            </w:tcBorders>
            <w:shd w:val="clear" w:color="auto" w:fill="FFFFFF"/>
            <w:vAlign w:val="center"/>
          </w:tcPr>
          <w:p w14:paraId="02B4FC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84.00</w:t>
            </w:r>
          </w:p>
        </w:tc>
        <w:tc>
          <w:tcPr>
            <w:tcW w:w="184" w:type="pct"/>
            <w:tcBorders>
              <w:tl2br w:val="nil"/>
              <w:tr2bl w:val="nil"/>
            </w:tcBorders>
            <w:shd w:val="clear" w:color="auto" w:fill="FFFFFF"/>
            <w:vAlign w:val="center"/>
          </w:tcPr>
          <w:p w14:paraId="37E909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57.14</w:t>
            </w:r>
          </w:p>
        </w:tc>
        <w:tc>
          <w:tcPr>
            <w:tcW w:w="184" w:type="pct"/>
            <w:tcBorders>
              <w:tl2br w:val="nil"/>
              <w:tr2bl w:val="nil"/>
            </w:tcBorders>
            <w:shd w:val="clear" w:color="auto" w:fill="FFFFFF"/>
            <w:vAlign w:val="center"/>
          </w:tcPr>
          <w:p w14:paraId="7A2DEA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57.63</w:t>
            </w:r>
          </w:p>
        </w:tc>
        <w:tc>
          <w:tcPr>
            <w:tcW w:w="184" w:type="pct"/>
            <w:tcBorders>
              <w:tl2br w:val="nil"/>
              <w:tr2bl w:val="nil"/>
            </w:tcBorders>
            <w:shd w:val="clear" w:color="auto" w:fill="FFFFFF"/>
            <w:vAlign w:val="center"/>
          </w:tcPr>
          <w:p w14:paraId="2B1C02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70.91</w:t>
            </w:r>
          </w:p>
        </w:tc>
        <w:tc>
          <w:tcPr>
            <w:tcW w:w="222" w:type="pct"/>
            <w:tcBorders>
              <w:tl2br w:val="nil"/>
              <w:tr2bl w:val="nil"/>
            </w:tcBorders>
            <w:shd w:val="clear" w:color="auto" w:fill="FFFFFF"/>
            <w:vAlign w:val="center"/>
          </w:tcPr>
          <w:p w14:paraId="0E8319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49.30</w:t>
            </w:r>
          </w:p>
        </w:tc>
        <w:tc>
          <w:tcPr>
            <w:tcW w:w="138" w:type="pct"/>
            <w:vMerge w:val="continue"/>
            <w:tcBorders>
              <w:tl2br w:val="nil"/>
              <w:tr2bl w:val="nil"/>
            </w:tcBorders>
            <w:shd w:val="clear" w:color="auto" w:fill="FFFFFF"/>
            <w:vAlign w:val="center"/>
          </w:tcPr>
          <w:p w14:paraId="514B93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46F02C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5ABC01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26C488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6D0D2E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334AD8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30.89</w:t>
            </w:r>
          </w:p>
        </w:tc>
        <w:tc>
          <w:tcPr>
            <w:tcW w:w="184" w:type="pct"/>
            <w:tcBorders>
              <w:tl2br w:val="nil"/>
              <w:tr2bl w:val="nil"/>
            </w:tcBorders>
            <w:shd w:val="clear" w:color="auto" w:fill="FFFFFF"/>
            <w:vAlign w:val="center"/>
          </w:tcPr>
          <w:p w14:paraId="518F19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31.36</w:t>
            </w:r>
          </w:p>
        </w:tc>
        <w:tc>
          <w:tcPr>
            <w:tcW w:w="184" w:type="pct"/>
            <w:tcBorders>
              <w:tl2br w:val="nil"/>
              <w:tr2bl w:val="nil"/>
            </w:tcBorders>
            <w:shd w:val="clear" w:color="auto" w:fill="FFFFFF"/>
            <w:vAlign w:val="center"/>
          </w:tcPr>
          <w:p w14:paraId="6AA94D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43.75</w:t>
            </w:r>
          </w:p>
        </w:tc>
        <w:tc>
          <w:tcPr>
            <w:tcW w:w="184" w:type="pct"/>
            <w:tcBorders>
              <w:tl2br w:val="nil"/>
              <w:tr2bl w:val="nil"/>
            </w:tcBorders>
            <w:shd w:val="clear" w:color="auto" w:fill="FFFFFF"/>
            <w:vAlign w:val="center"/>
          </w:tcPr>
          <w:p w14:paraId="47556D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23.19</w:t>
            </w:r>
          </w:p>
        </w:tc>
        <w:tc>
          <w:tcPr>
            <w:tcW w:w="204" w:type="pct"/>
            <w:tcBorders>
              <w:tl2br w:val="nil"/>
              <w:tr2bl w:val="nil"/>
            </w:tcBorders>
            <w:shd w:val="clear" w:color="auto" w:fill="FFFFFF"/>
            <w:vAlign w:val="center"/>
          </w:tcPr>
          <w:p w14:paraId="574E55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504F60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3C88C21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55</w:t>
            </w:r>
          </w:p>
        </w:tc>
        <w:tc>
          <w:tcPr>
            <w:tcW w:w="151" w:type="pct"/>
            <w:vMerge w:val="continue"/>
            <w:tcBorders>
              <w:tl2br w:val="nil"/>
              <w:tr2bl w:val="nil"/>
            </w:tcBorders>
            <w:shd w:val="clear" w:color="auto" w:fill="FFFFFF"/>
            <w:vAlign w:val="center"/>
          </w:tcPr>
          <w:p w14:paraId="07C36F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3024CB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02BA6E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4AD5FB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80</w:t>
            </w:r>
          </w:p>
        </w:tc>
        <w:tc>
          <w:tcPr>
            <w:tcW w:w="334" w:type="pct"/>
            <w:vMerge w:val="continue"/>
            <w:tcBorders>
              <w:tl2br w:val="nil"/>
              <w:tr2bl w:val="nil"/>
            </w:tcBorders>
            <w:shd w:val="clear" w:color="auto" w:fill="FFFFFF"/>
            <w:vAlign w:val="center"/>
          </w:tcPr>
          <w:p w14:paraId="74BB8F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640195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-18.21</w:t>
            </w:r>
          </w:p>
        </w:tc>
        <w:tc>
          <w:tcPr>
            <w:tcW w:w="230" w:type="pct"/>
            <w:tcBorders>
              <w:tl2br w:val="nil"/>
              <w:tr2bl w:val="nil"/>
            </w:tcBorders>
            <w:shd w:val="clear" w:color="auto" w:fill="FFFFFF"/>
            <w:vAlign w:val="center"/>
          </w:tcPr>
          <w:p w14:paraId="71F550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17.56</w:t>
            </w:r>
          </w:p>
        </w:tc>
        <w:tc>
          <w:tcPr>
            <w:tcW w:w="83" w:type="pct"/>
            <w:tcBorders>
              <w:tl2br w:val="nil"/>
              <w:tr2bl w:val="nil"/>
            </w:tcBorders>
            <w:shd w:val="clear" w:color="auto" w:fill="FFFFFF"/>
            <w:vAlign w:val="center"/>
          </w:tcPr>
          <w:p w14:paraId="7611B4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63E0F4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34.03</w:t>
            </w:r>
          </w:p>
        </w:tc>
        <w:tc>
          <w:tcPr>
            <w:tcW w:w="184" w:type="pct"/>
            <w:tcBorders>
              <w:tl2br w:val="nil"/>
              <w:tr2bl w:val="nil"/>
            </w:tcBorders>
            <w:shd w:val="clear" w:color="auto" w:fill="FFFFFF"/>
            <w:vAlign w:val="center"/>
          </w:tcPr>
          <w:p w14:paraId="0E3CB9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32.18</w:t>
            </w:r>
          </w:p>
        </w:tc>
        <w:tc>
          <w:tcPr>
            <w:tcW w:w="184" w:type="pct"/>
            <w:tcBorders>
              <w:tl2br w:val="nil"/>
              <w:tr2bl w:val="nil"/>
            </w:tcBorders>
            <w:shd w:val="clear" w:color="auto" w:fill="FFFFFF"/>
            <w:vAlign w:val="center"/>
          </w:tcPr>
          <w:p w14:paraId="71B924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6.97</w:t>
            </w:r>
          </w:p>
        </w:tc>
        <w:tc>
          <w:tcPr>
            <w:tcW w:w="253" w:type="pct"/>
            <w:tcBorders>
              <w:tl2br w:val="nil"/>
              <w:tr2bl w:val="nil"/>
            </w:tcBorders>
            <w:shd w:val="clear" w:color="auto" w:fill="FFFFFF"/>
            <w:vAlign w:val="center"/>
          </w:tcPr>
          <w:p w14:paraId="53C9B6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84.00</w:t>
            </w:r>
          </w:p>
        </w:tc>
        <w:tc>
          <w:tcPr>
            <w:tcW w:w="184" w:type="pct"/>
            <w:tcBorders>
              <w:tl2br w:val="nil"/>
              <w:tr2bl w:val="nil"/>
            </w:tcBorders>
            <w:shd w:val="clear" w:color="auto" w:fill="FFFFFF"/>
            <w:vAlign w:val="center"/>
          </w:tcPr>
          <w:p w14:paraId="579584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57.14</w:t>
            </w:r>
          </w:p>
        </w:tc>
        <w:tc>
          <w:tcPr>
            <w:tcW w:w="184" w:type="pct"/>
            <w:tcBorders>
              <w:tl2br w:val="nil"/>
              <w:tr2bl w:val="nil"/>
            </w:tcBorders>
            <w:shd w:val="clear" w:color="auto" w:fill="FFFFFF"/>
            <w:vAlign w:val="center"/>
          </w:tcPr>
          <w:p w14:paraId="457D9A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57.63</w:t>
            </w:r>
          </w:p>
        </w:tc>
        <w:tc>
          <w:tcPr>
            <w:tcW w:w="184" w:type="pct"/>
            <w:tcBorders>
              <w:tl2br w:val="nil"/>
              <w:tr2bl w:val="nil"/>
            </w:tcBorders>
            <w:shd w:val="clear" w:color="auto" w:fill="FFFFFF"/>
            <w:vAlign w:val="center"/>
          </w:tcPr>
          <w:p w14:paraId="57AE2E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70.91</w:t>
            </w:r>
          </w:p>
        </w:tc>
        <w:tc>
          <w:tcPr>
            <w:tcW w:w="222" w:type="pct"/>
            <w:tcBorders>
              <w:tl2br w:val="nil"/>
              <w:tr2bl w:val="nil"/>
            </w:tcBorders>
            <w:shd w:val="clear" w:color="auto" w:fill="FFFFFF"/>
            <w:vAlign w:val="center"/>
          </w:tcPr>
          <w:p w14:paraId="16FF87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49.30</w:t>
            </w:r>
          </w:p>
        </w:tc>
        <w:tc>
          <w:tcPr>
            <w:tcW w:w="138" w:type="pct"/>
            <w:vMerge w:val="continue"/>
            <w:tcBorders>
              <w:tl2br w:val="nil"/>
              <w:tr2bl w:val="nil"/>
            </w:tcBorders>
            <w:shd w:val="clear" w:color="auto" w:fill="FFFFFF"/>
            <w:vAlign w:val="center"/>
          </w:tcPr>
          <w:p w14:paraId="3DFD22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1083E7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361B0B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46C577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2C2D87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2D6795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30.89</w:t>
            </w:r>
          </w:p>
        </w:tc>
        <w:tc>
          <w:tcPr>
            <w:tcW w:w="184" w:type="pct"/>
            <w:tcBorders>
              <w:tl2br w:val="nil"/>
              <w:tr2bl w:val="nil"/>
            </w:tcBorders>
            <w:shd w:val="clear" w:color="auto" w:fill="FFFFFF"/>
            <w:vAlign w:val="center"/>
          </w:tcPr>
          <w:p w14:paraId="76A192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31.36</w:t>
            </w:r>
          </w:p>
        </w:tc>
        <w:tc>
          <w:tcPr>
            <w:tcW w:w="184" w:type="pct"/>
            <w:tcBorders>
              <w:tl2br w:val="nil"/>
              <w:tr2bl w:val="nil"/>
            </w:tcBorders>
            <w:shd w:val="clear" w:color="auto" w:fill="FFFFFF"/>
            <w:vAlign w:val="center"/>
          </w:tcPr>
          <w:p w14:paraId="4D3D33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43.75</w:t>
            </w:r>
          </w:p>
        </w:tc>
        <w:tc>
          <w:tcPr>
            <w:tcW w:w="184" w:type="pct"/>
            <w:tcBorders>
              <w:tl2br w:val="nil"/>
              <w:tr2bl w:val="nil"/>
            </w:tcBorders>
            <w:shd w:val="clear" w:color="auto" w:fill="FFFFFF"/>
            <w:vAlign w:val="center"/>
          </w:tcPr>
          <w:p w14:paraId="32B0E6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23.19</w:t>
            </w:r>
          </w:p>
        </w:tc>
        <w:tc>
          <w:tcPr>
            <w:tcW w:w="204" w:type="pct"/>
            <w:tcBorders>
              <w:tl2br w:val="nil"/>
              <w:tr2bl w:val="nil"/>
            </w:tcBorders>
            <w:shd w:val="clear" w:color="auto" w:fill="FFFFFF"/>
            <w:vAlign w:val="center"/>
          </w:tcPr>
          <w:p w14:paraId="4B2C61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5C0A0D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6C0E154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57</w:t>
            </w:r>
          </w:p>
        </w:tc>
        <w:tc>
          <w:tcPr>
            <w:tcW w:w="151" w:type="pct"/>
            <w:vMerge w:val="continue"/>
            <w:tcBorders>
              <w:tl2br w:val="nil"/>
              <w:tr2bl w:val="nil"/>
            </w:tcBorders>
            <w:shd w:val="clear" w:color="auto" w:fill="FFFFFF"/>
            <w:vAlign w:val="center"/>
          </w:tcPr>
          <w:p w14:paraId="4288A2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restart"/>
            <w:tcBorders>
              <w:tl2br w:val="nil"/>
              <w:tr2bl w:val="nil"/>
            </w:tcBorders>
            <w:shd w:val="clear" w:color="auto" w:fill="FFFFFF"/>
            <w:vAlign w:val="center"/>
          </w:tcPr>
          <w:p w14:paraId="2163FA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18"/>
                <w:szCs w:val="18"/>
              </w:rPr>
            </w:pPr>
            <w:r>
              <w:rPr>
                <w:rFonts w:hint="default" w:ascii="Times New Roman" w:hAnsi="Times New Roman" w:cs="Times New Roman"/>
                <w:color w:val="auto"/>
                <w:spacing w:val="0"/>
                <w:w w:val="100"/>
                <w:position w:val="0"/>
                <w:sz w:val="18"/>
                <w:szCs w:val="18"/>
                <w:highlight w:val="none"/>
                <w:lang w:val="en-US" w:eastAsia="zh-CN"/>
              </w:rPr>
              <w:t>自动定长剪切机</w:t>
            </w:r>
          </w:p>
        </w:tc>
        <w:tc>
          <w:tcPr>
            <w:tcW w:w="104" w:type="pct"/>
            <w:tcBorders>
              <w:tl2br w:val="nil"/>
              <w:tr2bl w:val="nil"/>
            </w:tcBorders>
            <w:shd w:val="clear" w:color="auto" w:fill="FFFFFF"/>
            <w:vAlign w:val="center"/>
          </w:tcPr>
          <w:p w14:paraId="2EFB22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742662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85</w:t>
            </w:r>
          </w:p>
        </w:tc>
        <w:tc>
          <w:tcPr>
            <w:tcW w:w="334" w:type="pct"/>
            <w:vMerge w:val="continue"/>
            <w:tcBorders>
              <w:tl2br w:val="nil"/>
              <w:tr2bl w:val="nil"/>
            </w:tcBorders>
            <w:shd w:val="clear" w:color="auto" w:fill="FFFFFF"/>
            <w:vAlign w:val="center"/>
          </w:tcPr>
          <w:p w14:paraId="597B69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42ABAC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-20.78</w:t>
            </w:r>
          </w:p>
        </w:tc>
        <w:tc>
          <w:tcPr>
            <w:tcW w:w="230" w:type="pct"/>
            <w:tcBorders>
              <w:tl2br w:val="nil"/>
              <w:tr2bl w:val="nil"/>
            </w:tcBorders>
            <w:shd w:val="clear" w:color="auto" w:fill="FFFFFF"/>
            <w:vAlign w:val="center"/>
          </w:tcPr>
          <w:p w14:paraId="769F01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33.63</w:t>
            </w:r>
          </w:p>
        </w:tc>
        <w:tc>
          <w:tcPr>
            <w:tcW w:w="83" w:type="pct"/>
            <w:tcBorders>
              <w:tl2br w:val="nil"/>
              <w:tr2bl w:val="nil"/>
            </w:tcBorders>
            <w:shd w:val="clear" w:color="auto" w:fill="FFFFFF"/>
            <w:vAlign w:val="center"/>
          </w:tcPr>
          <w:p w14:paraId="1598FD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17C470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32.65</w:t>
            </w:r>
          </w:p>
        </w:tc>
        <w:tc>
          <w:tcPr>
            <w:tcW w:w="184" w:type="pct"/>
            <w:tcBorders>
              <w:tl2br w:val="nil"/>
              <w:tr2bl w:val="nil"/>
            </w:tcBorders>
            <w:shd w:val="clear" w:color="auto" w:fill="FFFFFF"/>
            <w:vAlign w:val="center"/>
          </w:tcPr>
          <w:p w14:paraId="11FB16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36.33</w:t>
            </w:r>
          </w:p>
        </w:tc>
        <w:tc>
          <w:tcPr>
            <w:tcW w:w="184" w:type="pct"/>
            <w:tcBorders>
              <w:tl2br w:val="nil"/>
              <w:tr2bl w:val="nil"/>
            </w:tcBorders>
            <w:shd w:val="clear" w:color="auto" w:fill="FFFFFF"/>
            <w:vAlign w:val="center"/>
          </w:tcPr>
          <w:p w14:paraId="4BDD35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7.87</w:t>
            </w:r>
          </w:p>
        </w:tc>
        <w:tc>
          <w:tcPr>
            <w:tcW w:w="253" w:type="pct"/>
            <w:tcBorders>
              <w:tl2br w:val="nil"/>
              <w:tr2bl w:val="nil"/>
            </w:tcBorders>
            <w:shd w:val="clear" w:color="auto" w:fill="FFFFFF"/>
            <w:vAlign w:val="center"/>
          </w:tcPr>
          <w:p w14:paraId="021FDE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66.44</w:t>
            </w:r>
          </w:p>
        </w:tc>
        <w:tc>
          <w:tcPr>
            <w:tcW w:w="184" w:type="pct"/>
            <w:tcBorders>
              <w:tl2br w:val="nil"/>
              <w:tr2bl w:val="nil"/>
            </w:tcBorders>
            <w:shd w:val="clear" w:color="auto" w:fill="FFFFFF"/>
            <w:vAlign w:val="center"/>
          </w:tcPr>
          <w:p w14:paraId="4FB778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62.50</w:t>
            </w:r>
          </w:p>
        </w:tc>
        <w:tc>
          <w:tcPr>
            <w:tcW w:w="184" w:type="pct"/>
            <w:tcBorders>
              <w:tl2br w:val="nil"/>
              <w:tr2bl w:val="nil"/>
            </w:tcBorders>
            <w:shd w:val="clear" w:color="auto" w:fill="FFFFFF"/>
            <w:vAlign w:val="center"/>
          </w:tcPr>
          <w:p w14:paraId="31F860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61.58</w:t>
            </w:r>
          </w:p>
        </w:tc>
        <w:tc>
          <w:tcPr>
            <w:tcW w:w="184" w:type="pct"/>
            <w:tcBorders>
              <w:tl2br w:val="nil"/>
              <w:tr2bl w:val="nil"/>
            </w:tcBorders>
            <w:shd w:val="clear" w:color="auto" w:fill="FFFFFF"/>
            <w:vAlign w:val="center"/>
          </w:tcPr>
          <w:p w14:paraId="0D6FD8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74.86</w:t>
            </w:r>
          </w:p>
        </w:tc>
        <w:tc>
          <w:tcPr>
            <w:tcW w:w="222" w:type="pct"/>
            <w:tcBorders>
              <w:tl2br w:val="nil"/>
              <w:tr2bl w:val="nil"/>
            </w:tcBorders>
            <w:shd w:val="clear" w:color="auto" w:fill="FFFFFF"/>
            <w:vAlign w:val="center"/>
          </w:tcPr>
          <w:p w14:paraId="6E0098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56.33</w:t>
            </w:r>
          </w:p>
        </w:tc>
        <w:tc>
          <w:tcPr>
            <w:tcW w:w="138" w:type="pct"/>
            <w:vMerge w:val="continue"/>
            <w:tcBorders>
              <w:tl2br w:val="nil"/>
              <w:tr2bl w:val="nil"/>
            </w:tcBorders>
            <w:shd w:val="clear" w:color="auto" w:fill="FFFFFF"/>
            <w:vAlign w:val="center"/>
          </w:tcPr>
          <w:p w14:paraId="73479E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39A71E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34B928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5648E9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2AEB1A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77A4CF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36.24</w:t>
            </w:r>
          </w:p>
        </w:tc>
        <w:tc>
          <w:tcPr>
            <w:tcW w:w="184" w:type="pct"/>
            <w:tcBorders>
              <w:tl2br w:val="nil"/>
              <w:tr2bl w:val="nil"/>
            </w:tcBorders>
            <w:shd w:val="clear" w:color="auto" w:fill="FFFFFF"/>
            <w:vAlign w:val="center"/>
          </w:tcPr>
          <w:p w14:paraId="75D96D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35.34</w:t>
            </w:r>
          </w:p>
        </w:tc>
        <w:tc>
          <w:tcPr>
            <w:tcW w:w="184" w:type="pct"/>
            <w:tcBorders>
              <w:tl2br w:val="nil"/>
              <w:tr2bl w:val="nil"/>
            </w:tcBorders>
            <w:shd w:val="clear" w:color="auto" w:fill="FFFFFF"/>
            <w:vAlign w:val="center"/>
          </w:tcPr>
          <w:p w14:paraId="054A1D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47.82</w:t>
            </w:r>
          </w:p>
        </w:tc>
        <w:tc>
          <w:tcPr>
            <w:tcW w:w="184" w:type="pct"/>
            <w:tcBorders>
              <w:tl2br w:val="nil"/>
              <w:tr2bl w:val="nil"/>
            </w:tcBorders>
            <w:shd w:val="clear" w:color="auto" w:fill="FFFFFF"/>
            <w:vAlign w:val="center"/>
          </w:tcPr>
          <w:p w14:paraId="18EAEB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30.20</w:t>
            </w:r>
          </w:p>
        </w:tc>
        <w:tc>
          <w:tcPr>
            <w:tcW w:w="204" w:type="pct"/>
            <w:tcBorders>
              <w:tl2br w:val="nil"/>
              <w:tr2bl w:val="nil"/>
            </w:tcBorders>
            <w:shd w:val="clear" w:color="auto" w:fill="FFFFFF"/>
            <w:vAlign w:val="center"/>
          </w:tcPr>
          <w:p w14:paraId="418857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04E04A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12FA09A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58</w:t>
            </w:r>
          </w:p>
        </w:tc>
        <w:tc>
          <w:tcPr>
            <w:tcW w:w="151" w:type="pct"/>
            <w:vMerge w:val="continue"/>
            <w:tcBorders>
              <w:tl2br w:val="nil"/>
              <w:tr2bl w:val="nil"/>
            </w:tcBorders>
            <w:shd w:val="clear" w:color="auto" w:fill="FFFFFF"/>
            <w:vAlign w:val="center"/>
          </w:tcPr>
          <w:p w14:paraId="35B532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19B548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57C81B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05987B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85</w:t>
            </w:r>
          </w:p>
        </w:tc>
        <w:tc>
          <w:tcPr>
            <w:tcW w:w="334" w:type="pct"/>
            <w:vMerge w:val="continue"/>
            <w:tcBorders>
              <w:tl2br w:val="nil"/>
              <w:tr2bl w:val="nil"/>
            </w:tcBorders>
            <w:shd w:val="clear" w:color="auto" w:fill="FFFFFF"/>
            <w:vAlign w:val="center"/>
          </w:tcPr>
          <w:p w14:paraId="2FD991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6497C6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-20.78</w:t>
            </w:r>
          </w:p>
        </w:tc>
        <w:tc>
          <w:tcPr>
            <w:tcW w:w="230" w:type="pct"/>
            <w:tcBorders>
              <w:tl2br w:val="nil"/>
              <w:tr2bl w:val="nil"/>
            </w:tcBorders>
            <w:shd w:val="clear" w:color="auto" w:fill="FFFFFF"/>
            <w:vAlign w:val="center"/>
          </w:tcPr>
          <w:p w14:paraId="5690A5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33.63</w:t>
            </w:r>
          </w:p>
        </w:tc>
        <w:tc>
          <w:tcPr>
            <w:tcW w:w="83" w:type="pct"/>
            <w:tcBorders>
              <w:tl2br w:val="nil"/>
              <w:tr2bl w:val="nil"/>
            </w:tcBorders>
            <w:shd w:val="clear" w:color="auto" w:fill="FFFFFF"/>
            <w:vAlign w:val="center"/>
          </w:tcPr>
          <w:p w14:paraId="4263D9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75989F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32.65</w:t>
            </w:r>
          </w:p>
        </w:tc>
        <w:tc>
          <w:tcPr>
            <w:tcW w:w="184" w:type="pct"/>
            <w:tcBorders>
              <w:tl2br w:val="nil"/>
              <w:tr2bl w:val="nil"/>
            </w:tcBorders>
            <w:shd w:val="clear" w:color="auto" w:fill="FFFFFF"/>
            <w:vAlign w:val="center"/>
          </w:tcPr>
          <w:p w14:paraId="1A5EAE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36.33</w:t>
            </w:r>
          </w:p>
        </w:tc>
        <w:tc>
          <w:tcPr>
            <w:tcW w:w="184" w:type="pct"/>
            <w:tcBorders>
              <w:tl2br w:val="nil"/>
              <w:tr2bl w:val="nil"/>
            </w:tcBorders>
            <w:shd w:val="clear" w:color="auto" w:fill="FFFFFF"/>
            <w:vAlign w:val="center"/>
          </w:tcPr>
          <w:p w14:paraId="4A70DE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7.87</w:t>
            </w:r>
          </w:p>
        </w:tc>
        <w:tc>
          <w:tcPr>
            <w:tcW w:w="253" w:type="pct"/>
            <w:tcBorders>
              <w:tl2br w:val="nil"/>
              <w:tr2bl w:val="nil"/>
            </w:tcBorders>
            <w:shd w:val="clear" w:color="auto" w:fill="FFFFFF"/>
            <w:vAlign w:val="center"/>
          </w:tcPr>
          <w:p w14:paraId="13FCBE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66.44</w:t>
            </w:r>
          </w:p>
        </w:tc>
        <w:tc>
          <w:tcPr>
            <w:tcW w:w="184" w:type="pct"/>
            <w:tcBorders>
              <w:tl2br w:val="nil"/>
              <w:tr2bl w:val="nil"/>
            </w:tcBorders>
            <w:shd w:val="clear" w:color="auto" w:fill="FFFFFF"/>
            <w:vAlign w:val="center"/>
          </w:tcPr>
          <w:p w14:paraId="54B964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62.50</w:t>
            </w:r>
          </w:p>
        </w:tc>
        <w:tc>
          <w:tcPr>
            <w:tcW w:w="184" w:type="pct"/>
            <w:tcBorders>
              <w:tl2br w:val="nil"/>
              <w:tr2bl w:val="nil"/>
            </w:tcBorders>
            <w:shd w:val="clear" w:color="auto" w:fill="FFFFFF"/>
            <w:vAlign w:val="center"/>
          </w:tcPr>
          <w:p w14:paraId="7213AE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61.58</w:t>
            </w:r>
          </w:p>
        </w:tc>
        <w:tc>
          <w:tcPr>
            <w:tcW w:w="184" w:type="pct"/>
            <w:tcBorders>
              <w:tl2br w:val="nil"/>
              <w:tr2bl w:val="nil"/>
            </w:tcBorders>
            <w:shd w:val="clear" w:color="auto" w:fill="FFFFFF"/>
            <w:vAlign w:val="center"/>
          </w:tcPr>
          <w:p w14:paraId="4A24CC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74.86</w:t>
            </w:r>
          </w:p>
        </w:tc>
        <w:tc>
          <w:tcPr>
            <w:tcW w:w="222" w:type="pct"/>
            <w:tcBorders>
              <w:tl2br w:val="nil"/>
              <w:tr2bl w:val="nil"/>
            </w:tcBorders>
            <w:shd w:val="clear" w:color="auto" w:fill="FFFFFF"/>
            <w:vAlign w:val="center"/>
          </w:tcPr>
          <w:p w14:paraId="2E0A17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56.33</w:t>
            </w:r>
          </w:p>
        </w:tc>
        <w:tc>
          <w:tcPr>
            <w:tcW w:w="138" w:type="pct"/>
            <w:vMerge w:val="continue"/>
            <w:tcBorders>
              <w:tl2br w:val="nil"/>
              <w:tr2bl w:val="nil"/>
            </w:tcBorders>
            <w:shd w:val="clear" w:color="auto" w:fill="FFFFFF"/>
            <w:vAlign w:val="center"/>
          </w:tcPr>
          <w:p w14:paraId="0C2544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5D8CEF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2DEC17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3A583C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73F8F5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14964F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36.24</w:t>
            </w:r>
          </w:p>
        </w:tc>
        <w:tc>
          <w:tcPr>
            <w:tcW w:w="184" w:type="pct"/>
            <w:tcBorders>
              <w:tl2br w:val="nil"/>
              <w:tr2bl w:val="nil"/>
            </w:tcBorders>
            <w:shd w:val="clear" w:color="auto" w:fill="FFFFFF"/>
            <w:vAlign w:val="center"/>
          </w:tcPr>
          <w:p w14:paraId="53A748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35.34</w:t>
            </w:r>
          </w:p>
        </w:tc>
        <w:tc>
          <w:tcPr>
            <w:tcW w:w="184" w:type="pct"/>
            <w:tcBorders>
              <w:tl2br w:val="nil"/>
              <w:tr2bl w:val="nil"/>
            </w:tcBorders>
            <w:shd w:val="clear" w:color="auto" w:fill="FFFFFF"/>
            <w:vAlign w:val="center"/>
          </w:tcPr>
          <w:p w14:paraId="699C46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47.82</w:t>
            </w:r>
          </w:p>
        </w:tc>
        <w:tc>
          <w:tcPr>
            <w:tcW w:w="184" w:type="pct"/>
            <w:tcBorders>
              <w:tl2br w:val="nil"/>
              <w:tr2bl w:val="nil"/>
            </w:tcBorders>
            <w:shd w:val="clear" w:color="auto" w:fill="FFFFFF"/>
            <w:vAlign w:val="center"/>
          </w:tcPr>
          <w:p w14:paraId="611586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30.20</w:t>
            </w:r>
          </w:p>
        </w:tc>
        <w:tc>
          <w:tcPr>
            <w:tcW w:w="204" w:type="pct"/>
            <w:tcBorders>
              <w:tl2br w:val="nil"/>
              <w:tr2bl w:val="nil"/>
            </w:tcBorders>
            <w:shd w:val="clear" w:color="auto" w:fill="FFFFFF"/>
            <w:vAlign w:val="center"/>
          </w:tcPr>
          <w:p w14:paraId="5FCC1A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r>
              <w:rPr>
                <w:rFonts w:hint="default" w:ascii="Times New Roman" w:hAnsi="Times New Roman" w:eastAsia="宋体" w:cs="Times New Roman"/>
                <w:color w:val="auto"/>
                <w:spacing w:val="0"/>
                <w:w w:val="100"/>
                <w:position w:val="0"/>
                <w:sz w:val="18"/>
                <w:szCs w:val="18"/>
                <w:lang w:val="en-US" w:eastAsia="zh-CN"/>
              </w:rPr>
              <w:t>1</w:t>
            </w:r>
          </w:p>
        </w:tc>
      </w:tr>
      <w:tr w14:paraId="4E6D26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FFFFFF"/>
          <w:tblCellMar>
            <w:top w:w="57" w:type="dxa"/>
            <w:left w:w="57" w:type="dxa"/>
            <w:bottom w:w="57" w:type="dxa"/>
            <w:right w:w="57" w:type="dxa"/>
          </w:tblCellMar>
        </w:tblPrEx>
        <w:trPr>
          <w:trHeight w:val="0" w:hRule="atLeast"/>
          <w:jc w:val="center"/>
        </w:trPr>
        <w:tc>
          <w:tcPr>
            <w:tcW w:w="104" w:type="pct"/>
            <w:tcBorders>
              <w:tl2br w:val="nil"/>
              <w:tr2bl w:val="nil"/>
            </w:tcBorders>
            <w:shd w:val="clear" w:color="auto" w:fill="FFFFFF"/>
            <w:vAlign w:val="center"/>
          </w:tcPr>
          <w:p w14:paraId="4F83AC85">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59</w:t>
            </w:r>
          </w:p>
        </w:tc>
        <w:tc>
          <w:tcPr>
            <w:tcW w:w="151" w:type="pct"/>
            <w:vMerge w:val="continue"/>
            <w:tcBorders>
              <w:tl2br w:val="nil"/>
              <w:tr2bl w:val="nil"/>
            </w:tcBorders>
            <w:shd w:val="clear" w:color="auto" w:fill="FFFFFF"/>
            <w:vAlign w:val="center"/>
          </w:tcPr>
          <w:p w14:paraId="0CF37C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80" w:type="pct"/>
            <w:vMerge w:val="continue"/>
            <w:tcBorders>
              <w:tl2br w:val="nil"/>
              <w:tr2bl w:val="nil"/>
            </w:tcBorders>
            <w:shd w:val="clear" w:color="auto" w:fill="FFFFFF"/>
            <w:vAlign w:val="center"/>
          </w:tcPr>
          <w:p w14:paraId="33C63D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position w:val="0"/>
                <w:sz w:val="18"/>
                <w:szCs w:val="18"/>
              </w:rPr>
            </w:pPr>
          </w:p>
        </w:tc>
        <w:tc>
          <w:tcPr>
            <w:tcW w:w="104" w:type="pct"/>
            <w:tcBorders>
              <w:tl2br w:val="nil"/>
              <w:tr2bl w:val="nil"/>
            </w:tcBorders>
            <w:shd w:val="clear" w:color="auto" w:fill="FFFFFF"/>
            <w:vAlign w:val="center"/>
          </w:tcPr>
          <w:p w14:paraId="3639F8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default" w:ascii="Times New Roman" w:hAnsi="Times New Roman" w:eastAsia="宋体" w:cs="Times New Roman"/>
                <w:color w:val="auto"/>
                <w:spacing w:val="0"/>
                <w:w w:val="100"/>
                <w:position w:val="0"/>
                <w:sz w:val="18"/>
                <w:szCs w:val="18"/>
                <w:lang w:val="en-US" w:eastAsia="zh-CN"/>
              </w:rPr>
              <w:t>/</w:t>
            </w:r>
          </w:p>
        </w:tc>
        <w:tc>
          <w:tcPr>
            <w:tcW w:w="274" w:type="pct"/>
            <w:tcBorders>
              <w:tl2br w:val="nil"/>
              <w:tr2bl w:val="nil"/>
            </w:tcBorders>
            <w:shd w:val="clear" w:color="auto" w:fill="FFFFFF"/>
            <w:vAlign w:val="center"/>
          </w:tcPr>
          <w:p w14:paraId="1F0A85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85</w:t>
            </w:r>
          </w:p>
        </w:tc>
        <w:tc>
          <w:tcPr>
            <w:tcW w:w="334" w:type="pct"/>
            <w:vMerge w:val="continue"/>
            <w:tcBorders>
              <w:tl2br w:val="nil"/>
              <w:tr2bl w:val="nil"/>
            </w:tcBorders>
            <w:shd w:val="clear" w:color="auto" w:fill="FFFFFF"/>
            <w:vAlign w:val="center"/>
          </w:tcPr>
          <w:p w14:paraId="4A7A0D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rPr>
            </w:pPr>
          </w:p>
        </w:tc>
        <w:tc>
          <w:tcPr>
            <w:tcW w:w="230" w:type="pct"/>
            <w:tcBorders>
              <w:tl2br w:val="nil"/>
              <w:tr2bl w:val="nil"/>
            </w:tcBorders>
            <w:shd w:val="clear" w:color="auto" w:fill="FFFFFF"/>
            <w:vAlign w:val="center"/>
          </w:tcPr>
          <w:p w14:paraId="06E44E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-20.78</w:t>
            </w:r>
          </w:p>
        </w:tc>
        <w:tc>
          <w:tcPr>
            <w:tcW w:w="230" w:type="pct"/>
            <w:tcBorders>
              <w:tl2br w:val="nil"/>
              <w:tr2bl w:val="nil"/>
            </w:tcBorders>
            <w:shd w:val="clear" w:color="auto" w:fill="FFFFFF"/>
            <w:vAlign w:val="center"/>
          </w:tcPr>
          <w:p w14:paraId="103809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33.63</w:t>
            </w:r>
          </w:p>
        </w:tc>
        <w:tc>
          <w:tcPr>
            <w:tcW w:w="83" w:type="pct"/>
            <w:tcBorders>
              <w:tl2br w:val="nil"/>
              <w:tr2bl w:val="nil"/>
            </w:tcBorders>
            <w:shd w:val="clear" w:color="auto" w:fill="FFFFFF"/>
            <w:vAlign w:val="center"/>
          </w:tcPr>
          <w:p w14:paraId="608C83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1</w:t>
            </w:r>
          </w:p>
        </w:tc>
        <w:tc>
          <w:tcPr>
            <w:tcW w:w="184" w:type="pct"/>
            <w:tcBorders>
              <w:tl2br w:val="nil"/>
              <w:tr2bl w:val="nil"/>
            </w:tcBorders>
            <w:shd w:val="clear" w:color="auto" w:fill="FFFFFF"/>
            <w:vAlign w:val="center"/>
          </w:tcPr>
          <w:p w14:paraId="6DBF42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32.65</w:t>
            </w:r>
          </w:p>
        </w:tc>
        <w:tc>
          <w:tcPr>
            <w:tcW w:w="184" w:type="pct"/>
            <w:tcBorders>
              <w:tl2br w:val="nil"/>
              <w:tr2bl w:val="nil"/>
            </w:tcBorders>
            <w:shd w:val="clear" w:color="auto" w:fill="FFFFFF"/>
            <w:vAlign w:val="center"/>
          </w:tcPr>
          <w:p w14:paraId="7028E8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36.33</w:t>
            </w:r>
          </w:p>
        </w:tc>
        <w:tc>
          <w:tcPr>
            <w:tcW w:w="184" w:type="pct"/>
            <w:tcBorders>
              <w:tl2br w:val="nil"/>
              <w:tr2bl w:val="nil"/>
            </w:tcBorders>
            <w:shd w:val="clear" w:color="auto" w:fill="FFFFFF"/>
            <w:vAlign w:val="center"/>
          </w:tcPr>
          <w:p w14:paraId="044EBF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7.87</w:t>
            </w:r>
          </w:p>
        </w:tc>
        <w:tc>
          <w:tcPr>
            <w:tcW w:w="253" w:type="pct"/>
            <w:tcBorders>
              <w:tl2br w:val="nil"/>
              <w:tr2bl w:val="nil"/>
            </w:tcBorders>
            <w:shd w:val="clear" w:color="auto" w:fill="FFFFFF"/>
            <w:vAlign w:val="center"/>
          </w:tcPr>
          <w:p w14:paraId="0357D1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66.44</w:t>
            </w:r>
          </w:p>
        </w:tc>
        <w:tc>
          <w:tcPr>
            <w:tcW w:w="184" w:type="pct"/>
            <w:tcBorders>
              <w:tl2br w:val="nil"/>
              <w:tr2bl w:val="nil"/>
            </w:tcBorders>
            <w:shd w:val="clear" w:color="auto" w:fill="FFFFFF"/>
            <w:vAlign w:val="center"/>
          </w:tcPr>
          <w:p w14:paraId="2061B9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62.50</w:t>
            </w:r>
          </w:p>
        </w:tc>
        <w:tc>
          <w:tcPr>
            <w:tcW w:w="184" w:type="pct"/>
            <w:tcBorders>
              <w:tl2br w:val="nil"/>
              <w:tr2bl w:val="nil"/>
            </w:tcBorders>
            <w:shd w:val="clear" w:color="auto" w:fill="FFFFFF"/>
            <w:vAlign w:val="center"/>
          </w:tcPr>
          <w:p w14:paraId="50117D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61.58</w:t>
            </w:r>
          </w:p>
        </w:tc>
        <w:tc>
          <w:tcPr>
            <w:tcW w:w="184" w:type="pct"/>
            <w:tcBorders>
              <w:tl2br w:val="nil"/>
              <w:tr2bl w:val="nil"/>
            </w:tcBorders>
            <w:shd w:val="clear" w:color="auto" w:fill="FFFFFF"/>
            <w:vAlign w:val="center"/>
          </w:tcPr>
          <w:p w14:paraId="0E1D19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74.86</w:t>
            </w:r>
          </w:p>
        </w:tc>
        <w:tc>
          <w:tcPr>
            <w:tcW w:w="222" w:type="pct"/>
            <w:tcBorders>
              <w:tl2br w:val="nil"/>
              <w:tr2bl w:val="nil"/>
            </w:tcBorders>
            <w:shd w:val="clear" w:color="auto" w:fill="FFFFFF"/>
            <w:vAlign w:val="center"/>
          </w:tcPr>
          <w:p w14:paraId="67D397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56.33</w:t>
            </w:r>
          </w:p>
        </w:tc>
        <w:tc>
          <w:tcPr>
            <w:tcW w:w="138" w:type="pct"/>
            <w:vMerge w:val="continue"/>
            <w:tcBorders>
              <w:tl2br w:val="nil"/>
              <w:tr2bl w:val="nil"/>
            </w:tcBorders>
            <w:shd w:val="clear" w:color="auto" w:fill="FFFFFF"/>
            <w:vAlign w:val="center"/>
          </w:tcPr>
          <w:p w14:paraId="507269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p>
        </w:tc>
        <w:tc>
          <w:tcPr>
            <w:tcW w:w="131" w:type="pct"/>
            <w:tcBorders>
              <w:tl2br w:val="nil"/>
              <w:tr2bl w:val="nil"/>
            </w:tcBorders>
            <w:shd w:val="clear" w:color="auto" w:fill="FFFFFF"/>
            <w:vAlign w:val="center"/>
          </w:tcPr>
          <w:p w14:paraId="009838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3E8F6D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34" w:type="pct"/>
            <w:tcBorders>
              <w:tl2br w:val="nil"/>
              <w:tr2bl w:val="nil"/>
            </w:tcBorders>
            <w:shd w:val="clear" w:color="auto" w:fill="FFFFFF"/>
            <w:vAlign w:val="center"/>
          </w:tcPr>
          <w:p w14:paraId="348603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40" w:type="pct"/>
            <w:tcBorders>
              <w:tl2br w:val="nil"/>
              <w:tr2bl w:val="nil"/>
            </w:tcBorders>
            <w:shd w:val="clear" w:color="auto" w:fill="FFFFFF"/>
            <w:vAlign w:val="center"/>
          </w:tcPr>
          <w:p w14:paraId="09FCDB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20</w:t>
            </w:r>
          </w:p>
        </w:tc>
        <w:tc>
          <w:tcPr>
            <w:tcW w:w="184" w:type="pct"/>
            <w:tcBorders>
              <w:tl2br w:val="nil"/>
              <w:tr2bl w:val="nil"/>
            </w:tcBorders>
            <w:shd w:val="clear" w:color="auto" w:fill="FFFFFF"/>
            <w:vAlign w:val="center"/>
          </w:tcPr>
          <w:p w14:paraId="5C9A4F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36.24</w:t>
            </w:r>
          </w:p>
        </w:tc>
        <w:tc>
          <w:tcPr>
            <w:tcW w:w="184" w:type="pct"/>
            <w:tcBorders>
              <w:tl2br w:val="nil"/>
              <w:tr2bl w:val="nil"/>
            </w:tcBorders>
            <w:shd w:val="clear" w:color="auto" w:fill="FFFFFF"/>
            <w:vAlign w:val="center"/>
          </w:tcPr>
          <w:p w14:paraId="122E90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35.34</w:t>
            </w:r>
          </w:p>
        </w:tc>
        <w:tc>
          <w:tcPr>
            <w:tcW w:w="184" w:type="pct"/>
            <w:tcBorders>
              <w:tl2br w:val="nil"/>
              <w:tr2bl w:val="nil"/>
            </w:tcBorders>
            <w:shd w:val="clear" w:color="auto" w:fill="FFFFFF"/>
            <w:vAlign w:val="center"/>
          </w:tcPr>
          <w:p w14:paraId="5B12AC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47.82</w:t>
            </w:r>
          </w:p>
        </w:tc>
        <w:tc>
          <w:tcPr>
            <w:tcW w:w="184" w:type="pct"/>
            <w:tcBorders>
              <w:tl2br w:val="nil"/>
              <w:tr2bl w:val="nil"/>
            </w:tcBorders>
            <w:shd w:val="clear" w:color="auto" w:fill="FFFFFF"/>
            <w:vAlign w:val="center"/>
          </w:tcPr>
          <w:p w14:paraId="48B6C9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18"/>
                <w:szCs w:val="18"/>
                <w:u w:val="none"/>
                <w:lang w:val="en-US" w:eastAsia="zh-CN" w:bidi="ar"/>
              </w:rPr>
            </w:pPr>
            <w:r>
              <w:rPr>
                <w:rFonts w:hint="default" w:ascii="Times New Roman" w:hAnsi="Times New Roman" w:eastAsia="宋体" w:cs="Times New Roman"/>
                <w:i w:val="0"/>
                <w:iCs w:val="0"/>
                <w:color w:val="auto"/>
                <w:spacing w:val="0"/>
                <w:w w:val="100"/>
                <w:kern w:val="0"/>
                <w:position w:val="0"/>
                <w:sz w:val="18"/>
                <w:szCs w:val="18"/>
                <w:u w:val="none"/>
                <w:lang w:val="en-US" w:eastAsia="zh-CN" w:bidi="ar"/>
              </w:rPr>
              <w:t>30.20</w:t>
            </w:r>
          </w:p>
        </w:tc>
        <w:tc>
          <w:tcPr>
            <w:tcW w:w="204" w:type="pct"/>
            <w:tcBorders>
              <w:tl2br w:val="nil"/>
              <w:tr2bl w:val="nil"/>
            </w:tcBorders>
            <w:shd w:val="clear" w:color="auto" w:fill="FFFFFF"/>
            <w:vAlign w:val="center"/>
          </w:tcPr>
          <w:p w14:paraId="0F8924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position w:val="0"/>
                <w:sz w:val="18"/>
                <w:szCs w:val="18"/>
                <w:lang w:val="en-US" w:eastAsia="zh-CN"/>
              </w:rPr>
            </w:pPr>
            <w:r>
              <w:rPr>
                <w:rFonts w:hint="default" w:ascii="Times New Roman" w:hAnsi="Times New Roman" w:eastAsia="宋体" w:cs="Times New Roman"/>
                <w:color w:val="auto"/>
                <w:spacing w:val="0"/>
                <w:w w:val="100"/>
                <w:position w:val="0"/>
                <w:sz w:val="18"/>
                <w:szCs w:val="18"/>
                <w:lang w:val="en-US" w:eastAsia="zh-CN"/>
              </w:rPr>
              <w:t>1</w:t>
            </w:r>
          </w:p>
        </w:tc>
      </w:tr>
      <w:bookmarkEnd w:id="239"/>
    </w:tbl>
    <w:p w14:paraId="4C043710">
      <w:pPr>
        <w:keepNext w:val="0"/>
        <w:keepLines w:val="0"/>
        <w:pageBreakBefore w:val="0"/>
        <w:widowControl w:val="0"/>
        <w:kinsoku/>
        <w:wordWrap/>
        <w:overflowPunct/>
        <w:topLinePunct w:val="0"/>
        <w:autoSpaceDE/>
        <w:autoSpaceDN/>
        <w:bidi w:val="0"/>
        <w:rPr>
          <w:color w:val="auto"/>
          <w:spacing w:val="0"/>
          <w:w w:val="100"/>
          <w:position w:val="0"/>
        </w:rPr>
      </w:pPr>
    </w:p>
    <w:p w14:paraId="0D007599">
      <w:pPr>
        <w:pStyle w:val="4"/>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DE66557">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3.4.4固废</w:t>
      </w:r>
    </w:p>
    <w:p w14:paraId="2C749ED0">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1.一般工业固废</w:t>
      </w:r>
    </w:p>
    <w:p w14:paraId="53CB4FFB">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（1）废包装材料（S1、S5）</w:t>
      </w:r>
    </w:p>
    <w:p w14:paraId="4452328C">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项目在生产过程中会产生废包装材料，产生量为0.5t/a，废包装材料集中收集后由物资回收单位进行综合利用。根据</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《固体废物分类与代码目录》（生态环境部公告2024年第4号）</w:t>
      </w:r>
      <w:r>
        <w:rPr>
          <w:rFonts w:hint="eastAsia"/>
          <w:color w:val="auto"/>
          <w:spacing w:val="0"/>
          <w:w w:val="100"/>
          <w:position w:val="0"/>
          <w:highlight w:val="none"/>
          <w:lang w:val="en-US" w:eastAsia="zh-CN"/>
        </w:rPr>
        <w:t>，该部分固废属于SW17可再生类废物，废物代码为900-003-S17，</w:t>
      </w:r>
      <w:r>
        <w:rPr>
          <w:rFonts w:hint="default" w:ascii="Times New Roman" w:hAnsi="Times New Roman" w:eastAsia="宋体" w:cs="Times New Roman"/>
          <w:color w:val="auto"/>
          <w:spacing w:val="0"/>
          <w:w w:val="100"/>
          <w:kern w:val="0"/>
          <w:position w:val="0"/>
          <w:sz w:val="24"/>
          <w:szCs w:val="22"/>
          <w:highlight w:val="none"/>
          <w:lang w:val="en-US" w:eastAsia="zh-CN" w:bidi="ar-SA"/>
        </w:rPr>
        <w:t>集中收集后外售废品回收站综合利用。</w:t>
      </w:r>
    </w:p>
    <w:p w14:paraId="226F842D">
      <w:pPr>
        <w:pStyle w:val="32"/>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（2）废过滤渣和废过滤网（S2）</w:t>
      </w:r>
    </w:p>
    <w:p w14:paraId="1ED40411">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本项目挤出工序会有废过滤渣和废过滤网产生，根据建设单位提供资料，产生量约为0.05t/a。根据《固体废物分类与代码目录》（生态环境部公告2024年第4号），该部分固废属于SW59</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其他工业固体废物</w:t>
      </w:r>
      <w:r>
        <w:rPr>
          <w:rFonts w:hint="eastAsia"/>
          <w:color w:val="auto"/>
          <w:spacing w:val="0"/>
          <w:w w:val="100"/>
          <w:position w:val="0"/>
          <w:highlight w:val="none"/>
          <w:lang w:val="en-US" w:eastAsia="zh-CN"/>
        </w:rPr>
        <w:t>，废物代码为900-009-S59，</w:t>
      </w:r>
      <w:r>
        <w:rPr>
          <w:rFonts w:hint="default" w:ascii="Times New Roman" w:hAnsi="Times New Roman" w:eastAsia="宋体" w:cs="Times New Roman"/>
          <w:color w:val="auto"/>
          <w:spacing w:val="0"/>
          <w:w w:val="100"/>
          <w:kern w:val="0"/>
          <w:position w:val="0"/>
          <w:sz w:val="24"/>
          <w:szCs w:val="22"/>
          <w:highlight w:val="none"/>
          <w:lang w:val="en-US" w:eastAsia="zh-CN" w:bidi="ar-SA"/>
        </w:rPr>
        <w:t>集中收集后外售废品回收站综合利用</w:t>
      </w:r>
      <w:r>
        <w:rPr>
          <w:rFonts w:hint="default" w:ascii="Times New Roman" w:hAnsi="Times New Roman" w:eastAsia="宋体" w:cs="Times New Roman"/>
          <w:caps w:val="0"/>
          <w:snapToGrid/>
          <w:color w:val="auto"/>
          <w:spacing w:val="0"/>
          <w:w w:val="100"/>
          <w:kern w:val="0"/>
          <w:position w:val="0"/>
          <w:sz w:val="24"/>
          <w:szCs w:val="24"/>
          <w:highlight w:val="none"/>
          <w:lang w:eastAsia="zh-CN"/>
        </w:rPr>
        <w:t>。</w:t>
      </w:r>
    </w:p>
    <w:p w14:paraId="69A3DE53">
      <w:pPr>
        <w:pStyle w:val="32"/>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（3）边角料（S3、S4）</w:t>
      </w:r>
    </w:p>
    <w:p w14:paraId="34EF09C3">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ascii="Times New Roman" w:hAnsi="Times New Roman" w:cs="Times New Roman"/>
          <w:color w:val="auto"/>
          <w:spacing w:val="0"/>
          <w:w w:val="100"/>
          <w:position w:val="0"/>
          <w:highlight w:val="none"/>
          <w:lang w:val="en-US" w:eastAsia="zh-CN"/>
        </w:rPr>
        <w:t>根据企业提供，边角料及不合格品约为原材料的1‰，</w:t>
      </w:r>
      <w:r>
        <w:rPr>
          <w:rFonts w:hint="eastAsia"/>
          <w:color w:val="auto"/>
          <w:spacing w:val="0"/>
          <w:w w:val="100"/>
          <w:position w:val="0"/>
          <w:highlight w:val="none"/>
          <w:lang w:val="en-US" w:eastAsia="zh-CN"/>
        </w:rPr>
        <w:t>本项目塑料产品量为3694t/a，则修边保温及修边剪切产生的边角料约3.694t/a。根据《固体废物分类与代码目录》（生态环境部公告2024年第4号），该部分固废属于SW17可再生类废物，废物代码为900-003-S17，</w:t>
      </w:r>
      <w:r>
        <w:rPr>
          <w:rFonts w:hint="default" w:ascii="Times New Roman" w:hAnsi="Times New Roman" w:eastAsia="宋体" w:cs="Times New Roman"/>
          <w:color w:val="auto"/>
          <w:spacing w:val="0"/>
          <w:w w:val="100"/>
          <w:kern w:val="0"/>
          <w:position w:val="0"/>
          <w:sz w:val="24"/>
          <w:szCs w:val="22"/>
          <w:highlight w:val="none"/>
          <w:lang w:val="en-US" w:eastAsia="zh-CN" w:bidi="ar-SA"/>
        </w:rPr>
        <w:t>集中收集后外售废品回收站综合利用</w:t>
      </w:r>
      <w:r>
        <w:rPr>
          <w:rFonts w:hint="default" w:ascii="Times New Roman" w:hAnsi="Times New Roman" w:eastAsia="宋体" w:cs="Times New Roman"/>
          <w:caps w:val="0"/>
          <w:snapToGrid/>
          <w:color w:val="auto"/>
          <w:spacing w:val="0"/>
          <w:w w:val="100"/>
          <w:kern w:val="0"/>
          <w:position w:val="0"/>
          <w:sz w:val="24"/>
          <w:szCs w:val="24"/>
          <w:highlight w:val="none"/>
          <w:lang w:eastAsia="zh-CN"/>
        </w:rPr>
        <w:t>。</w:t>
      </w:r>
    </w:p>
    <w:p w14:paraId="0A42ED9E">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lang w:val="en-US" w:eastAsia="zh-CN"/>
        </w:rPr>
      </w:pPr>
      <w:r>
        <w:rPr>
          <w:rFonts w:hint="eastAsia" w:ascii="Times New Roman" w:hAnsi="Times New Roman" w:eastAsia="宋体" w:cs="Times New Roman"/>
          <w:caps w:val="0"/>
          <w:snapToGrid/>
          <w:color w:val="auto"/>
          <w:spacing w:val="0"/>
          <w:w w:val="100"/>
          <w:kern w:val="0"/>
          <w:position w:val="0"/>
          <w:sz w:val="24"/>
          <w:szCs w:val="24"/>
          <w:highlight w:val="none"/>
          <w:lang w:val="en-US" w:eastAsia="zh-CN"/>
        </w:rPr>
        <w:t>（4）除尘器收集粉尘（S6）</w:t>
      </w:r>
    </w:p>
    <w:p w14:paraId="6EEA55AF">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lang w:val="en-US" w:eastAsia="zh-CN"/>
        </w:rPr>
      </w:pPr>
      <w:r>
        <w:rPr>
          <w:rFonts w:hint="eastAsia" w:ascii="Times New Roman" w:hAnsi="Times New Roman" w:eastAsia="宋体" w:cs="Times New Roman"/>
          <w:caps w:val="0"/>
          <w:snapToGrid/>
          <w:color w:val="auto"/>
          <w:spacing w:val="0"/>
          <w:w w:val="100"/>
          <w:kern w:val="0"/>
          <w:position w:val="0"/>
          <w:sz w:val="24"/>
          <w:szCs w:val="24"/>
          <w:highlight w:val="none"/>
          <w:lang w:val="en-US" w:eastAsia="zh-CN"/>
        </w:rPr>
        <w:t>根据源强核算，除尘器收集粉尘量为20.76t/a。</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根据《固体废物分类与代码目录》（生态环境部公告2024年第4号），属于SW59其他工业固体废物中非特定行业产生的“其他工业生产过程中产生的固体废物”，废物代码为900-0</w:t>
      </w:r>
      <w:r>
        <w:rPr>
          <w:rFonts w:hint="eastAsia" w:ascii="Times New Roman" w:hAnsi="Times New Roman" w:eastAsia="宋体" w:cs="Times New Roman"/>
          <w:caps w:val="0"/>
          <w:snapToGrid/>
          <w:color w:val="auto"/>
          <w:spacing w:val="0"/>
          <w:w w:val="100"/>
          <w:kern w:val="0"/>
          <w:position w:val="0"/>
          <w:sz w:val="24"/>
          <w:szCs w:val="24"/>
          <w:highlight w:val="none"/>
          <w:lang w:val="en-US" w:eastAsia="zh-CN"/>
        </w:rPr>
        <w:t>9</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9-S59，密闭容器集中收集后外售废品回收站综合利用。</w:t>
      </w:r>
    </w:p>
    <w:p w14:paraId="719A9040">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lang w:val="en-US" w:eastAsia="zh-CN"/>
        </w:rPr>
      </w:pP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（5）废布袋（S7）</w:t>
      </w:r>
    </w:p>
    <w:p w14:paraId="5DFC95F8">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kern w:val="0"/>
          <w:position w:val="0"/>
          <w:sz w:val="24"/>
          <w:szCs w:val="22"/>
          <w:highlight w:val="none"/>
          <w:lang w:val="en-US" w:eastAsia="zh-CN" w:bidi="ar-SA"/>
        </w:rPr>
      </w:pPr>
      <w:r>
        <w:rPr>
          <w:rFonts w:hint="default" w:ascii="Times New Roman" w:hAnsi="Times New Roman" w:eastAsia="宋体" w:cs="Times New Roman"/>
          <w:color w:val="auto"/>
          <w:spacing w:val="0"/>
          <w:w w:val="100"/>
          <w:kern w:val="0"/>
          <w:position w:val="0"/>
          <w:sz w:val="24"/>
          <w:szCs w:val="22"/>
          <w:highlight w:val="none"/>
          <w:lang w:val="en-US" w:eastAsia="zh-CN" w:bidi="ar-SA"/>
        </w:rPr>
        <w:t>布袋除尘器在运行过程中，布袋需定期更换，每年更换1次，</w:t>
      </w:r>
      <w:r>
        <w:rPr>
          <w:rFonts w:hint="default" w:ascii="Times New Roman" w:hAnsi="Times New Roman" w:eastAsia="Segoe UI" w:cs="Times New Roman"/>
          <w:i w:val="0"/>
          <w:iCs w:val="0"/>
          <w:caps w:val="0"/>
          <w:color w:val="auto"/>
          <w:spacing w:val="0"/>
          <w:w w:val="100"/>
          <w:position w:val="0"/>
          <w:sz w:val="24"/>
          <w:szCs w:val="24"/>
          <w:shd w:val="clear" w:fill="FFFFFF"/>
        </w:rPr>
        <w:t>一般每万m³/h风量配套200–300条布袋，</w:t>
      </w:r>
      <w:r>
        <w:rPr>
          <w:rFonts w:hint="default" w:ascii="Times New Roman" w:hAnsi="Times New Roman" w:eastAsia="宋体" w:cs="Times New Roman"/>
          <w:i w:val="0"/>
          <w:iCs w:val="0"/>
          <w:caps w:val="0"/>
          <w:color w:val="auto"/>
          <w:spacing w:val="0"/>
          <w:w w:val="100"/>
          <w:position w:val="0"/>
          <w:sz w:val="24"/>
          <w:szCs w:val="24"/>
          <w:shd w:val="clear" w:fill="FFFFFF"/>
          <w:lang w:val="en-US" w:eastAsia="zh-CN"/>
        </w:rPr>
        <w:t>单条布袋重量约2~3kg，本项目除尘器设计风量为</w:t>
      </w:r>
      <w:r>
        <w:rPr>
          <w:rFonts w:hint="eastAsia" w:cs="Times New Roman"/>
          <w:i w:val="0"/>
          <w:iCs w:val="0"/>
          <w:caps w:val="0"/>
          <w:color w:val="auto"/>
          <w:spacing w:val="0"/>
          <w:w w:val="100"/>
          <w:position w:val="0"/>
          <w:sz w:val="24"/>
          <w:szCs w:val="24"/>
          <w:shd w:val="clear" w:fill="FFFFFF"/>
          <w:lang w:val="en-US" w:eastAsia="zh-CN"/>
        </w:rPr>
        <w:t>1</w:t>
      </w:r>
      <w:r>
        <w:rPr>
          <w:rFonts w:hint="default" w:ascii="Times New Roman" w:hAnsi="Times New Roman" w:eastAsia="宋体" w:cs="Times New Roman"/>
          <w:i w:val="0"/>
          <w:iCs w:val="0"/>
          <w:caps w:val="0"/>
          <w:color w:val="auto"/>
          <w:spacing w:val="0"/>
          <w:w w:val="100"/>
          <w:position w:val="0"/>
          <w:sz w:val="24"/>
          <w:szCs w:val="24"/>
          <w:shd w:val="clear" w:fill="FFFFFF"/>
          <w:lang w:val="en-US" w:eastAsia="zh-CN"/>
        </w:rPr>
        <w:t>0000m</w:t>
      </w:r>
      <w:r>
        <w:rPr>
          <w:rFonts w:hint="default" w:ascii="Times New Roman" w:hAnsi="Times New Roman" w:eastAsia="宋体" w:cs="Times New Roman"/>
          <w:i w:val="0"/>
          <w:iCs w:val="0"/>
          <w:caps w:val="0"/>
          <w:color w:val="auto"/>
          <w:spacing w:val="0"/>
          <w:w w:val="100"/>
          <w:position w:val="0"/>
          <w:sz w:val="24"/>
          <w:szCs w:val="24"/>
          <w:shd w:val="clear" w:fill="FFFFFF"/>
          <w:vertAlign w:val="superscript"/>
          <w:lang w:val="en-US" w:eastAsia="zh-CN"/>
        </w:rPr>
        <w:t>3</w:t>
      </w:r>
      <w:r>
        <w:rPr>
          <w:rFonts w:hint="default" w:ascii="Times New Roman" w:hAnsi="Times New Roman" w:eastAsia="宋体" w:cs="Times New Roman"/>
          <w:i w:val="0"/>
          <w:iCs w:val="0"/>
          <w:caps w:val="0"/>
          <w:color w:val="auto"/>
          <w:spacing w:val="0"/>
          <w:w w:val="100"/>
          <w:position w:val="0"/>
          <w:sz w:val="24"/>
          <w:szCs w:val="24"/>
          <w:shd w:val="clear" w:fill="FFFFFF"/>
          <w:lang w:val="en-US" w:eastAsia="zh-CN"/>
        </w:rPr>
        <w:t>/h，以最大量计算，</w:t>
      </w:r>
      <w:r>
        <w:rPr>
          <w:rFonts w:hint="default" w:ascii="Times New Roman" w:hAnsi="Times New Roman" w:eastAsia="Segoe UI" w:cs="Times New Roman"/>
          <w:i w:val="0"/>
          <w:iCs w:val="0"/>
          <w:caps w:val="0"/>
          <w:color w:val="auto"/>
          <w:spacing w:val="0"/>
          <w:w w:val="100"/>
          <w:position w:val="0"/>
          <w:sz w:val="24"/>
          <w:szCs w:val="24"/>
          <w:shd w:val="clear" w:fill="FFFFFF"/>
        </w:rPr>
        <w:t>年换1次即产生</w:t>
      </w:r>
      <w:r>
        <w:rPr>
          <w:rFonts w:hint="default" w:ascii="Times New Roman" w:hAnsi="Times New Roman" w:eastAsia="宋体" w:cs="Times New Roman"/>
          <w:i w:val="0"/>
          <w:iCs w:val="0"/>
          <w:caps w:val="0"/>
          <w:color w:val="auto"/>
          <w:spacing w:val="0"/>
          <w:w w:val="100"/>
          <w:position w:val="0"/>
          <w:sz w:val="24"/>
          <w:szCs w:val="24"/>
          <w:shd w:val="clear" w:fill="FFFFFF"/>
          <w:lang w:val="en-US" w:eastAsia="zh-CN"/>
        </w:rPr>
        <w:t>0.9</w:t>
      </w:r>
      <w:r>
        <w:rPr>
          <w:rFonts w:hint="default" w:ascii="Times New Roman" w:hAnsi="Times New Roman" w:eastAsia="Segoe UI" w:cs="Times New Roman"/>
          <w:i w:val="0"/>
          <w:iCs w:val="0"/>
          <w:caps w:val="0"/>
          <w:color w:val="auto"/>
          <w:spacing w:val="0"/>
          <w:w w:val="100"/>
          <w:position w:val="0"/>
          <w:sz w:val="24"/>
          <w:szCs w:val="24"/>
          <w:shd w:val="clear" w:fill="FFFFFF"/>
        </w:rPr>
        <w:t>t废布袋</w:t>
      </w:r>
      <w:r>
        <w:rPr>
          <w:rFonts w:hint="default" w:ascii="Times New Roman" w:hAnsi="Times New Roman" w:eastAsia="宋体" w:cs="Times New Roman"/>
          <w:i w:val="0"/>
          <w:iCs w:val="0"/>
          <w:caps w:val="0"/>
          <w:color w:val="auto"/>
          <w:spacing w:val="0"/>
          <w:w w:val="100"/>
          <w:position w:val="0"/>
          <w:sz w:val="24"/>
          <w:szCs w:val="24"/>
          <w:shd w:val="clear" w:fill="FFFFFF"/>
          <w:lang w:eastAsia="zh-CN"/>
        </w:rPr>
        <w:t>。</w:t>
      </w:r>
      <w:r>
        <w:rPr>
          <w:rFonts w:hint="default" w:ascii="Times New Roman" w:hAnsi="Times New Roman" w:eastAsia="宋体" w:cs="Times New Roman"/>
          <w:color w:val="auto"/>
          <w:spacing w:val="0"/>
          <w:w w:val="100"/>
          <w:kern w:val="0"/>
          <w:position w:val="0"/>
          <w:sz w:val="24"/>
          <w:szCs w:val="22"/>
          <w:highlight w:val="none"/>
          <w:lang w:val="en-US" w:eastAsia="zh-CN" w:bidi="ar-SA"/>
        </w:rPr>
        <w:t>根据《固体废物分类与代码目录》（生态环境部公告2024年第4号），属于SW59 其他工业固体废物中非特定行业产生的“废过滤材料”，废物代码为900-009-S59，集中收集后外售废品回收站综合利用。</w:t>
      </w:r>
    </w:p>
    <w:p w14:paraId="5C1334BB">
      <w:pPr>
        <w:pStyle w:val="32"/>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2.生活垃圾</w:t>
      </w:r>
    </w:p>
    <w:p w14:paraId="0F4E9DF0">
      <w:pPr>
        <w:pStyle w:val="32"/>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项目生活垃圾主要来自办公生活区域。项目劳动定员55人，垃圾产生量按0.5kg/人·天计，约为10.038t/a。</w:t>
      </w:r>
      <w:r>
        <w:rPr>
          <w:rFonts w:hint="default" w:ascii="Times New Roman" w:hAnsi="Times New Roman" w:eastAsia="宋体" w:cs="Times New Roman"/>
          <w:caps w:val="0"/>
          <w:snapToGrid/>
          <w:color w:val="auto"/>
          <w:spacing w:val="0"/>
          <w:w w:val="100"/>
          <w:kern w:val="0"/>
          <w:position w:val="0"/>
          <w:sz w:val="24"/>
          <w:szCs w:val="24"/>
          <w:highlight w:val="none"/>
        </w:rPr>
        <w:t>根据《固体废物分类与代码目录》（生态环境部公告2024年第4号），项目生活垃圾含非特定行业产生的SW60有害垃圾、SW62可回收物等种类，废物代码为900-001-S60、900-001-S62、900-002-S62、900-003-S62等。设置垃圾桶统一收集后交由环卫部门定期清运至</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生活垃圾填埋场处理</w:t>
      </w:r>
      <w:r>
        <w:rPr>
          <w:rFonts w:hint="default" w:ascii="Times New Roman" w:hAnsi="Times New Roman" w:eastAsia="宋体" w:cs="Times New Roman"/>
          <w:caps w:val="0"/>
          <w:snapToGrid/>
          <w:color w:val="auto"/>
          <w:spacing w:val="0"/>
          <w:w w:val="100"/>
          <w:kern w:val="0"/>
          <w:position w:val="0"/>
          <w:sz w:val="24"/>
          <w:szCs w:val="24"/>
          <w:highlight w:val="none"/>
        </w:rPr>
        <w:t>。</w:t>
      </w:r>
    </w:p>
    <w:p w14:paraId="49F79CD3">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3.危险废物（S8）</w:t>
      </w:r>
    </w:p>
    <w:p w14:paraId="322C659A">
      <w:pPr>
        <w:pStyle w:val="32"/>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（1）沾油废手套、抹布</w:t>
      </w:r>
    </w:p>
    <w:p w14:paraId="6BAFEFAF">
      <w:pPr>
        <w:pStyle w:val="32"/>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维修过程中会产生少量沾油废手套、抹布，产生量为0.01t/a，根据</w:t>
      </w:r>
      <w:r>
        <w:rPr>
          <w:rFonts w:hint="default" w:ascii="Times New Roman" w:hAnsi="Times New Roman" w:eastAsia="宋体" w:cs="Times New Roman"/>
          <w:caps w:val="0"/>
          <w:snapToGrid/>
          <w:color w:val="auto"/>
          <w:spacing w:val="0"/>
          <w:w w:val="100"/>
          <w:kern w:val="0"/>
          <w:position w:val="0"/>
          <w:sz w:val="24"/>
          <w:szCs w:val="24"/>
          <w:highlight w:val="none"/>
        </w:rPr>
        <w:t>《国家危险废物名录</w:t>
      </w:r>
      <w:r>
        <w:rPr>
          <w:rFonts w:hint="default" w:ascii="Times New Roman" w:hAnsi="Times New Roman" w:eastAsia="宋体" w:cs="Times New Roman"/>
          <w:caps w:val="0"/>
          <w:snapToGrid/>
          <w:color w:val="auto"/>
          <w:spacing w:val="0"/>
          <w:w w:val="100"/>
          <w:kern w:val="0"/>
          <w:position w:val="0"/>
          <w:sz w:val="24"/>
          <w:szCs w:val="24"/>
          <w:highlight w:val="none"/>
          <w:lang w:eastAsia="zh-CN"/>
        </w:rPr>
        <w:t>（2025年版）</w:t>
      </w:r>
      <w:r>
        <w:rPr>
          <w:rFonts w:hint="default" w:ascii="Times New Roman" w:hAnsi="Times New Roman" w:eastAsia="宋体" w:cs="Times New Roman"/>
          <w:caps w:val="0"/>
          <w:snapToGrid/>
          <w:color w:val="auto"/>
          <w:spacing w:val="0"/>
          <w:w w:val="100"/>
          <w:kern w:val="0"/>
          <w:position w:val="0"/>
          <w:sz w:val="24"/>
          <w:szCs w:val="24"/>
          <w:highlight w:val="none"/>
        </w:rPr>
        <w:t>》</w:t>
      </w:r>
      <w:r>
        <w:rPr>
          <w:rFonts w:hint="eastAsia" w:ascii="Times New Roman" w:hAnsi="Times New Roman" w:eastAsia="宋体" w:cs="Times New Roman"/>
          <w:caps w:val="0"/>
          <w:snapToGrid/>
          <w:color w:val="auto"/>
          <w:spacing w:val="0"/>
          <w:w w:val="100"/>
          <w:kern w:val="0"/>
          <w:position w:val="0"/>
          <w:sz w:val="24"/>
          <w:szCs w:val="24"/>
          <w:highlight w:val="none"/>
          <w:lang w:eastAsia="zh-CN"/>
        </w:rPr>
        <w:t>，</w:t>
      </w:r>
      <w:r>
        <w:rPr>
          <w:rFonts w:hint="default" w:ascii="Times New Roman" w:hAnsi="Times New Roman" w:eastAsia="宋体" w:cs="Times New Roman"/>
          <w:caps w:val="0"/>
          <w:snapToGrid/>
          <w:color w:val="auto"/>
          <w:spacing w:val="0"/>
          <w:w w:val="100"/>
          <w:kern w:val="0"/>
          <w:position w:val="0"/>
          <w:sz w:val="24"/>
          <w:szCs w:val="24"/>
          <w:highlight w:val="none"/>
        </w:rPr>
        <w:t>属于HW</w:t>
      </w:r>
      <w:r>
        <w:rPr>
          <w:rFonts w:hint="eastAsia" w:ascii="Times New Roman" w:hAnsi="Times New Roman" w:eastAsia="宋体" w:cs="Times New Roman"/>
          <w:caps w:val="0"/>
          <w:snapToGrid/>
          <w:color w:val="auto"/>
          <w:spacing w:val="0"/>
          <w:w w:val="100"/>
          <w:kern w:val="0"/>
          <w:position w:val="0"/>
          <w:sz w:val="24"/>
          <w:szCs w:val="24"/>
          <w:highlight w:val="none"/>
          <w:lang w:val="en-US" w:eastAsia="zh-CN"/>
        </w:rPr>
        <w:t>49其他废物</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w:t>
      </w:r>
      <w:r>
        <w:rPr>
          <w:rFonts w:hint="default" w:ascii="Times New Roman" w:hAnsi="Times New Roman" w:eastAsia="宋体" w:cs="Times New Roman"/>
          <w:caps w:val="0"/>
          <w:snapToGrid/>
          <w:color w:val="auto"/>
          <w:spacing w:val="0"/>
          <w:w w:val="100"/>
          <w:kern w:val="0"/>
          <w:position w:val="0"/>
          <w:sz w:val="24"/>
          <w:szCs w:val="24"/>
          <w:highlight w:val="none"/>
        </w:rPr>
        <w:t>废物代码为</w:t>
      </w:r>
      <w:r>
        <w:rPr>
          <w:rFonts w:hint="default"/>
          <w:color w:val="auto"/>
          <w:spacing w:val="0"/>
          <w:w w:val="100"/>
          <w:position w:val="0"/>
          <w:highlight w:val="none"/>
          <w:lang w:val="en-US" w:eastAsia="zh-CN"/>
        </w:rPr>
        <w:t>900-</w:t>
      </w:r>
      <w:r>
        <w:rPr>
          <w:rFonts w:hint="eastAsia"/>
          <w:color w:val="auto"/>
          <w:spacing w:val="0"/>
          <w:w w:val="100"/>
          <w:position w:val="0"/>
          <w:highlight w:val="none"/>
          <w:lang w:val="en-US" w:eastAsia="zh-CN"/>
        </w:rPr>
        <w:t>041</w:t>
      </w:r>
      <w:r>
        <w:rPr>
          <w:rFonts w:hint="default"/>
          <w:color w:val="auto"/>
          <w:spacing w:val="0"/>
          <w:w w:val="100"/>
          <w:position w:val="0"/>
          <w:highlight w:val="none"/>
          <w:lang w:val="en-US" w:eastAsia="zh-CN"/>
        </w:rPr>
        <w:t>-</w:t>
      </w:r>
      <w:r>
        <w:rPr>
          <w:rFonts w:hint="eastAsia"/>
          <w:color w:val="auto"/>
          <w:spacing w:val="0"/>
          <w:w w:val="100"/>
          <w:position w:val="0"/>
          <w:highlight w:val="none"/>
          <w:lang w:val="en-US" w:eastAsia="zh-CN"/>
        </w:rPr>
        <w:t>49</w:t>
      </w:r>
      <w:r>
        <w:rPr>
          <w:rFonts w:hint="default" w:ascii="Times New Roman" w:hAnsi="Times New Roman" w:eastAsia="宋体" w:cs="Times New Roman"/>
          <w:caps w:val="0"/>
          <w:snapToGrid/>
          <w:color w:val="auto"/>
          <w:spacing w:val="0"/>
          <w:w w:val="100"/>
          <w:kern w:val="0"/>
          <w:position w:val="0"/>
          <w:sz w:val="24"/>
          <w:szCs w:val="24"/>
          <w:highlight w:val="none"/>
        </w:rPr>
        <w:t>，</w:t>
      </w:r>
      <w:r>
        <w:rPr>
          <w:rFonts w:hint="eastAsia"/>
          <w:color w:val="auto"/>
          <w:spacing w:val="0"/>
          <w:w w:val="100"/>
          <w:position w:val="0"/>
          <w:highlight w:val="none"/>
          <w:lang w:val="en-US" w:eastAsia="zh-CN"/>
        </w:rPr>
        <w:t>沾油废手套、抹布</w:t>
      </w:r>
      <w:r>
        <w:rPr>
          <w:rFonts w:hint="eastAsia"/>
          <w:color w:val="auto"/>
          <w:spacing w:val="0"/>
          <w:w w:val="100"/>
          <w:position w:val="0"/>
          <w:highlight w:val="none"/>
          <w:lang w:val="en-US" w:eastAsia="zh"/>
        </w:rPr>
        <w:t>袋装</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收集后</w:t>
      </w:r>
      <w:r>
        <w:rPr>
          <w:rFonts w:hint="default" w:ascii="Times New Roman" w:hAnsi="Times New Roman" w:eastAsia="宋体" w:cs="Times New Roman"/>
          <w:caps w:val="0"/>
          <w:snapToGrid/>
          <w:color w:val="auto"/>
          <w:spacing w:val="0"/>
          <w:w w:val="100"/>
          <w:kern w:val="0"/>
          <w:position w:val="0"/>
          <w:sz w:val="24"/>
          <w:szCs w:val="24"/>
          <w:highlight w:val="none"/>
        </w:rPr>
        <w:t>暂存于</w:t>
      </w:r>
      <w:r>
        <w:rPr>
          <w:rFonts w:hint="default" w:ascii="Times New Roman" w:hAnsi="Times New Roman" w:eastAsia="宋体" w:cs="Times New Roman"/>
          <w:caps w:val="0"/>
          <w:snapToGrid/>
          <w:color w:val="auto"/>
          <w:spacing w:val="0"/>
          <w:w w:val="100"/>
          <w:kern w:val="0"/>
          <w:position w:val="0"/>
          <w:sz w:val="24"/>
          <w:szCs w:val="24"/>
          <w:highlight w:val="none"/>
          <w:lang w:eastAsia="zh-CN"/>
        </w:rPr>
        <w:t>危废贮存库</w:t>
      </w:r>
      <w:r>
        <w:rPr>
          <w:rFonts w:hint="default" w:ascii="Times New Roman" w:hAnsi="Times New Roman" w:eastAsia="宋体" w:cs="Times New Roman"/>
          <w:caps w:val="0"/>
          <w:snapToGrid/>
          <w:color w:val="auto"/>
          <w:spacing w:val="0"/>
          <w:w w:val="100"/>
          <w:kern w:val="0"/>
          <w:position w:val="0"/>
          <w:sz w:val="24"/>
          <w:szCs w:val="24"/>
          <w:highlight w:val="none"/>
        </w:rPr>
        <w:t>，定期交由有资质单位处置。</w:t>
      </w:r>
    </w:p>
    <w:p w14:paraId="3BC0C0D9">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（2）废机油与废机油桶</w:t>
      </w:r>
    </w:p>
    <w:p w14:paraId="4C59D941">
      <w:pPr>
        <w:pStyle w:val="32"/>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机器维修过程会产生废机油约0.1t/a，废机油桶0.01t/a，</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根据</w:t>
      </w:r>
      <w:r>
        <w:rPr>
          <w:rFonts w:hint="default" w:ascii="Times New Roman" w:hAnsi="Times New Roman" w:eastAsia="宋体" w:cs="Times New Roman"/>
          <w:caps w:val="0"/>
          <w:snapToGrid/>
          <w:color w:val="auto"/>
          <w:spacing w:val="0"/>
          <w:w w:val="100"/>
          <w:kern w:val="0"/>
          <w:position w:val="0"/>
          <w:sz w:val="24"/>
          <w:szCs w:val="24"/>
          <w:highlight w:val="none"/>
        </w:rPr>
        <w:t>《国家危险废物名录</w:t>
      </w:r>
      <w:r>
        <w:rPr>
          <w:rFonts w:hint="default" w:ascii="Times New Roman" w:hAnsi="Times New Roman" w:eastAsia="宋体" w:cs="Times New Roman"/>
          <w:caps w:val="0"/>
          <w:snapToGrid/>
          <w:color w:val="auto"/>
          <w:spacing w:val="0"/>
          <w:w w:val="100"/>
          <w:kern w:val="0"/>
          <w:position w:val="0"/>
          <w:sz w:val="24"/>
          <w:szCs w:val="24"/>
          <w:highlight w:val="none"/>
          <w:lang w:eastAsia="zh-CN"/>
        </w:rPr>
        <w:t>（2025年版）</w:t>
      </w:r>
      <w:r>
        <w:rPr>
          <w:rFonts w:hint="default" w:ascii="Times New Roman" w:hAnsi="Times New Roman" w:eastAsia="宋体" w:cs="Times New Roman"/>
          <w:caps w:val="0"/>
          <w:snapToGrid/>
          <w:color w:val="auto"/>
          <w:spacing w:val="0"/>
          <w:w w:val="100"/>
          <w:kern w:val="0"/>
          <w:position w:val="0"/>
          <w:sz w:val="24"/>
          <w:szCs w:val="24"/>
          <w:highlight w:val="none"/>
        </w:rPr>
        <w:t>》</w:t>
      </w:r>
      <w:r>
        <w:rPr>
          <w:rFonts w:hint="default" w:ascii="Times New Roman" w:hAnsi="Times New Roman" w:eastAsia="宋体" w:cs="Times New Roman"/>
          <w:caps w:val="0"/>
          <w:snapToGrid/>
          <w:color w:val="auto"/>
          <w:spacing w:val="0"/>
          <w:w w:val="100"/>
          <w:kern w:val="0"/>
          <w:position w:val="0"/>
          <w:sz w:val="24"/>
          <w:szCs w:val="24"/>
          <w:highlight w:val="none"/>
          <w:lang w:eastAsia="zh-CN"/>
        </w:rPr>
        <w:t>，</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废</w:t>
      </w:r>
      <w:r>
        <w:rPr>
          <w:rFonts w:hint="eastAsia" w:cs="Times New Roman"/>
          <w:caps w:val="0"/>
          <w:snapToGrid/>
          <w:color w:val="auto"/>
          <w:spacing w:val="0"/>
          <w:w w:val="100"/>
          <w:kern w:val="0"/>
          <w:position w:val="0"/>
          <w:sz w:val="24"/>
          <w:szCs w:val="24"/>
          <w:highlight w:val="none"/>
          <w:lang w:val="en-US" w:eastAsia="zh-CN"/>
        </w:rPr>
        <w:t>机</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油</w:t>
      </w:r>
      <w:r>
        <w:rPr>
          <w:rFonts w:hint="default" w:ascii="Times New Roman" w:hAnsi="Times New Roman" w:eastAsia="宋体" w:cs="Times New Roman"/>
          <w:caps w:val="0"/>
          <w:snapToGrid/>
          <w:color w:val="auto"/>
          <w:spacing w:val="0"/>
          <w:w w:val="100"/>
          <w:kern w:val="0"/>
          <w:position w:val="0"/>
          <w:sz w:val="24"/>
          <w:szCs w:val="24"/>
          <w:highlight w:val="none"/>
        </w:rPr>
        <w:t>属于HW08废矿物油与含矿物油废物</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w:t>
      </w:r>
      <w:r>
        <w:rPr>
          <w:rFonts w:hint="default" w:ascii="Times New Roman" w:hAnsi="Times New Roman" w:eastAsia="宋体" w:cs="Times New Roman"/>
          <w:caps w:val="0"/>
          <w:snapToGrid/>
          <w:color w:val="auto"/>
          <w:spacing w:val="0"/>
          <w:w w:val="100"/>
          <w:kern w:val="0"/>
          <w:position w:val="0"/>
          <w:sz w:val="24"/>
          <w:szCs w:val="24"/>
          <w:highlight w:val="none"/>
        </w:rPr>
        <w:t>废物代码为</w:t>
      </w:r>
      <w:r>
        <w:rPr>
          <w:rFonts w:hint="default" w:ascii="Times New Roman" w:hAnsi="Times New Roman" w:eastAsia="宋体" w:cs="Times New Roman"/>
          <w:caps w:val="0"/>
          <w:snapToGrid/>
          <w:color w:val="auto"/>
          <w:spacing w:val="0"/>
          <w:w w:val="100"/>
          <w:kern w:val="0"/>
          <w:position w:val="0"/>
          <w:sz w:val="24"/>
          <w:szCs w:val="24"/>
          <w:highlight w:val="none"/>
          <w:lang w:eastAsia="zh-CN"/>
        </w:rPr>
        <w:t>900-217-08</w:t>
      </w:r>
      <w:r>
        <w:rPr>
          <w:rFonts w:hint="default" w:ascii="Times New Roman" w:hAnsi="Times New Roman" w:eastAsia="宋体" w:cs="Times New Roman"/>
          <w:caps w:val="0"/>
          <w:snapToGrid/>
          <w:color w:val="auto"/>
          <w:spacing w:val="0"/>
          <w:w w:val="100"/>
          <w:kern w:val="0"/>
          <w:position w:val="0"/>
          <w:sz w:val="24"/>
          <w:szCs w:val="24"/>
          <w:highlight w:val="none"/>
        </w:rPr>
        <w:t>，</w:t>
      </w:r>
      <w:r>
        <w:rPr>
          <w:rFonts w:hint="eastAsia" w:cs="Times New Roman"/>
          <w:caps w:val="0"/>
          <w:snapToGrid/>
          <w:color w:val="auto"/>
          <w:spacing w:val="0"/>
          <w:w w:val="100"/>
          <w:kern w:val="0"/>
          <w:position w:val="0"/>
          <w:sz w:val="24"/>
          <w:szCs w:val="24"/>
          <w:highlight w:val="none"/>
          <w:lang w:val="en-US" w:eastAsia="zh-CN"/>
        </w:rPr>
        <w:t>废机油桶</w:t>
      </w:r>
      <w:r>
        <w:rPr>
          <w:rFonts w:hint="default" w:ascii="Times New Roman" w:hAnsi="Times New Roman" w:eastAsia="宋体" w:cs="Times New Roman"/>
          <w:caps w:val="0"/>
          <w:snapToGrid/>
          <w:color w:val="auto"/>
          <w:spacing w:val="0"/>
          <w:w w:val="100"/>
          <w:kern w:val="0"/>
          <w:position w:val="0"/>
          <w:sz w:val="24"/>
          <w:szCs w:val="24"/>
          <w:highlight w:val="none"/>
        </w:rPr>
        <w:t>属于HW</w:t>
      </w:r>
      <w:r>
        <w:rPr>
          <w:rFonts w:hint="eastAsia" w:ascii="Times New Roman" w:hAnsi="Times New Roman" w:eastAsia="宋体" w:cs="Times New Roman"/>
          <w:caps w:val="0"/>
          <w:snapToGrid/>
          <w:color w:val="auto"/>
          <w:spacing w:val="0"/>
          <w:w w:val="100"/>
          <w:kern w:val="0"/>
          <w:position w:val="0"/>
          <w:sz w:val="24"/>
          <w:szCs w:val="24"/>
          <w:highlight w:val="none"/>
          <w:lang w:val="en-US" w:eastAsia="zh-CN"/>
        </w:rPr>
        <w:t>49其他废物</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w:t>
      </w:r>
      <w:r>
        <w:rPr>
          <w:rFonts w:hint="default" w:ascii="Times New Roman" w:hAnsi="Times New Roman" w:eastAsia="宋体" w:cs="Times New Roman"/>
          <w:caps w:val="0"/>
          <w:snapToGrid/>
          <w:color w:val="auto"/>
          <w:spacing w:val="0"/>
          <w:w w:val="100"/>
          <w:kern w:val="0"/>
          <w:position w:val="0"/>
          <w:sz w:val="24"/>
          <w:szCs w:val="24"/>
          <w:highlight w:val="none"/>
        </w:rPr>
        <w:t>废物代码为</w:t>
      </w:r>
      <w:r>
        <w:rPr>
          <w:rFonts w:hint="default"/>
          <w:color w:val="auto"/>
          <w:spacing w:val="0"/>
          <w:w w:val="100"/>
          <w:position w:val="0"/>
          <w:highlight w:val="none"/>
          <w:lang w:val="en-US" w:eastAsia="zh-CN"/>
        </w:rPr>
        <w:t>900-</w:t>
      </w:r>
      <w:r>
        <w:rPr>
          <w:rFonts w:hint="eastAsia"/>
          <w:color w:val="auto"/>
          <w:spacing w:val="0"/>
          <w:w w:val="100"/>
          <w:position w:val="0"/>
          <w:highlight w:val="none"/>
          <w:lang w:val="en-US" w:eastAsia="zh-CN"/>
        </w:rPr>
        <w:t>041</w:t>
      </w:r>
      <w:r>
        <w:rPr>
          <w:rFonts w:hint="default"/>
          <w:color w:val="auto"/>
          <w:spacing w:val="0"/>
          <w:w w:val="100"/>
          <w:position w:val="0"/>
          <w:highlight w:val="none"/>
          <w:lang w:val="en-US" w:eastAsia="zh-CN"/>
        </w:rPr>
        <w:t>-</w:t>
      </w:r>
      <w:r>
        <w:rPr>
          <w:rFonts w:hint="eastAsia"/>
          <w:color w:val="auto"/>
          <w:spacing w:val="0"/>
          <w:w w:val="100"/>
          <w:position w:val="0"/>
          <w:highlight w:val="none"/>
          <w:lang w:val="en-US" w:eastAsia="zh-CN"/>
        </w:rPr>
        <w:t>49</w:t>
      </w:r>
      <w:r>
        <w:rPr>
          <w:rFonts w:hint="default" w:ascii="Times New Roman" w:hAnsi="Times New Roman" w:eastAsia="宋体" w:cs="Times New Roman"/>
          <w:caps w:val="0"/>
          <w:snapToGrid/>
          <w:color w:val="auto"/>
          <w:spacing w:val="0"/>
          <w:w w:val="100"/>
          <w:kern w:val="0"/>
          <w:position w:val="0"/>
          <w:sz w:val="24"/>
          <w:szCs w:val="24"/>
          <w:highlight w:val="none"/>
        </w:rPr>
        <w:t>，</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废</w:t>
      </w:r>
      <w:r>
        <w:rPr>
          <w:rFonts w:hint="eastAsia" w:cs="Times New Roman"/>
          <w:caps w:val="0"/>
          <w:snapToGrid/>
          <w:color w:val="auto"/>
          <w:spacing w:val="0"/>
          <w:w w:val="100"/>
          <w:kern w:val="0"/>
          <w:position w:val="0"/>
          <w:sz w:val="24"/>
          <w:szCs w:val="24"/>
          <w:highlight w:val="none"/>
          <w:lang w:val="en-US" w:eastAsia="zh-CN"/>
        </w:rPr>
        <w:t>机</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油采用专用桶收集后</w:t>
      </w:r>
      <w:r>
        <w:rPr>
          <w:rFonts w:hint="eastAsia" w:cs="Times New Roman"/>
          <w:caps w:val="0"/>
          <w:snapToGrid/>
          <w:color w:val="auto"/>
          <w:spacing w:val="0"/>
          <w:w w:val="100"/>
          <w:kern w:val="0"/>
          <w:position w:val="0"/>
          <w:sz w:val="24"/>
          <w:szCs w:val="24"/>
          <w:highlight w:val="none"/>
          <w:lang w:val="en-US" w:eastAsia="zh-CN"/>
        </w:rPr>
        <w:t>与废机油桶</w:t>
      </w:r>
      <w:r>
        <w:rPr>
          <w:rFonts w:hint="default" w:ascii="Times New Roman" w:hAnsi="Times New Roman" w:eastAsia="宋体" w:cs="Times New Roman"/>
          <w:caps w:val="0"/>
          <w:snapToGrid/>
          <w:color w:val="auto"/>
          <w:spacing w:val="0"/>
          <w:w w:val="100"/>
          <w:kern w:val="0"/>
          <w:position w:val="0"/>
          <w:sz w:val="24"/>
          <w:szCs w:val="24"/>
          <w:highlight w:val="none"/>
        </w:rPr>
        <w:t>暂存于</w:t>
      </w:r>
      <w:r>
        <w:rPr>
          <w:rFonts w:hint="default" w:ascii="Times New Roman" w:hAnsi="Times New Roman" w:eastAsia="宋体" w:cs="Times New Roman"/>
          <w:caps w:val="0"/>
          <w:snapToGrid/>
          <w:color w:val="auto"/>
          <w:spacing w:val="0"/>
          <w:w w:val="100"/>
          <w:kern w:val="0"/>
          <w:position w:val="0"/>
          <w:sz w:val="24"/>
          <w:szCs w:val="24"/>
          <w:highlight w:val="none"/>
          <w:lang w:eastAsia="zh-CN"/>
        </w:rPr>
        <w:t>危废贮存库</w:t>
      </w:r>
      <w:r>
        <w:rPr>
          <w:rFonts w:hint="default" w:ascii="Times New Roman" w:hAnsi="Times New Roman" w:eastAsia="宋体" w:cs="Times New Roman"/>
          <w:caps w:val="0"/>
          <w:snapToGrid/>
          <w:color w:val="auto"/>
          <w:spacing w:val="0"/>
          <w:w w:val="100"/>
          <w:kern w:val="0"/>
          <w:position w:val="0"/>
          <w:sz w:val="24"/>
          <w:szCs w:val="24"/>
          <w:highlight w:val="none"/>
        </w:rPr>
        <w:t>，定期交由有资质单位处置。</w:t>
      </w:r>
    </w:p>
    <w:p w14:paraId="7029B8F6">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cs="Times New Roman"/>
          <w:color w:val="auto"/>
          <w:spacing w:val="0"/>
          <w:w w:val="100"/>
          <w:position w:val="0"/>
          <w:highlight w:val="none"/>
          <w:lang w:val="en-US" w:eastAsia="zh-CN"/>
        </w:rPr>
      </w:pPr>
      <w:r>
        <w:rPr>
          <w:rFonts w:hint="eastAsia" w:ascii="Times New Roman" w:hAnsi="Times New Roman" w:eastAsia="宋体" w:cs="Times New Roman"/>
          <w:color w:val="auto"/>
          <w:spacing w:val="0"/>
          <w:w w:val="100"/>
          <w:position w:val="0"/>
          <w:highlight w:val="none"/>
          <w:lang w:val="en-US" w:eastAsia="zh-CN"/>
        </w:rPr>
        <w:t>（3）</w:t>
      </w:r>
      <w:r>
        <w:rPr>
          <w:rFonts w:hint="default" w:ascii="Times New Roman" w:hAnsi="Times New Roman" w:cs="Times New Roman"/>
          <w:color w:val="auto"/>
          <w:spacing w:val="0"/>
          <w:w w:val="100"/>
          <w:position w:val="0"/>
          <w:highlight w:val="none"/>
          <w:lang w:val="en-US" w:eastAsia="zh-CN"/>
        </w:rPr>
        <w:t>废催化剂</w:t>
      </w:r>
    </w:p>
    <w:p w14:paraId="1B3C16B2">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cs="Times New Roman"/>
          <w:color w:val="auto"/>
          <w:spacing w:val="0"/>
          <w:w w:val="100"/>
          <w:position w:val="0"/>
          <w:highlight w:val="none"/>
          <w:lang w:val="en-US" w:eastAsia="zh-CN"/>
        </w:rPr>
      </w:pPr>
      <w:r>
        <w:rPr>
          <w:rFonts w:hint="default" w:ascii="Times New Roman" w:hAnsi="Times New Roman" w:cs="Times New Roman"/>
          <w:color w:val="auto"/>
          <w:spacing w:val="0"/>
          <w:w w:val="100"/>
          <w:position w:val="0"/>
          <w:highlight w:val="none"/>
          <w:lang w:val="en-US" w:eastAsia="zh-CN"/>
        </w:rPr>
        <w:t>催化燃烧装置会有废催化剂产生，约</w:t>
      </w:r>
      <w:r>
        <w:rPr>
          <w:rFonts w:hint="eastAsia" w:cs="Times New Roman"/>
          <w:color w:val="auto"/>
          <w:spacing w:val="0"/>
          <w:w w:val="100"/>
          <w:position w:val="0"/>
          <w:highlight w:val="none"/>
          <w:lang w:val="en-US" w:eastAsia="zh-CN"/>
        </w:rPr>
        <w:t>0.5</w:t>
      </w:r>
      <w:r>
        <w:rPr>
          <w:rFonts w:hint="default" w:ascii="Times New Roman" w:hAnsi="Times New Roman" w:cs="Times New Roman"/>
          <w:color w:val="auto"/>
          <w:spacing w:val="0"/>
          <w:w w:val="100"/>
          <w:position w:val="0"/>
          <w:highlight w:val="none"/>
          <w:lang w:val="en-US" w:eastAsia="zh-CN"/>
        </w:rPr>
        <w:t>t/</w:t>
      </w:r>
      <w:r>
        <w:rPr>
          <w:rFonts w:hint="eastAsia" w:cs="Times New Roman"/>
          <w:color w:val="auto"/>
          <w:spacing w:val="0"/>
          <w:w w:val="100"/>
          <w:position w:val="0"/>
          <w:highlight w:val="none"/>
          <w:lang w:val="en-US" w:eastAsia="zh-CN"/>
        </w:rPr>
        <w:t>3</w:t>
      </w:r>
      <w:r>
        <w:rPr>
          <w:rFonts w:hint="default" w:ascii="Times New Roman" w:hAnsi="Times New Roman" w:cs="Times New Roman"/>
          <w:color w:val="auto"/>
          <w:spacing w:val="0"/>
          <w:w w:val="100"/>
          <w:position w:val="0"/>
          <w:highlight w:val="none"/>
          <w:lang w:val="en-US" w:eastAsia="zh-CN"/>
        </w:rPr>
        <w:t>a，根据《国家危险废物名录</w:t>
      </w:r>
      <w:r>
        <w:rPr>
          <w:rFonts w:hint="eastAsia" w:cs="Times New Roman"/>
          <w:color w:val="auto"/>
          <w:spacing w:val="0"/>
          <w:w w:val="100"/>
          <w:position w:val="0"/>
          <w:highlight w:val="none"/>
          <w:lang w:val="en-US" w:eastAsia="zh-CN"/>
        </w:rPr>
        <w:t>（</w:t>
      </w:r>
      <w:r>
        <w:rPr>
          <w:rFonts w:hint="default" w:ascii="Times New Roman" w:hAnsi="Times New Roman" w:cs="Times New Roman"/>
          <w:color w:val="auto"/>
          <w:spacing w:val="0"/>
          <w:w w:val="100"/>
          <w:position w:val="0"/>
          <w:highlight w:val="none"/>
          <w:lang w:val="en-US" w:eastAsia="zh-CN"/>
        </w:rPr>
        <w:t>2025年</w:t>
      </w:r>
      <w:r>
        <w:rPr>
          <w:rFonts w:hint="eastAsia" w:ascii="Times New Roman" w:hAnsi="Times New Roman" w:cs="Times New Roman"/>
          <w:color w:val="auto"/>
          <w:spacing w:val="0"/>
          <w:w w:val="100"/>
          <w:position w:val="0"/>
          <w:highlight w:val="none"/>
          <w:lang w:val="en-US" w:eastAsia="zh-CN"/>
        </w:rPr>
        <w:t>）</w:t>
      </w:r>
      <w:r>
        <w:rPr>
          <w:rFonts w:hint="default" w:ascii="Times New Roman" w:hAnsi="Times New Roman" w:cs="Times New Roman"/>
          <w:color w:val="auto"/>
          <w:spacing w:val="0"/>
          <w:w w:val="100"/>
          <w:position w:val="0"/>
          <w:highlight w:val="none"/>
          <w:lang w:val="en-US" w:eastAsia="zh-CN"/>
        </w:rPr>
        <w:t>》，主要活性成分为铂、钯等贵金属</w:t>
      </w:r>
      <w:r>
        <w:rPr>
          <w:rFonts w:hint="eastAsia" w:cs="Times New Roman"/>
          <w:color w:val="auto"/>
          <w:spacing w:val="0"/>
          <w:w w:val="100"/>
          <w:position w:val="0"/>
          <w:highlight w:val="none"/>
          <w:lang w:val="en-US" w:eastAsia="zh-CN"/>
        </w:rPr>
        <w:t>，</w:t>
      </w:r>
      <w:r>
        <w:rPr>
          <w:rFonts w:hint="default" w:ascii="Times New Roman" w:hAnsi="Times New Roman" w:cs="Times New Roman"/>
          <w:color w:val="auto"/>
          <w:spacing w:val="0"/>
          <w:w w:val="100"/>
          <w:position w:val="0"/>
          <w:highlight w:val="none"/>
          <w:lang w:val="en-US" w:eastAsia="zh-CN"/>
        </w:rPr>
        <w:t>其属于危险废物，</w:t>
      </w:r>
      <w:r>
        <w:rPr>
          <w:rFonts w:hint="eastAsia" w:cs="Times New Roman"/>
          <w:color w:val="auto"/>
          <w:spacing w:val="0"/>
          <w:w w:val="100"/>
          <w:position w:val="0"/>
          <w:highlight w:val="none"/>
          <w:lang w:val="en-US" w:eastAsia="zh-CN"/>
        </w:rPr>
        <w:t>参考</w:t>
      </w:r>
      <w:r>
        <w:rPr>
          <w:rFonts w:hint="default" w:ascii="Times New Roman" w:hAnsi="Times New Roman" w:cs="Times New Roman"/>
          <w:color w:val="auto"/>
          <w:spacing w:val="0"/>
          <w:w w:val="100"/>
          <w:position w:val="0"/>
          <w:highlight w:val="none"/>
          <w:lang w:val="en-US" w:eastAsia="zh-CN"/>
        </w:rPr>
        <w:t>安徽省生态环境厅</w:t>
      </w:r>
      <w:r>
        <w:rPr>
          <w:rFonts w:hint="eastAsia" w:cs="Times New Roman"/>
          <w:color w:val="auto"/>
          <w:spacing w:val="0"/>
          <w:w w:val="100"/>
          <w:position w:val="0"/>
          <w:highlight w:val="none"/>
          <w:lang w:val="en-US" w:eastAsia="zh-CN"/>
        </w:rPr>
        <w:t>厅长信箱对“关于CO催化剂（催化燃烧催化剂）是否属于危废的问题”的回答，废弃的催化燃烧催化剂（主要活性成分为铂钯）属于危废，危废代码参照900-049-50管理，</w:t>
      </w:r>
      <w:r>
        <w:rPr>
          <w:rFonts w:hint="default" w:ascii="Times New Roman" w:hAnsi="Times New Roman" w:cs="Times New Roman"/>
          <w:color w:val="auto"/>
          <w:spacing w:val="0"/>
          <w:w w:val="100"/>
          <w:position w:val="0"/>
          <w:highlight w:val="none"/>
          <w:lang w:val="en-US" w:eastAsia="zh-CN"/>
        </w:rPr>
        <w:t>废物类别为“HW</w:t>
      </w:r>
      <w:r>
        <w:rPr>
          <w:rFonts w:hint="eastAsia" w:cs="Times New Roman"/>
          <w:color w:val="auto"/>
          <w:spacing w:val="0"/>
          <w:w w:val="100"/>
          <w:position w:val="0"/>
          <w:highlight w:val="none"/>
          <w:lang w:val="en-US" w:eastAsia="zh-CN"/>
        </w:rPr>
        <w:t>50</w:t>
      </w:r>
      <w:r>
        <w:rPr>
          <w:rFonts w:hint="default" w:ascii="Times New Roman" w:hAnsi="Times New Roman" w:cs="Times New Roman"/>
          <w:color w:val="auto"/>
          <w:spacing w:val="0"/>
          <w:w w:val="100"/>
          <w:position w:val="0"/>
          <w:highlight w:val="none"/>
          <w:lang w:val="en-US" w:eastAsia="zh-CN"/>
        </w:rPr>
        <w:t>”，危险特性“T”，经收集后暂存在</w:t>
      </w:r>
      <w:r>
        <w:rPr>
          <w:rFonts w:hint="eastAsia" w:cs="Times New Roman"/>
          <w:color w:val="auto"/>
          <w:spacing w:val="0"/>
          <w:w w:val="100"/>
          <w:position w:val="0"/>
          <w:highlight w:val="none"/>
          <w:lang w:val="en-US" w:eastAsia="zh-CN"/>
        </w:rPr>
        <w:t>危废贮存库</w:t>
      </w:r>
      <w:r>
        <w:rPr>
          <w:rFonts w:hint="default" w:ascii="Times New Roman" w:hAnsi="Times New Roman" w:cs="Times New Roman"/>
          <w:color w:val="auto"/>
          <w:spacing w:val="0"/>
          <w:w w:val="100"/>
          <w:position w:val="0"/>
          <w:highlight w:val="none"/>
          <w:lang w:val="en-US" w:eastAsia="zh-CN"/>
        </w:rPr>
        <w:t>内，由有资质单位进行处理。</w:t>
      </w:r>
    </w:p>
    <w:p w14:paraId="4EF6159D">
      <w:pPr>
        <w:pStyle w:val="32"/>
        <w:keepNext w:val="0"/>
        <w:keepLines w:val="0"/>
        <w:pageBreakBefore w:val="0"/>
        <w:widowControl w:val="0"/>
        <w:kinsoku/>
        <w:wordWrap/>
        <w:overflowPunct/>
        <w:topLinePunct w:val="0"/>
        <w:autoSpaceDE/>
        <w:autoSpaceDN/>
        <w:bidi w:val="0"/>
        <w:adjustRightInd/>
        <w:snapToGrid/>
        <w:rPr>
          <w:rFonts w:hint="eastAsia" w:ascii="Times New Roman" w:hAnsi="Times New Roman" w:eastAsia="宋体" w:cs="Times New Roman"/>
          <w:color w:val="auto"/>
          <w:spacing w:val="0"/>
          <w:w w:val="100"/>
          <w:position w:val="0"/>
          <w:highlight w:val="none"/>
          <w:lang w:val="en-US" w:eastAsia="zh-CN"/>
        </w:rPr>
      </w:pPr>
      <w:r>
        <w:rPr>
          <w:rFonts w:hint="eastAsia" w:ascii="Times New Roman" w:hAnsi="Times New Roman" w:eastAsia="宋体" w:cs="Times New Roman"/>
          <w:color w:val="auto"/>
          <w:spacing w:val="0"/>
          <w:w w:val="100"/>
          <w:position w:val="0"/>
          <w:highlight w:val="none"/>
          <w:lang w:val="en-US" w:eastAsia="zh-CN"/>
        </w:rPr>
        <w:t>（4）过滤棉</w:t>
      </w:r>
    </w:p>
    <w:p w14:paraId="0E771E0E">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s="Times New Roman"/>
          <w:color w:val="auto"/>
          <w:spacing w:val="0"/>
          <w:w w:val="100"/>
          <w:position w:val="0"/>
          <w:highlight w:val="none"/>
          <w:lang w:val="en-US" w:eastAsia="zh-CN"/>
        </w:rPr>
      </w:pPr>
      <w:r>
        <w:rPr>
          <w:rFonts w:hint="eastAsia" w:ascii="Times New Roman" w:hAnsi="Times New Roman" w:eastAsia="宋体" w:cs="Times New Roman"/>
          <w:color w:val="auto"/>
          <w:spacing w:val="0"/>
          <w:w w:val="100"/>
          <w:position w:val="0"/>
          <w:highlight w:val="none"/>
          <w:lang w:val="en-US" w:eastAsia="zh-CN"/>
        </w:rPr>
        <w:t>催化燃烧装置有干式过滤，会产生废过滤棉，产生量约为0.4t/a，</w:t>
      </w:r>
      <w:r>
        <w:rPr>
          <w:rFonts w:hint="default" w:ascii="Times New Roman" w:hAnsi="Times New Roman" w:eastAsia="宋体" w:cs="Times New Roman"/>
          <w:color w:val="auto"/>
          <w:spacing w:val="0"/>
          <w:w w:val="100"/>
          <w:position w:val="0"/>
          <w:highlight w:val="none"/>
          <w:lang w:val="en-US" w:eastAsia="zh-CN"/>
        </w:rPr>
        <w:t>根据《国家危险废物名录</w:t>
      </w:r>
      <w:r>
        <w:rPr>
          <w:rFonts w:hint="eastAsia" w:ascii="Times New Roman" w:hAnsi="Times New Roman" w:eastAsia="宋体" w:cs="Times New Roman"/>
          <w:color w:val="auto"/>
          <w:spacing w:val="0"/>
          <w:w w:val="100"/>
          <w:position w:val="0"/>
          <w:highlight w:val="none"/>
          <w:lang w:val="en-US" w:eastAsia="zh-CN"/>
        </w:rPr>
        <w:t>（</w:t>
      </w:r>
      <w:r>
        <w:rPr>
          <w:rFonts w:hint="default" w:ascii="Times New Roman" w:hAnsi="Times New Roman" w:eastAsia="宋体" w:cs="Times New Roman"/>
          <w:color w:val="auto"/>
          <w:spacing w:val="0"/>
          <w:w w:val="100"/>
          <w:position w:val="0"/>
          <w:highlight w:val="none"/>
          <w:lang w:val="en-US" w:eastAsia="zh-CN"/>
        </w:rPr>
        <w:t>2025年</w:t>
      </w:r>
      <w:r>
        <w:rPr>
          <w:rFonts w:hint="eastAsia" w:ascii="Times New Roman" w:hAnsi="Times New Roman" w:eastAsia="宋体" w:cs="Times New Roman"/>
          <w:color w:val="auto"/>
          <w:spacing w:val="0"/>
          <w:w w:val="100"/>
          <w:position w:val="0"/>
          <w:highlight w:val="none"/>
          <w:lang w:val="en-US" w:eastAsia="zh-CN"/>
        </w:rPr>
        <w:t>）</w:t>
      </w:r>
      <w:r>
        <w:rPr>
          <w:rFonts w:hint="default" w:ascii="Times New Roman" w:hAnsi="Times New Roman" w:eastAsia="宋体" w:cs="Times New Roman"/>
          <w:color w:val="auto"/>
          <w:spacing w:val="0"/>
          <w:w w:val="100"/>
          <w:position w:val="0"/>
          <w:highlight w:val="none"/>
          <w:lang w:val="en-US" w:eastAsia="zh-CN"/>
        </w:rPr>
        <w:t>》，其属于危险废物，废物类别为“HW</w:t>
      </w:r>
      <w:r>
        <w:rPr>
          <w:rFonts w:hint="eastAsia" w:ascii="Times New Roman" w:hAnsi="Times New Roman" w:eastAsia="宋体" w:cs="Times New Roman"/>
          <w:color w:val="auto"/>
          <w:spacing w:val="0"/>
          <w:w w:val="100"/>
          <w:position w:val="0"/>
          <w:highlight w:val="none"/>
          <w:lang w:val="en-US" w:eastAsia="zh-CN"/>
        </w:rPr>
        <w:t>49</w:t>
      </w:r>
      <w:r>
        <w:rPr>
          <w:rFonts w:hint="default" w:ascii="Times New Roman" w:hAnsi="Times New Roman" w:eastAsia="宋体" w:cs="Times New Roman"/>
          <w:color w:val="auto"/>
          <w:spacing w:val="0"/>
          <w:w w:val="100"/>
          <w:position w:val="0"/>
          <w:highlight w:val="none"/>
          <w:lang w:val="en-US" w:eastAsia="zh-CN"/>
        </w:rPr>
        <w:t>”，废物代码为“900-041-49”，危险特性“T”，经收集后暂存在</w:t>
      </w:r>
      <w:r>
        <w:rPr>
          <w:rFonts w:hint="eastAsia" w:ascii="Times New Roman" w:hAnsi="Times New Roman" w:eastAsia="宋体" w:cs="Times New Roman"/>
          <w:color w:val="auto"/>
          <w:spacing w:val="0"/>
          <w:w w:val="100"/>
          <w:position w:val="0"/>
          <w:highlight w:val="none"/>
          <w:lang w:val="en-US" w:eastAsia="zh-CN"/>
        </w:rPr>
        <w:t>危废贮存库</w:t>
      </w:r>
      <w:r>
        <w:rPr>
          <w:rFonts w:hint="default" w:ascii="Times New Roman" w:hAnsi="Times New Roman" w:eastAsia="宋体" w:cs="Times New Roman"/>
          <w:color w:val="auto"/>
          <w:spacing w:val="0"/>
          <w:w w:val="100"/>
          <w:position w:val="0"/>
          <w:highlight w:val="none"/>
          <w:lang w:val="en-US" w:eastAsia="zh-CN"/>
        </w:rPr>
        <w:t>内，由有资质单位进行处理。</w:t>
      </w:r>
    </w:p>
    <w:p w14:paraId="46BDC0F0">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cs="Times New Roman"/>
          <w:color w:val="auto"/>
          <w:spacing w:val="0"/>
          <w:w w:val="100"/>
          <w:position w:val="0"/>
          <w:highlight w:val="none"/>
          <w:lang w:val="en-US" w:eastAsia="zh-CN"/>
        </w:rPr>
      </w:pPr>
      <w:r>
        <w:rPr>
          <w:rFonts w:hint="eastAsia" w:ascii="宋体" w:hAnsi="宋体" w:eastAsia="宋体" w:cs="宋体"/>
          <w:color w:val="auto"/>
          <w:spacing w:val="0"/>
          <w:w w:val="100"/>
          <w:position w:val="0"/>
          <w:highlight w:val="none"/>
          <w:lang w:val="en-US" w:eastAsia="zh-CN"/>
        </w:rPr>
        <w:t>（</w:t>
      </w:r>
      <w:r>
        <w:rPr>
          <w:rFonts w:hint="eastAsia" w:ascii="宋体" w:hAnsi="宋体" w:cs="宋体"/>
          <w:color w:val="auto"/>
          <w:spacing w:val="0"/>
          <w:w w:val="100"/>
          <w:position w:val="0"/>
          <w:highlight w:val="none"/>
          <w:lang w:val="en-US" w:eastAsia="zh-CN"/>
        </w:rPr>
        <w:t>5</w:t>
      </w:r>
      <w:r>
        <w:rPr>
          <w:rFonts w:hint="eastAsia" w:ascii="宋体" w:hAnsi="宋体" w:eastAsia="宋体" w:cs="宋体"/>
          <w:color w:val="auto"/>
          <w:spacing w:val="0"/>
          <w:w w:val="100"/>
          <w:position w:val="0"/>
          <w:highlight w:val="none"/>
          <w:lang w:val="en-US" w:eastAsia="zh-CN"/>
        </w:rPr>
        <w:t>）</w:t>
      </w:r>
      <w:r>
        <w:rPr>
          <w:rFonts w:hint="default" w:ascii="Times New Roman" w:hAnsi="Times New Roman" w:cs="Times New Roman"/>
          <w:color w:val="auto"/>
          <w:spacing w:val="0"/>
          <w:w w:val="100"/>
          <w:position w:val="0"/>
          <w:highlight w:val="none"/>
          <w:lang w:val="en-US" w:eastAsia="zh-CN"/>
        </w:rPr>
        <w:t>废活性炭</w:t>
      </w:r>
    </w:p>
    <w:p w14:paraId="32AF50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pacing w:val="0"/>
          <w:w w:val="100"/>
          <w:position w:val="0"/>
          <w:sz w:val="24"/>
          <w:szCs w:val="24"/>
          <w:highlight w:val="none"/>
          <w:lang w:val="en-US" w:eastAsia="zh-CN"/>
        </w:rPr>
      </w:pPr>
      <w:r>
        <w:rPr>
          <w:rFonts w:hint="eastAsia" w:ascii="Times New Roman" w:hAnsi="Times New Roman" w:eastAsia="宋体" w:cs="Times New Roman"/>
          <w:color w:val="auto"/>
          <w:spacing w:val="0"/>
          <w:sz w:val="24"/>
          <w:highlight w:val="none"/>
          <w:lang w:val="en-US" w:eastAsia="zh-CN"/>
        </w:rPr>
        <w:t>本项目活性炭吸附</w:t>
      </w:r>
      <w:r>
        <w:rPr>
          <w:rFonts w:hint="eastAsia" w:eastAsia="宋体" w:cs="Times New Roman"/>
          <w:color w:val="auto"/>
          <w:spacing w:val="0"/>
          <w:sz w:val="24"/>
          <w:highlight w:val="none"/>
          <w:lang w:val="en-US" w:eastAsia="zh-CN"/>
        </w:rPr>
        <w:t>装置装置</w:t>
      </w:r>
      <w:r>
        <w:rPr>
          <w:rFonts w:hint="eastAsia" w:ascii="Times New Roman" w:hAnsi="Times New Roman" w:eastAsia="宋体" w:cs="Times New Roman"/>
          <w:color w:val="auto"/>
          <w:spacing w:val="0"/>
          <w:sz w:val="24"/>
          <w:highlight w:val="none"/>
          <w:lang w:val="en-US" w:eastAsia="zh-CN"/>
        </w:rPr>
        <w:t>采用吸附-脱附-催化燃烧工艺，活性炭可循环再生使用。根据设计参数及设备寿命，活性炭每</w:t>
      </w:r>
      <w:r>
        <w:rPr>
          <w:rFonts w:hint="eastAsia" w:eastAsia="宋体" w:cs="Times New Roman"/>
          <w:color w:val="auto"/>
          <w:spacing w:val="0"/>
          <w:sz w:val="24"/>
          <w:highlight w:val="none"/>
          <w:lang w:val="en-US" w:eastAsia="zh-CN"/>
        </w:rPr>
        <w:t>1-2</w:t>
      </w:r>
      <w:r>
        <w:rPr>
          <w:rFonts w:hint="eastAsia" w:ascii="Times New Roman" w:hAnsi="Times New Roman" w:eastAsia="宋体" w:cs="Times New Roman"/>
          <w:color w:val="auto"/>
          <w:spacing w:val="0"/>
          <w:sz w:val="24"/>
          <w:highlight w:val="none"/>
          <w:lang w:val="en-US" w:eastAsia="zh-CN"/>
        </w:rPr>
        <w:t>年更换一次，</w:t>
      </w:r>
      <w:r>
        <w:rPr>
          <w:rFonts w:hint="eastAsia" w:eastAsia="宋体" w:cs="Times New Roman"/>
          <w:color w:val="auto"/>
          <w:spacing w:val="0"/>
          <w:sz w:val="24"/>
          <w:highlight w:val="none"/>
          <w:lang w:val="en-US" w:eastAsia="zh-CN"/>
        </w:rPr>
        <w:t>类比同等风量设备，单次装填量通常在1500kg至2500kg之间，本次以最不利计算，</w:t>
      </w:r>
      <w:r>
        <w:rPr>
          <w:rFonts w:hint="eastAsia" w:ascii="Times New Roman" w:hAnsi="Times New Roman" w:eastAsia="宋体" w:cs="Times New Roman"/>
          <w:color w:val="auto"/>
          <w:spacing w:val="0"/>
          <w:sz w:val="24"/>
          <w:highlight w:val="none"/>
          <w:lang w:val="en-US" w:eastAsia="zh-CN"/>
        </w:rPr>
        <w:t>则废炭活性产生量为</w:t>
      </w:r>
      <w:r>
        <w:rPr>
          <w:rFonts w:hint="eastAsia" w:eastAsia="宋体" w:cs="Times New Roman"/>
          <w:color w:val="auto"/>
          <w:spacing w:val="0"/>
          <w:sz w:val="24"/>
          <w:highlight w:val="none"/>
          <w:lang w:val="en-US" w:eastAsia="zh-CN"/>
        </w:rPr>
        <w:t>2.5</w:t>
      </w:r>
      <w:r>
        <w:rPr>
          <w:rFonts w:hint="eastAsia" w:ascii="Times New Roman" w:hAnsi="Times New Roman" w:eastAsia="宋体" w:cs="Times New Roman"/>
          <w:color w:val="auto"/>
          <w:spacing w:val="0"/>
          <w:sz w:val="24"/>
          <w:highlight w:val="none"/>
          <w:lang w:val="en-US" w:eastAsia="zh-CN"/>
        </w:rPr>
        <w:t>t/a。</w:t>
      </w:r>
      <w:r>
        <w:rPr>
          <w:rFonts w:hint="default" w:ascii="Times New Roman" w:hAnsi="Times New Roman" w:eastAsia="宋体" w:cs="Times New Roman"/>
          <w:color w:val="auto"/>
          <w:spacing w:val="0"/>
          <w:w w:val="100"/>
          <w:position w:val="0"/>
          <w:sz w:val="24"/>
          <w:szCs w:val="24"/>
          <w:highlight w:val="none"/>
          <w:lang w:val="en-US" w:eastAsia="zh-CN"/>
        </w:rPr>
        <w:t>根据《国家危险废物名录（2025年版）》，废物类为HW49其他废物，</w:t>
      </w:r>
      <w:r>
        <w:rPr>
          <w:rFonts w:hint="default" w:ascii="Times New Roman" w:hAnsi="Times New Roman" w:eastAsia="宋体" w:cs="Times New Roman"/>
          <w:color w:val="auto"/>
          <w:spacing w:val="0"/>
          <w:w w:val="100"/>
          <w:position w:val="0"/>
          <w:sz w:val="24"/>
          <w:szCs w:val="24"/>
          <w:highlight w:val="none"/>
          <w:lang w:eastAsia="zh-CN"/>
        </w:rPr>
        <w:t>行业来源为</w:t>
      </w:r>
      <w:r>
        <w:rPr>
          <w:rFonts w:hint="default" w:ascii="Times New Roman" w:hAnsi="Times New Roman" w:eastAsia="宋体" w:cs="Times New Roman"/>
          <w:color w:val="auto"/>
          <w:spacing w:val="0"/>
          <w:w w:val="100"/>
          <w:position w:val="0"/>
          <w:sz w:val="24"/>
          <w:szCs w:val="24"/>
          <w:highlight w:val="none"/>
          <w:lang w:val="en-US" w:eastAsia="zh-CN"/>
        </w:rPr>
        <w:t>非特定行业</w:t>
      </w:r>
      <w:r>
        <w:rPr>
          <w:rFonts w:hint="default" w:ascii="Times New Roman" w:hAnsi="Times New Roman" w:eastAsia="宋体" w:cs="Times New Roman"/>
          <w:color w:val="auto"/>
          <w:spacing w:val="0"/>
          <w:w w:val="100"/>
          <w:position w:val="0"/>
          <w:sz w:val="24"/>
          <w:szCs w:val="24"/>
          <w:highlight w:val="none"/>
          <w:lang w:eastAsia="zh-CN"/>
        </w:rPr>
        <w:t>，废物代码为</w:t>
      </w:r>
      <w:r>
        <w:rPr>
          <w:rFonts w:hint="default" w:ascii="Times New Roman" w:hAnsi="Times New Roman" w:eastAsia="宋体" w:cs="Times New Roman"/>
          <w:color w:val="auto"/>
          <w:spacing w:val="0"/>
          <w:w w:val="100"/>
          <w:position w:val="0"/>
          <w:sz w:val="24"/>
          <w:szCs w:val="24"/>
          <w:highlight w:val="none"/>
          <w:lang w:val="en-US" w:eastAsia="zh-CN"/>
        </w:rPr>
        <w:t>900-039-49</w:t>
      </w:r>
      <w:r>
        <w:rPr>
          <w:rFonts w:hint="default" w:ascii="Times New Roman" w:hAnsi="Times New Roman" w:eastAsia="宋体" w:cs="Times New Roman"/>
          <w:color w:val="auto"/>
          <w:spacing w:val="0"/>
          <w:w w:val="100"/>
          <w:position w:val="0"/>
          <w:sz w:val="24"/>
          <w:szCs w:val="24"/>
          <w:highlight w:val="none"/>
          <w:lang w:eastAsia="zh-CN"/>
        </w:rPr>
        <w:t>；收集至</w:t>
      </w:r>
      <w:r>
        <w:rPr>
          <w:rFonts w:hint="eastAsia" w:ascii="Times New Roman" w:hAnsi="Times New Roman" w:cs="Times New Roman"/>
          <w:color w:val="auto"/>
          <w:spacing w:val="0"/>
          <w:w w:val="100"/>
          <w:position w:val="0"/>
          <w:sz w:val="24"/>
          <w:szCs w:val="24"/>
          <w:highlight w:val="none"/>
          <w:lang w:val="en-US" w:eastAsia="zh-CN"/>
        </w:rPr>
        <w:t>危废贮存库</w:t>
      </w:r>
      <w:r>
        <w:rPr>
          <w:rFonts w:hint="default" w:ascii="Times New Roman" w:hAnsi="Times New Roman" w:eastAsia="宋体" w:cs="Times New Roman"/>
          <w:color w:val="auto"/>
          <w:spacing w:val="0"/>
          <w:w w:val="100"/>
          <w:position w:val="0"/>
          <w:sz w:val="24"/>
          <w:szCs w:val="24"/>
          <w:highlight w:val="none"/>
          <w:lang w:eastAsia="zh-CN"/>
        </w:rPr>
        <w:t>暂存后交有资质单位处理。</w:t>
      </w:r>
    </w:p>
    <w:p w14:paraId="31240EE8">
      <w:pPr>
        <w:pStyle w:val="33"/>
        <w:keepNext w:val="0"/>
        <w:keepLines w:val="0"/>
        <w:pageBreakBefore w:val="0"/>
        <w:widowControl w:val="0"/>
        <w:kinsoku/>
        <w:wordWrap/>
        <w:overflowPunct/>
        <w:topLinePunct w:val="0"/>
        <w:autoSpaceDE/>
        <w:autoSpaceDN/>
        <w:bidi w:val="0"/>
        <w:adjustRightInd/>
        <w:snapToGrid/>
        <w:rPr>
          <w:b/>
          <w:color w:val="auto"/>
          <w:spacing w:val="0"/>
          <w:w w:val="100"/>
          <w:position w:val="0"/>
          <w:highlight w:val="none"/>
        </w:rPr>
      </w:pPr>
      <w:r>
        <w:rPr>
          <w:color w:val="auto"/>
          <w:spacing w:val="0"/>
          <w:w w:val="100"/>
          <w:position w:val="0"/>
          <w:highlight w:val="none"/>
        </w:rPr>
        <w:t>表</w:t>
      </w:r>
      <w:r>
        <w:rPr>
          <w:rFonts w:hint="eastAsia"/>
          <w:color w:val="auto"/>
          <w:spacing w:val="0"/>
          <w:w w:val="100"/>
          <w:position w:val="0"/>
          <w:highlight w:val="none"/>
          <w:lang w:val="en-US" w:eastAsia="zh-CN"/>
        </w:rPr>
        <w:t>3.4.4-1</w:t>
      </w:r>
      <w:r>
        <w:rPr>
          <w:color w:val="auto"/>
          <w:spacing w:val="0"/>
          <w:w w:val="100"/>
          <w:position w:val="0"/>
          <w:highlight w:val="none"/>
        </w:rPr>
        <w:t xml:space="preserve"> </w:t>
      </w:r>
      <w:r>
        <w:rPr>
          <w:rFonts w:hint="eastAsia"/>
          <w:color w:val="auto"/>
          <w:spacing w:val="0"/>
          <w:w w:val="100"/>
          <w:position w:val="0"/>
          <w:highlight w:val="none"/>
          <w:lang w:val="en-US" w:eastAsia="zh-CN"/>
        </w:rPr>
        <w:t xml:space="preserve"> </w:t>
      </w:r>
      <w:r>
        <w:rPr>
          <w:color w:val="auto"/>
          <w:spacing w:val="0"/>
          <w:w w:val="100"/>
          <w:position w:val="0"/>
          <w:highlight w:val="none"/>
        </w:rPr>
        <w:t>建设项目固体废物分析结果汇总表</w:t>
      </w:r>
    </w:p>
    <w:bookmarkEnd w:id="237"/>
    <w:tbl>
      <w:tblPr>
        <w:tblStyle w:val="25"/>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autofit"/>
        <w:tblCellMar>
          <w:top w:w="57" w:type="dxa"/>
          <w:left w:w="57" w:type="dxa"/>
          <w:bottom w:w="57" w:type="dxa"/>
          <w:right w:w="57" w:type="dxa"/>
        </w:tblCellMar>
      </w:tblPr>
      <w:tblGrid>
        <w:gridCol w:w="486"/>
        <w:gridCol w:w="974"/>
        <w:gridCol w:w="676"/>
        <w:gridCol w:w="490"/>
        <w:gridCol w:w="814"/>
        <w:gridCol w:w="849"/>
        <w:gridCol w:w="2178"/>
        <w:gridCol w:w="974"/>
        <w:gridCol w:w="974"/>
      </w:tblGrid>
      <w:tr w14:paraId="269128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89" w:type="pct"/>
            <w:tcBorders>
              <w:tl2br w:val="nil"/>
              <w:tr2bl w:val="nil"/>
            </w:tcBorders>
            <w:shd w:val="clear" w:color="auto" w:fill="auto"/>
            <w:vAlign w:val="center"/>
          </w:tcPr>
          <w:p w14:paraId="1C87B64C">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kern w:val="0"/>
                <w:position w:val="0"/>
                <w:sz w:val="21"/>
                <w:szCs w:val="21"/>
              </w:rPr>
            </w:pPr>
            <w:bookmarkStart w:id="241" w:name="_Toc7747"/>
            <w:r>
              <w:rPr>
                <w:rFonts w:hint="default" w:ascii="Times New Roman" w:hAnsi="Times New Roman" w:eastAsia="宋体" w:cs="Times New Roman"/>
                <w:b/>
                <w:bCs/>
                <w:color w:val="auto"/>
                <w:spacing w:val="0"/>
                <w:w w:val="100"/>
                <w:kern w:val="0"/>
                <w:position w:val="0"/>
                <w:sz w:val="21"/>
                <w:szCs w:val="21"/>
                <w:lang w:val="en-US" w:eastAsia="zh-CN" w:bidi="ar"/>
              </w:rPr>
              <w:t>序号</w:t>
            </w:r>
          </w:p>
        </w:tc>
        <w:tc>
          <w:tcPr>
            <w:tcW w:w="578" w:type="pct"/>
            <w:tcBorders>
              <w:tl2br w:val="nil"/>
              <w:tr2bl w:val="nil"/>
            </w:tcBorders>
            <w:shd w:val="clear" w:color="auto" w:fill="auto"/>
            <w:vAlign w:val="center"/>
          </w:tcPr>
          <w:p w14:paraId="0A0FF010">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kern w:val="0"/>
                <w:position w:val="0"/>
                <w:sz w:val="21"/>
                <w:szCs w:val="21"/>
              </w:rPr>
            </w:pPr>
            <w:r>
              <w:rPr>
                <w:rFonts w:hint="default" w:ascii="Times New Roman" w:hAnsi="Times New Roman" w:eastAsia="宋体" w:cs="Times New Roman"/>
                <w:b/>
                <w:bCs/>
                <w:color w:val="auto"/>
                <w:spacing w:val="0"/>
                <w:w w:val="100"/>
                <w:kern w:val="0"/>
                <w:position w:val="0"/>
                <w:sz w:val="21"/>
                <w:szCs w:val="21"/>
                <w:lang w:val="en-US" w:eastAsia="zh-CN" w:bidi="ar"/>
              </w:rPr>
              <w:t>固废名称</w:t>
            </w:r>
          </w:p>
        </w:tc>
        <w:tc>
          <w:tcPr>
            <w:tcW w:w="401" w:type="pct"/>
            <w:tcBorders>
              <w:tl2br w:val="nil"/>
              <w:tr2bl w:val="nil"/>
            </w:tcBorders>
            <w:shd w:val="clear" w:color="auto" w:fill="auto"/>
            <w:vAlign w:val="center"/>
          </w:tcPr>
          <w:p w14:paraId="1ADEA980">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kern w:val="0"/>
                <w:position w:val="0"/>
                <w:sz w:val="21"/>
                <w:szCs w:val="21"/>
              </w:rPr>
            </w:pPr>
            <w:r>
              <w:rPr>
                <w:rFonts w:hint="default" w:ascii="Times New Roman" w:hAnsi="Times New Roman" w:eastAsia="宋体" w:cs="Times New Roman"/>
                <w:b/>
                <w:bCs/>
                <w:color w:val="auto"/>
                <w:spacing w:val="0"/>
                <w:w w:val="100"/>
                <w:kern w:val="0"/>
                <w:position w:val="0"/>
                <w:sz w:val="21"/>
                <w:szCs w:val="21"/>
                <w:lang w:val="en-US" w:eastAsia="zh-CN" w:bidi="ar"/>
              </w:rPr>
              <w:t>属性</w:t>
            </w:r>
          </w:p>
        </w:tc>
        <w:tc>
          <w:tcPr>
            <w:tcW w:w="291" w:type="pct"/>
            <w:tcBorders>
              <w:tl2br w:val="nil"/>
              <w:tr2bl w:val="nil"/>
            </w:tcBorders>
            <w:shd w:val="clear" w:color="auto" w:fill="auto"/>
            <w:vAlign w:val="center"/>
          </w:tcPr>
          <w:p w14:paraId="4FA0A511">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kern w:val="0"/>
                <w:position w:val="0"/>
                <w:sz w:val="21"/>
                <w:szCs w:val="21"/>
              </w:rPr>
            </w:pPr>
            <w:r>
              <w:rPr>
                <w:rFonts w:hint="default" w:ascii="Times New Roman" w:hAnsi="Times New Roman" w:eastAsia="宋体" w:cs="Times New Roman"/>
                <w:b/>
                <w:bCs/>
                <w:color w:val="auto"/>
                <w:spacing w:val="0"/>
                <w:w w:val="100"/>
                <w:kern w:val="0"/>
                <w:position w:val="0"/>
                <w:sz w:val="21"/>
                <w:szCs w:val="21"/>
                <w:lang w:val="en-US" w:eastAsia="zh-CN" w:bidi="ar"/>
              </w:rPr>
              <w:t>形态</w:t>
            </w:r>
          </w:p>
        </w:tc>
        <w:tc>
          <w:tcPr>
            <w:tcW w:w="483" w:type="pct"/>
            <w:tcBorders>
              <w:tl2br w:val="nil"/>
              <w:tr2bl w:val="nil"/>
            </w:tcBorders>
            <w:shd w:val="clear" w:color="auto" w:fill="auto"/>
            <w:vAlign w:val="center"/>
          </w:tcPr>
          <w:p w14:paraId="7C93567A">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kern w:val="0"/>
                <w:position w:val="0"/>
                <w:sz w:val="21"/>
                <w:szCs w:val="21"/>
              </w:rPr>
            </w:pPr>
            <w:r>
              <w:rPr>
                <w:rFonts w:hint="default" w:ascii="Times New Roman" w:hAnsi="Times New Roman" w:eastAsia="宋体" w:cs="Times New Roman"/>
                <w:b/>
                <w:bCs/>
                <w:color w:val="auto"/>
                <w:spacing w:val="0"/>
                <w:w w:val="100"/>
                <w:kern w:val="0"/>
                <w:position w:val="0"/>
                <w:sz w:val="21"/>
                <w:szCs w:val="21"/>
                <w:lang w:val="en-US" w:eastAsia="zh-CN" w:bidi="ar"/>
              </w:rPr>
              <w:t>危险特性</w:t>
            </w:r>
          </w:p>
        </w:tc>
        <w:tc>
          <w:tcPr>
            <w:tcW w:w="504" w:type="pct"/>
            <w:tcBorders>
              <w:tl2br w:val="nil"/>
              <w:tr2bl w:val="nil"/>
            </w:tcBorders>
            <w:shd w:val="clear" w:color="auto" w:fill="auto"/>
            <w:vAlign w:val="center"/>
          </w:tcPr>
          <w:p w14:paraId="1970067F">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kern w:val="0"/>
                <w:position w:val="0"/>
                <w:sz w:val="21"/>
                <w:szCs w:val="21"/>
              </w:rPr>
            </w:pPr>
            <w:r>
              <w:rPr>
                <w:rFonts w:hint="default" w:ascii="Times New Roman" w:hAnsi="Times New Roman" w:eastAsia="宋体" w:cs="Times New Roman"/>
                <w:b/>
                <w:bCs/>
                <w:color w:val="auto"/>
                <w:spacing w:val="0"/>
                <w:w w:val="100"/>
                <w:kern w:val="0"/>
                <w:position w:val="0"/>
                <w:sz w:val="21"/>
                <w:szCs w:val="21"/>
                <w:lang w:val="en-US" w:eastAsia="zh-CN" w:bidi="ar"/>
              </w:rPr>
              <w:t>废物类别</w:t>
            </w:r>
          </w:p>
        </w:tc>
        <w:tc>
          <w:tcPr>
            <w:tcW w:w="1293" w:type="pct"/>
            <w:tcBorders>
              <w:tl2br w:val="nil"/>
              <w:tr2bl w:val="nil"/>
            </w:tcBorders>
            <w:shd w:val="clear" w:color="auto" w:fill="auto"/>
            <w:vAlign w:val="center"/>
          </w:tcPr>
          <w:p w14:paraId="6D59DD4E">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kern w:val="0"/>
                <w:position w:val="0"/>
                <w:sz w:val="21"/>
                <w:szCs w:val="21"/>
              </w:rPr>
            </w:pPr>
            <w:r>
              <w:rPr>
                <w:rFonts w:hint="default" w:ascii="Times New Roman" w:hAnsi="Times New Roman" w:eastAsia="宋体" w:cs="Times New Roman"/>
                <w:b/>
                <w:bCs/>
                <w:color w:val="auto"/>
                <w:spacing w:val="0"/>
                <w:w w:val="100"/>
                <w:kern w:val="0"/>
                <w:position w:val="0"/>
                <w:sz w:val="21"/>
                <w:szCs w:val="21"/>
                <w:lang w:val="en-US" w:eastAsia="zh-CN" w:bidi="ar"/>
              </w:rPr>
              <w:t>废物代码</w:t>
            </w:r>
          </w:p>
        </w:tc>
        <w:tc>
          <w:tcPr>
            <w:tcW w:w="578" w:type="pct"/>
            <w:tcBorders>
              <w:tl2br w:val="nil"/>
              <w:tr2bl w:val="nil"/>
            </w:tcBorders>
            <w:shd w:val="clear" w:color="auto" w:fill="auto"/>
            <w:vAlign w:val="center"/>
          </w:tcPr>
          <w:p w14:paraId="2831E2EC">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kern w:val="0"/>
                <w:position w:val="0"/>
                <w:sz w:val="21"/>
                <w:szCs w:val="21"/>
              </w:rPr>
            </w:pPr>
            <w:r>
              <w:rPr>
                <w:rFonts w:hint="default" w:ascii="Times New Roman" w:hAnsi="Times New Roman" w:eastAsia="宋体" w:cs="Times New Roman"/>
                <w:b/>
                <w:bCs/>
                <w:color w:val="auto"/>
                <w:spacing w:val="0"/>
                <w:w w:val="100"/>
                <w:kern w:val="0"/>
                <w:position w:val="0"/>
                <w:sz w:val="21"/>
                <w:szCs w:val="21"/>
                <w:lang w:val="en-US" w:eastAsia="zh-CN" w:bidi="ar"/>
              </w:rPr>
              <w:t>估算产生量(t/a)</w:t>
            </w:r>
          </w:p>
        </w:tc>
        <w:tc>
          <w:tcPr>
            <w:tcW w:w="578" w:type="pct"/>
            <w:tcBorders>
              <w:tl2br w:val="nil"/>
              <w:tr2bl w:val="nil"/>
            </w:tcBorders>
            <w:shd w:val="clear" w:color="auto" w:fill="auto"/>
            <w:vAlign w:val="center"/>
          </w:tcPr>
          <w:p w14:paraId="630156FA">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kern w:val="0"/>
                <w:position w:val="0"/>
                <w:sz w:val="21"/>
                <w:szCs w:val="21"/>
                <w:lang w:val="en-US" w:eastAsia="zh-CN" w:bidi="ar"/>
              </w:rPr>
            </w:pPr>
            <w:r>
              <w:rPr>
                <w:rFonts w:hint="default" w:ascii="Times New Roman" w:hAnsi="Times New Roman" w:eastAsia="宋体" w:cs="Times New Roman"/>
                <w:b/>
                <w:bCs/>
                <w:color w:val="auto"/>
                <w:spacing w:val="0"/>
                <w:w w:val="100"/>
                <w:kern w:val="0"/>
                <w:position w:val="0"/>
                <w:sz w:val="21"/>
                <w:szCs w:val="21"/>
                <w:lang w:val="en-US" w:eastAsia="zh-CN" w:bidi="ar"/>
              </w:rPr>
              <w:t>污染防治措施</w:t>
            </w:r>
          </w:p>
        </w:tc>
      </w:tr>
      <w:tr w14:paraId="48871D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57" w:type="dxa"/>
            <w:left w:w="57" w:type="dxa"/>
            <w:bottom w:w="57" w:type="dxa"/>
            <w:right w:w="57" w:type="dxa"/>
          </w:tblCellMar>
        </w:tblPrEx>
        <w:trPr>
          <w:trHeight w:val="0" w:hRule="atLeast"/>
          <w:jc w:val="center"/>
        </w:trPr>
        <w:tc>
          <w:tcPr>
            <w:tcW w:w="289" w:type="pct"/>
            <w:tcBorders>
              <w:tl2br w:val="nil"/>
              <w:tr2bl w:val="nil"/>
            </w:tcBorders>
            <w:shd w:val="clear" w:color="auto" w:fill="auto"/>
            <w:vAlign w:val="center"/>
          </w:tcPr>
          <w:p w14:paraId="34FE24D8">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en-US" w:eastAsia="zh-CN" w:bidi="ar"/>
              </w:rPr>
              <w:t>1</w:t>
            </w:r>
          </w:p>
        </w:tc>
        <w:tc>
          <w:tcPr>
            <w:tcW w:w="578" w:type="pct"/>
            <w:tcBorders>
              <w:tl2br w:val="nil"/>
              <w:tr2bl w:val="nil"/>
            </w:tcBorders>
            <w:shd w:val="clear" w:color="auto" w:fill="auto"/>
            <w:vAlign w:val="center"/>
          </w:tcPr>
          <w:p w14:paraId="4B8F638D">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rPr>
            </w:pPr>
            <w:r>
              <w:rPr>
                <w:rFonts w:hint="default" w:ascii="Times New Roman" w:hAnsi="Times New Roman" w:cs="Times New Roman"/>
                <w:color w:val="auto"/>
                <w:spacing w:val="0"/>
                <w:w w:val="100"/>
                <w:kern w:val="0"/>
                <w:position w:val="0"/>
                <w:sz w:val="21"/>
                <w:szCs w:val="21"/>
                <w:lang w:val="en-US" w:eastAsia="zh-CN" w:bidi="ar"/>
              </w:rPr>
              <w:t>废包装材料</w:t>
            </w:r>
          </w:p>
        </w:tc>
        <w:tc>
          <w:tcPr>
            <w:tcW w:w="401" w:type="pct"/>
            <w:vMerge w:val="restart"/>
            <w:tcBorders>
              <w:tl2br w:val="nil"/>
              <w:tr2bl w:val="nil"/>
            </w:tcBorders>
            <w:shd w:val="clear" w:color="auto" w:fill="auto"/>
            <w:vAlign w:val="center"/>
          </w:tcPr>
          <w:p w14:paraId="049089CC">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en-US" w:eastAsia="zh-CN" w:bidi="ar"/>
              </w:rPr>
              <w:t>一般工业固体废物</w:t>
            </w:r>
          </w:p>
        </w:tc>
        <w:tc>
          <w:tcPr>
            <w:tcW w:w="291" w:type="pct"/>
            <w:tcBorders>
              <w:tl2br w:val="nil"/>
              <w:tr2bl w:val="nil"/>
            </w:tcBorders>
            <w:shd w:val="clear" w:color="auto" w:fill="auto"/>
            <w:vAlign w:val="center"/>
          </w:tcPr>
          <w:p w14:paraId="38AB9666">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en-US" w:eastAsia="zh-CN" w:bidi="ar"/>
              </w:rPr>
              <w:t>固态</w:t>
            </w:r>
          </w:p>
        </w:tc>
        <w:tc>
          <w:tcPr>
            <w:tcW w:w="483" w:type="pct"/>
            <w:tcBorders>
              <w:tl2br w:val="nil"/>
              <w:tr2bl w:val="nil"/>
            </w:tcBorders>
            <w:shd w:val="clear" w:color="auto" w:fill="auto"/>
            <w:vAlign w:val="center"/>
          </w:tcPr>
          <w:p w14:paraId="693B0DB0">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en-US" w:eastAsia="zh-CN" w:bidi="ar"/>
              </w:rPr>
              <w:t>/</w:t>
            </w:r>
          </w:p>
        </w:tc>
        <w:tc>
          <w:tcPr>
            <w:tcW w:w="504" w:type="pct"/>
            <w:tcBorders>
              <w:tl2br w:val="nil"/>
              <w:tr2bl w:val="nil"/>
            </w:tcBorders>
            <w:shd w:val="clear" w:color="auto" w:fill="auto"/>
            <w:vAlign w:val="center"/>
          </w:tcPr>
          <w:p w14:paraId="4575C225">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en-US" w:eastAsia="zh-CN" w:bidi="ar"/>
              </w:rPr>
              <w:t>SW17</w:t>
            </w:r>
          </w:p>
        </w:tc>
        <w:tc>
          <w:tcPr>
            <w:tcW w:w="1293" w:type="pct"/>
            <w:tcBorders>
              <w:tl2br w:val="nil"/>
              <w:tr2bl w:val="nil"/>
            </w:tcBorders>
            <w:shd w:val="clear" w:color="auto" w:fill="auto"/>
            <w:vAlign w:val="center"/>
          </w:tcPr>
          <w:p w14:paraId="736B9BBE">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rPr>
              <w:t>900-003-S17</w:t>
            </w:r>
          </w:p>
        </w:tc>
        <w:tc>
          <w:tcPr>
            <w:tcW w:w="578" w:type="pct"/>
            <w:tcBorders>
              <w:tl2br w:val="nil"/>
              <w:tr2bl w:val="nil"/>
            </w:tcBorders>
            <w:shd w:val="clear" w:color="auto" w:fill="auto"/>
            <w:vAlign w:val="center"/>
          </w:tcPr>
          <w:p w14:paraId="685B43C7">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rPr>
            </w:pPr>
            <w:r>
              <w:rPr>
                <w:rFonts w:hint="default" w:ascii="Times New Roman" w:hAnsi="Times New Roman" w:cs="Times New Roman"/>
                <w:color w:val="auto"/>
                <w:spacing w:val="0"/>
                <w:w w:val="100"/>
                <w:kern w:val="0"/>
                <w:position w:val="0"/>
                <w:sz w:val="21"/>
                <w:szCs w:val="21"/>
                <w:lang w:val="en-US" w:eastAsia="zh-CN" w:bidi="ar"/>
              </w:rPr>
              <w:t>0.5</w:t>
            </w:r>
          </w:p>
        </w:tc>
        <w:tc>
          <w:tcPr>
            <w:tcW w:w="578" w:type="pct"/>
            <w:vMerge w:val="restart"/>
            <w:tcBorders>
              <w:tl2br w:val="nil"/>
              <w:tr2bl w:val="nil"/>
            </w:tcBorders>
            <w:shd w:val="clear" w:color="auto" w:fill="auto"/>
            <w:vAlign w:val="center"/>
          </w:tcPr>
          <w:p w14:paraId="62192732">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r>
              <w:rPr>
                <w:rFonts w:hint="eastAsia" w:ascii="Times New Roman" w:hAnsi="Times New Roman" w:cs="Times New Roman"/>
                <w:color w:val="auto"/>
                <w:spacing w:val="0"/>
                <w:w w:val="100"/>
                <w:kern w:val="0"/>
                <w:position w:val="0"/>
                <w:sz w:val="21"/>
                <w:szCs w:val="21"/>
                <w:lang w:val="en-US" w:eastAsia="zh-CN" w:bidi="ar"/>
              </w:rPr>
              <w:t>收集后外售物资回收单位综合利用</w:t>
            </w:r>
          </w:p>
        </w:tc>
      </w:tr>
      <w:tr w14:paraId="3790DB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89" w:type="pct"/>
            <w:tcBorders>
              <w:tl2br w:val="nil"/>
              <w:tr2bl w:val="nil"/>
            </w:tcBorders>
            <w:shd w:val="clear" w:color="auto" w:fill="auto"/>
            <w:vAlign w:val="center"/>
          </w:tcPr>
          <w:p w14:paraId="6C1AE07C">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
              </w:rPr>
              <w:t>2</w:t>
            </w:r>
          </w:p>
        </w:tc>
        <w:tc>
          <w:tcPr>
            <w:tcW w:w="578" w:type="pct"/>
            <w:tcBorders>
              <w:tl2br w:val="nil"/>
              <w:tr2bl w:val="nil"/>
            </w:tcBorders>
            <w:shd w:val="clear" w:color="auto" w:fill="auto"/>
            <w:vAlign w:val="center"/>
          </w:tcPr>
          <w:p w14:paraId="5D642F5D">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position w:val="0"/>
                <w:sz w:val="21"/>
                <w:szCs w:val="21"/>
                <w:highlight w:val="none"/>
                <w:lang w:val="en-US" w:eastAsia="zh-CN"/>
              </w:rPr>
              <w:t>废过滤渣和废过滤网</w:t>
            </w:r>
          </w:p>
        </w:tc>
        <w:tc>
          <w:tcPr>
            <w:tcW w:w="401" w:type="pct"/>
            <w:vMerge w:val="continue"/>
            <w:tcBorders>
              <w:tl2br w:val="nil"/>
              <w:tr2bl w:val="nil"/>
            </w:tcBorders>
            <w:shd w:val="clear" w:color="auto" w:fill="auto"/>
            <w:vAlign w:val="center"/>
          </w:tcPr>
          <w:p w14:paraId="725E3F40">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p>
        </w:tc>
        <w:tc>
          <w:tcPr>
            <w:tcW w:w="291" w:type="pct"/>
            <w:tcBorders>
              <w:tl2br w:val="nil"/>
              <w:tr2bl w:val="nil"/>
            </w:tcBorders>
            <w:shd w:val="clear" w:color="auto" w:fill="auto"/>
            <w:vAlign w:val="center"/>
          </w:tcPr>
          <w:p w14:paraId="1C753F4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eastAsia="宋体" w:cs="Times New Roman"/>
                <w:color w:val="auto"/>
                <w:spacing w:val="0"/>
                <w:w w:val="100"/>
                <w:kern w:val="0"/>
                <w:position w:val="0"/>
                <w:sz w:val="21"/>
                <w:szCs w:val="21"/>
                <w:lang w:val="en-US" w:eastAsia="zh-CN" w:bidi="ar"/>
              </w:rPr>
              <w:t>固态</w:t>
            </w:r>
          </w:p>
        </w:tc>
        <w:tc>
          <w:tcPr>
            <w:tcW w:w="483" w:type="pct"/>
            <w:tcBorders>
              <w:tl2br w:val="nil"/>
              <w:tr2bl w:val="nil"/>
            </w:tcBorders>
            <w:shd w:val="clear" w:color="auto" w:fill="auto"/>
            <w:vAlign w:val="center"/>
          </w:tcPr>
          <w:p w14:paraId="33629F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eastAsia="宋体" w:cs="Times New Roman"/>
                <w:color w:val="auto"/>
                <w:spacing w:val="0"/>
                <w:w w:val="100"/>
                <w:kern w:val="0"/>
                <w:position w:val="0"/>
                <w:sz w:val="21"/>
                <w:szCs w:val="21"/>
                <w:lang w:val="en-US" w:eastAsia="zh-CN" w:bidi="ar"/>
              </w:rPr>
              <w:t>/</w:t>
            </w:r>
          </w:p>
        </w:tc>
        <w:tc>
          <w:tcPr>
            <w:tcW w:w="504" w:type="pct"/>
            <w:tcBorders>
              <w:tl2br w:val="nil"/>
              <w:tr2bl w:val="nil"/>
            </w:tcBorders>
            <w:shd w:val="clear" w:color="auto" w:fill="auto"/>
            <w:vAlign w:val="center"/>
          </w:tcPr>
          <w:p w14:paraId="5CA0C49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eastAsia="宋体" w:cs="Times New Roman"/>
                <w:color w:val="auto"/>
                <w:spacing w:val="0"/>
                <w:w w:val="100"/>
                <w:kern w:val="0"/>
                <w:position w:val="0"/>
                <w:sz w:val="21"/>
                <w:szCs w:val="21"/>
                <w:lang w:val="en-US" w:eastAsia="zh-CN" w:bidi="ar"/>
              </w:rPr>
              <w:t>SW59</w:t>
            </w:r>
          </w:p>
        </w:tc>
        <w:tc>
          <w:tcPr>
            <w:tcW w:w="1293" w:type="pct"/>
            <w:tcBorders>
              <w:tl2br w:val="nil"/>
              <w:tr2bl w:val="nil"/>
            </w:tcBorders>
            <w:shd w:val="clear" w:color="auto" w:fill="auto"/>
            <w:vAlign w:val="center"/>
          </w:tcPr>
          <w:p w14:paraId="2BE26998">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cs="Times New Roman"/>
                <w:color w:val="auto"/>
                <w:spacing w:val="0"/>
                <w:w w:val="100"/>
                <w:position w:val="0"/>
                <w:sz w:val="21"/>
                <w:szCs w:val="21"/>
                <w:highlight w:val="none"/>
                <w:lang w:val="en-US" w:eastAsia="zh-CN"/>
              </w:rPr>
              <w:t>900-009-S59</w:t>
            </w:r>
          </w:p>
        </w:tc>
        <w:tc>
          <w:tcPr>
            <w:tcW w:w="578" w:type="pct"/>
            <w:tcBorders>
              <w:tl2br w:val="nil"/>
              <w:tr2bl w:val="nil"/>
            </w:tcBorders>
            <w:shd w:val="clear" w:color="auto" w:fill="auto"/>
            <w:vAlign w:val="center"/>
          </w:tcPr>
          <w:p w14:paraId="179ADEAD">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0.05</w:t>
            </w:r>
          </w:p>
        </w:tc>
        <w:tc>
          <w:tcPr>
            <w:tcW w:w="578" w:type="pct"/>
            <w:vMerge w:val="continue"/>
            <w:tcBorders>
              <w:tl2br w:val="nil"/>
              <w:tr2bl w:val="nil"/>
            </w:tcBorders>
            <w:shd w:val="clear" w:color="auto" w:fill="auto"/>
            <w:vAlign w:val="center"/>
          </w:tcPr>
          <w:p w14:paraId="3552E296">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p>
        </w:tc>
      </w:tr>
      <w:tr w14:paraId="2721C7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89" w:type="pct"/>
            <w:tcBorders>
              <w:tl2br w:val="nil"/>
              <w:tr2bl w:val="nil"/>
            </w:tcBorders>
            <w:shd w:val="clear" w:color="auto" w:fill="auto"/>
            <w:vAlign w:val="center"/>
          </w:tcPr>
          <w:p w14:paraId="22CE42F3">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
              </w:rPr>
              <w:t>3</w:t>
            </w:r>
          </w:p>
        </w:tc>
        <w:tc>
          <w:tcPr>
            <w:tcW w:w="578" w:type="pct"/>
            <w:tcBorders>
              <w:tl2br w:val="nil"/>
              <w:tr2bl w:val="nil"/>
            </w:tcBorders>
            <w:shd w:val="clear" w:color="auto" w:fill="auto"/>
            <w:vAlign w:val="center"/>
          </w:tcPr>
          <w:p w14:paraId="31BDB87D">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边角料</w:t>
            </w:r>
          </w:p>
        </w:tc>
        <w:tc>
          <w:tcPr>
            <w:tcW w:w="401" w:type="pct"/>
            <w:vMerge w:val="continue"/>
            <w:tcBorders>
              <w:tl2br w:val="nil"/>
              <w:tr2bl w:val="nil"/>
            </w:tcBorders>
            <w:shd w:val="clear" w:color="auto" w:fill="auto"/>
            <w:vAlign w:val="center"/>
          </w:tcPr>
          <w:p w14:paraId="76FC2972">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p>
        </w:tc>
        <w:tc>
          <w:tcPr>
            <w:tcW w:w="291" w:type="pct"/>
            <w:tcBorders>
              <w:tl2br w:val="nil"/>
              <w:tr2bl w:val="nil"/>
            </w:tcBorders>
            <w:shd w:val="clear" w:color="auto" w:fill="auto"/>
            <w:vAlign w:val="center"/>
          </w:tcPr>
          <w:p w14:paraId="7E1E264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eastAsia="宋体" w:cs="Times New Roman"/>
                <w:color w:val="auto"/>
                <w:spacing w:val="0"/>
                <w:w w:val="100"/>
                <w:kern w:val="0"/>
                <w:position w:val="0"/>
                <w:sz w:val="21"/>
                <w:szCs w:val="21"/>
                <w:lang w:val="en-US" w:eastAsia="zh-CN" w:bidi="ar"/>
              </w:rPr>
              <w:t>固态</w:t>
            </w:r>
          </w:p>
        </w:tc>
        <w:tc>
          <w:tcPr>
            <w:tcW w:w="483" w:type="pct"/>
            <w:tcBorders>
              <w:tl2br w:val="nil"/>
              <w:tr2bl w:val="nil"/>
            </w:tcBorders>
            <w:shd w:val="clear" w:color="auto" w:fill="auto"/>
            <w:vAlign w:val="center"/>
          </w:tcPr>
          <w:p w14:paraId="0B5F5D3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eastAsia="宋体" w:cs="Times New Roman"/>
                <w:color w:val="auto"/>
                <w:spacing w:val="0"/>
                <w:w w:val="100"/>
                <w:kern w:val="0"/>
                <w:position w:val="0"/>
                <w:sz w:val="21"/>
                <w:szCs w:val="21"/>
                <w:lang w:val="en-US" w:eastAsia="zh-CN" w:bidi="ar"/>
              </w:rPr>
              <w:t>/</w:t>
            </w:r>
          </w:p>
        </w:tc>
        <w:tc>
          <w:tcPr>
            <w:tcW w:w="504" w:type="pct"/>
            <w:tcBorders>
              <w:tl2br w:val="nil"/>
              <w:tr2bl w:val="nil"/>
            </w:tcBorders>
            <w:shd w:val="clear" w:color="auto" w:fill="auto"/>
            <w:vAlign w:val="center"/>
          </w:tcPr>
          <w:p w14:paraId="235D8F2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eastAsia="宋体" w:cs="Times New Roman"/>
                <w:color w:val="auto"/>
                <w:spacing w:val="0"/>
                <w:w w:val="100"/>
                <w:kern w:val="0"/>
                <w:position w:val="0"/>
                <w:sz w:val="21"/>
                <w:szCs w:val="21"/>
                <w:lang w:val="en-US" w:eastAsia="zh-CN" w:bidi="ar"/>
              </w:rPr>
              <w:t>SW17</w:t>
            </w:r>
          </w:p>
        </w:tc>
        <w:tc>
          <w:tcPr>
            <w:tcW w:w="1293" w:type="pct"/>
            <w:tcBorders>
              <w:tl2br w:val="nil"/>
              <w:tr2bl w:val="nil"/>
            </w:tcBorders>
            <w:shd w:val="clear" w:color="auto" w:fill="auto"/>
            <w:vAlign w:val="center"/>
          </w:tcPr>
          <w:p w14:paraId="63315B22">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cs="Times New Roman"/>
                <w:color w:val="auto"/>
                <w:spacing w:val="0"/>
                <w:w w:val="100"/>
                <w:position w:val="0"/>
                <w:sz w:val="21"/>
                <w:szCs w:val="21"/>
                <w:highlight w:val="none"/>
                <w:lang w:val="en-US" w:eastAsia="zh-CN"/>
              </w:rPr>
              <w:t>900-003-S17</w:t>
            </w:r>
          </w:p>
        </w:tc>
        <w:tc>
          <w:tcPr>
            <w:tcW w:w="578" w:type="pct"/>
            <w:tcBorders>
              <w:tl2br w:val="nil"/>
              <w:tr2bl w:val="nil"/>
            </w:tcBorders>
            <w:shd w:val="clear" w:color="auto" w:fill="auto"/>
            <w:vAlign w:val="center"/>
          </w:tcPr>
          <w:p w14:paraId="4C7BD866">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3.694</w:t>
            </w:r>
          </w:p>
        </w:tc>
        <w:tc>
          <w:tcPr>
            <w:tcW w:w="578" w:type="pct"/>
            <w:vMerge w:val="continue"/>
            <w:tcBorders>
              <w:tl2br w:val="nil"/>
              <w:tr2bl w:val="nil"/>
            </w:tcBorders>
            <w:shd w:val="clear" w:color="auto" w:fill="auto"/>
            <w:vAlign w:val="center"/>
          </w:tcPr>
          <w:p w14:paraId="117561B7">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p>
        </w:tc>
      </w:tr>
      <w:tr w14:paraId="0CC36F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57" w:type="dxa"/>
            <w:left w:w="57" w:type="dxa"/>
            <w:bottom w:w="57" w:type="dxa"/>
            <w:right w:w="57" w:type="dxa"/>
          </w:tblCellMar>
        </w:tblPrEx>
        <w:trPr>
          <w:trHeight w:val="0" w:hRule="atLeast"/>
          <w:jc w:val="center"/>
        </w:trPr>
        <w:tc>
          <w:tcPr>
            <w:tcW w:w="289" w:type="pct"/>
            <w:tcBorders>
              <w:tl2br w:val="nil"/>
              <w:tr2bl w:val="nil"/>
            </w:tcBorders>
            <w:shd w:val="clear" w:color="auto" w:fill="auto"/>
            <w:vAlign w:val="center"/>
          </w:tcPr>
          <w:p w14:paraId="1727723D">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
              </w:rPr>
              <w:t>4</w:t>
            </w:r>
          </w:p>
        </w:tc>
        <w:tc>
          <w:tcPr>
            <w:tcW w:w="578" w:type="pct"/>
            <w:tcBorders>
              <w:tl2br w:val="nil"/>
              <w:tr2bl w:val="nil"/>
            </w:tcBorders>
            <w:shd w:val="clear" w:color="auto" w:fill="auto"/>
            <w:vAlign w:val="center"/>
          </w:tcPr>
          <w:p w14:paraId="7A8C3A71">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除尘器收集粉尘</w:t>
            </w:r>
          </w:p>
        </w:tc>
        <w:tc>
          <w:tcPr>
            <w:tcW w:w="401" w:type="pct"/>
            <w:vMerge w:val="continue"/>
            <w:tcBorders>
              <w:tl2br w:val="nil"/>
              <w:tr2bl w:val="nil"/>
            </w:tcBorders>
            <w:shd w:val="clear" w:color="auto" w:fill="auto"/>
            <w:vAlign w:val="center"/>
          </w:tcPr>
          <w:p w14:paraId="681B4CC2">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p>
        </w:tc>
        <w:tc>
          <w:tcPr>
            <w:tcW w:w="291" w:type="pct"/>
            <w:tcBorders>
              <w:tl2br w:val="nil"/>
              <w:tr2bl w:val="nil"/>
            </w:tcBorders>
            <w:shd w:val="clear" w:color="auto" w:fill="auto"/>
            <w:vAlign w:val="center"/>
          </w:tcPr>
          <w:p w14:paraId="0202C75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eastAsia="宋体" w:cs="Times New Roman"/>
                <w:color w:val="auto"/>
                <w:spacing w:val="0"/>
                <w:w w:val="100"/>
                <w:kern w:val="0"/>
                <w:position w:val="0"/>
                <w:sz w:val="21"/>
                <w:szCs w:val="21"/>
                <w:lang w:val="en-US" w:eastAsia="zh-CN" w:bidi="ar"/>
              </w:rPr>
              <w:t>固态</w:t>
            </w:r>
          </w:p>
        </w:tc>
        <w:tc>
          <w:tcPr>
            <w:tcW w:w="483" w:type="pct"/>
            <w:tcBorders>
              <w:tl2br w:val="nil"/>
              <w:tr2bl w:val="nil"/>
            </w:tcBorders>
            <w:shd w:val="clear" w:color="auto" w:fill="auto"/>
            <w:vAlign w:val="center"/>
          </w:tcPr>
          <w:p w14:paraId="102D943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eastAsia="宋体" w:cs="Times New Roman"/>
                <w:color w:val="auto"/>
                <w:spacing w:val="0"/>
                <w:w w:val="100"/>
                <w:kern w:val="0"/>
                <w:position w:val="0"/>
                <w:sz w:val="21"/>
                <w:szCs w:val="21"/>
                <w:lang w:val="en-US" w:eastAsia="zh-CN" w:bidi="ar"/>
              </w:rPr>
              <w:t>/</w:t>
            </w:r>
          </w:p>
        </w:tc>
        <w:tc>
          <w:tcPr>
            <w:tcW w:w="504" w:type="pct"/>
            <w:tcBorders>
              <w:tl2br w:val="nil"/>
              <w:tr2bl w:val="nil"/>
            </w:tcBorders>
            <w:shd w:val="clear" w:color="auto" w:fill="auto"/>
            <w:vAlign w:val="center"/>
          </w:tcPr>
          <w:p w14:paraId="10DBAF3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eastAsia="宋体" w:cs="Times New Roman"/>
                <w:color w:val="auto"/>
                <w:spacing w:val="0"/>
                <w:w w:val="100"/>
                <w:kern w:val="0"/>
                <w:position w:val="0"/>
                <w:sz w:val="21"/>
                <w:szCs w:val="21"/>
                <w:lang w:val="en-US" w:eastAsia="zh-CN" w:bidi="ar"/>
              </w:rPr>
              <w:t>SW59</w:t>
            </w:r>
          </w:p>
        </w:tc>
        <w:tc>
          <w:tcPr>
            <w:tcW w:w="1293" w:type="pct"/>
            <w:tcBorders>
              <w:tl2br w:val="nil"/>
              <w:tr2bl w:val="nil"/>
            </w:tcBorders>
            <w:shd w:val="clear" w:color="auto" w:fill="auto"/>
            <w:vAlign w:val="center"/>
          </w:tcPr>
          <w:p w14:paraId="623C4726">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cs="Times New Roman"/>
                <w:color w:val="auto"/>
                <w:spacing w:val="0"/>
                <w:w w:val="100"/>
                <w:position w:val="0"/>
                <w:sz w:val="21"/>
                <w:szCs w:val="21"/>
                <w:highlight w:val="none"/>
                <w:lang w:val="en-US" w:eastAsia="zh-CN"/>
              </w:rPr>
              <w:t>900-099-S59</w:t>
            </w:r>
          </w:p>
        </w:tc>
        <w:tc>
          <w:tcPr>
            <w:tcW w:w="578" w:type="pct"/>
            <w:tcBorders>
              <w:tl2br w:val="nil"/>
              <w:tr2bl w:val="nil"/>
            </w:tcBorders>
            <w:shd w:val="clear" w:color="auto" w:fill="auto"/>
            <w:vAlign w:val="center"/>
          </w:tcPr>
          <w:p w14:paraId="6461E7F4">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20.76</w:t>
            </w:r>
          </w:p>
        </w:tc>
        <w:tc>
          <w:tcPr>
            <w:tcW w:w="578" w:type="pct"/>
            <w:vMerge w:val="continue"/>
            <w:tcBorders>
              <w:tl2br w:val="nil"/>
              <w:tr2bl w:val="nil"/>
            </w:tcBorders>
            <w:shd w:val="clear" w:color="auto" w:fill="auto"/>
            <w:vAlign w:val="center"/>
          </w:tcPr>
          <w:p w14:paraId="20668087">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p>
        </w:tc>
      </w:tr>
      <w:tr w14:paraId="63694A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89" w:type="pct"/>
            <w:tcBorders>
              <w:tl2br w:val="nil"/>
              <w:tr2bl w:val="nil"/>
            </w:tcBorders>
            <w:shd w:val="clear" w:color="auto" w:fill="auto"/>
            <w:vAlign w:val="center"/>
          </w:tcPr>
          <w:p w14:paraId="4AA632C8">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
              </w:rPr>
              <w:t>5</w:t>
            </w:r>
          </w:p>
        </w:tc>
        <w:tc>
          <w:tcPr>
            <w:tcW w:w="578" w:type="pct"/>
            <w:tcBorders>
              <w:tl2br w:val="nil"/>
              <w:tr2bl w:val="nil"/>
            </w:tcBorders>
            <w:shd w:val="clear" w:color="auto" w:fill="auto"/>
            <w:vAlign w:val="center"/>
          </w:tcPr>
          <w:p w14:paraId="003719FD">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废布袋</w:t>
            </w:r>
          </w:p>
        </w:tc>
        <w:tc>
          <w:tcPr>
            <w:tcW w:w="401" w:type="pct"/>
            <w:vMerge w:val="continue"/>
            <w:tcBorders>
              <w:tl2br w:val="nil"/>
              <w:tr2bl w:val="nil"/>
            </w:tcBorders>
            <w:shd w:val="clear" w:color="auto" w:fill="auto"/>
            <w:vAlign w:val="center"/>
          </w:tcPr>
          <w:p w14:paraId="4055B91E">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p>
        </w:tc>
        <w:tc>
          <w:tcPr>
            <w:tcW w:w="291" w:type="pct"/>
            <w:tcBorders>
              <w:tl2br w:val="nil"/>
              <w:tr2bl w:val="nil"/>
            </w:tcBorders>
            <w:shd w:val="clear" w:color="auto" w:fill="auto"/>
            <w:vAlign w:val="center"/>
          </w:tcPr>
          <w:p w14:paraId="5CB999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eastAsia="宋体" w:cs="Times New Roman"/>
                <w:color w:val="auto"/>
                <w:spacing w:val="0"/>
                <w:w w:val="100"/>
                <w:kern w:val="0"/>
                <w:position w:val="0"/>
                <w:sz w:val="21"/>
                <w:szCs w:val="21"/>
                <w:lang w:val="en-US" w:eastAsia="zh-CN" w:bidi="ar"/>
              </w:rPr>
              <w:t>固态</w:t>
            </w:r>
          </w:p>
        </w:tc>
        <w:tc>
          <w:tcPr>
            <w:tcW w:w="483" w:type="pct"/>
            <w:tcBorders>
              <w:tl2br w:val="nil"/>
              <w:tr2bl w:val="nil"/>
            </w:tcBorders>
            <w:shd w:val="clear" w:color="auto" w:fill="auto"/>
            <w:vAlign w:val="center"/>
          </w:tcPr>
          <w:p w14:paraId="1E31591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eastAsia="宋体" w:cs="Times New Roman"/>
                <w:color w:val="auto"/>
                <w:spacing w:val="0"/>
                <w:w w:val="100"/>
                <w:kern w:val="0"/>
                <w:position w:val="0"/>
                <w:sz w:val="21"/>
                <w:szCs w:val="21"/>
                <w:lang w:val="en-US" w:eastAsia="zh-CN" w:bidi="ar"/>
              </w:rPr>
              <w:t>/</w:t>
            </w:r>
          </w:p>
        </w:tc>
        <w:tc>
          <w:tcPr>
            <w:tcW w:w="504" w:type="pct"/>
            <w:tcBorders>
              <w:tl2br w:val="nil"/>
              <w:tr2bl w:val="nil"/>
            </w:tcBorders>
            <w:shd w:val="clear" w:color="auto" w:fill="auto"/>
            <w:vAlign w:val="center"/>
          </w:tcPr>
          <w:p w14:paraId="4627B50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eastAsia="宋体" w:cs="Times New Roman"/>
                <w:color w:val="auto"/>
                <w:spacing w:val="0"/>
                <w:w w:val="100"/>
                <w:kern w:val="0"/>
                <w:position w:val="0"/>
                <w:sz w:val="21"/>
                <w:szCs w:val="21"/>
                <w:lang w:val="en-US" w:eastAsia="zh-CN" w:bidi="ar"/>
              </w:rPr>
              <w:t>SW59</w:t>
            </w:r>
          </w:p>
        </w:tc>
        <w:tc>
          <w:tcPr>
            <w:tcW w:w="1293" w:type="pct"/>
            <w:tcBorders>
              <w:tl2br w:val="nil"/>
              <w:tr2bl w:val="nil"/>
            </w:tcBorders>
            <w:shd w:val="clear" w:color="auto" w:fill="auto"/>
            <w:vAlign w:val="center"/>
          </w:tcPr>
          <w:p w14:paraId="1A292E9A">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cs="Times New Roman"/>
                <w:color w:val="auto"/>
                <w:spacing w:val="0"/>
                <w:w w:val="100"/>
                <w:position w:val="0"/>
                <w:sz w:val="21"/>
                <w:szCs w:val="21"/>
                <w:highlight w:val="none"/>
                <w:lang w:val="en-US" w:eastAsia="zh-CN"/>
              </w:rPr>
              <w:t>900-099-S59</w:t>
            </w:r>
          </w:p>
        </w:tc>
        <w:tc>
          <w:tcPr>
            <w:tcW w:w="578" w:type="pct"/>
            <w:tcBorders>
              <w:tl2br w:val="nil"/>
              <w:tr2bl w:val="nil"/>
            </w:tcBorders>
            <w:shd w:val="clear" w:color="auto" w:fill="auto"/>
            <w:vAlign w:val="center"/>
          </w:tcPr>
          <w:p w14:paraId="150B5297">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0.9</w:t>
            </w:r>
          </w:p>
        </w:tc>
        <w:tc>
          <w:tcPr>
            <w:tcW w:w="578" w:type="pct"/>
            <w:vMerge w:val="continue"/>
            <w:tcBorders>
              <w:tl2br w:val="nil"/>
              <w:tr2bl w:val="nil"/>
            </w:tcBorders>
            <w:shd w:val="clear" w:color="auto" w:fill="auto"/>
            <w:vAlign w:val="center"/>
          </w:tcPr>
          <w:p w14:paraId="532B969F">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p>
        </w:tc>
      </w:tr>
      <w:tr w14:paraId="6D3F62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89" w:type="pct"/>
            <w:tcBorders>
              <w:tl2br w:val="nil"/>
              <w:tr2bl w:val="nil"/>
            </w:tcBorders>
            <w:shd w:val="clear" w:color="auto" w:fill="auto"/>
            <w:vAlign w:val="center"/>
          </w:tcPr>
          <w:p w14:paraId="79A79F06">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
              </w:rPr>
              <w:t>6</w:t>
            </w:r>
          </w:p>
        </w:tc>
        <w:tc>
          <w:tcPr>
            <w:tcW w:w="578" w:type="pct"/>
            <w:tcBorders>
              <w:tl2br w:val="nil"/>
              <w:tr2bl w:val="nil"/>
            </w:tcBorders>
            <w:shd w:val="clear" w:color="auto" w:fill="auto"/>
            <w:vAlign w:val="center"/>
          </w:tcPr>
          <w:p w14:paraId="62A935B6">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en-US" w:eastAsia="zh-CN" w:bidi="ar"/>
              </w:rPr>
              <w:t>生活垃圾</w:t>
            </w:r>
          </w:p>
        </w:tc>
        <w:tc>
          <w:tcPr>
            <w:tcW w:w="401" w:type="pct"/>
            <w:tcBorders>
              <w:tl2br w:val="nil"/>
              <w:tr2bl w:val="nil"/>
            </w:tcBorders>
            <w:shd w:val="clear" w:color="auto" w:fill="auto"/>
            <w:vAlign w:val="center"/>
          </w:tcPr>
          <w:p w14:paraId="70C8C725">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en-US" w:eastAsia="zh-CN" w:bidi="ar"/>
              </w:rPr>
              <w:t>一般固体废物</w:t>
            </w:r>
          </w:p>
        </w:tc>
        <w:tc>
          <w:tcPr>
            <w:tcW w:w="291" w:type="pct"/>
            <w:tcBorders>
              <w:tl2br w:val="nil"/>
              <w:tr2bl w:val="nil"/>
            </w:tcBorders>
            <w:shd w:val="clear" w:color="auto" w:fill="auto"/>
            <w:vAlign w:val="center"/>
          </w:tcPr>
          <w:p w14:paraId="4C5AEE57">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en-US" w:eastAsia="zh-CN" w:bidi="ar"/>
              </w:rPr>
              <w:t>固态</w:t>
            </w:r>
          </w:p>
        </w:tc>
        <w:tc>
          <w:tcPr>
            <w:tcW w:w="483" w:type="pct"/>
            <w:tcBorders>
              <w:tl2br w:val="nil"/>
              <w:tr2bl w:val="nil"/>
            </w:tcBorders>
            <w:shd w:val="clear" w:color="auto" w:fill="auto"/>
            <w:vAlign w:val="center"/>
          </w:tcPr>
          <w:p w14:paraId="3AEE5B67">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en-US" w:eastAsia="zh-CN" w:bidi="ar"/>
              </w:rPr>
              <w:t>/</w:t>
            </w:r>
          </w:p>
        </w:tc>
        <w:tc>
          <w:tcPr>
            <w:tcW w:w="504" w:type="pct"/>
            <w:tcBorders>
              <w:tl2br w:val="nil"/>
              <w:tr2bl w:val="nil"/>
            </w:tcBorders>
            <w:shd w:val="clear" w:color="auto" w:fill="auto"/>
            <w:vAlign w:val="center"/>
          </w:tcPr>
          <w:p w14:paraId="73F9D5F4">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en-US" w:eastAsia="zh-CN" w:bidi="ar"/>
              </w:rPr>
              <w:t>SW60、SW61</w:t>
            </w:r>
          </w:p>
        </w:tc>
        <w:tc>
          <w:tcPr>
            <w:tcW w:w="1293" w:type="pct"/>
            <w:tcBorders>
              <w:tl2br w:val="nil"/>
              <w:tr2bl w:val="nil"/>
            </w:tcBorders>
            <w:shd w:val="clear" w:color="auto" w:fill="auto"/>
            <w:vAlign w:val="center"/>
          </w:tcPr>
          <w:p w14:paraId="5DB56E59">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en-US" w:eastAsia="zh-CN" w:bidi="ar"/>
              </w:rPr>
              <w:t>900-001-S60、900-001-S62、900-002-S62、900-003-S62</w:t>
            </w:r>
          </w:p>
        </w:tc>
        <w:tc>
          <w:tcPr>
            <w:tcW w:w="578" w:type="pct"/>
            <w:tcBorders>
              <w:tl2br w:val="nil"/>
              <w:tr2bl w:val="nil"/>
            </w:tcBorders>
            <w:shd w:val="clear" w:color="auto" w:fill="auto"/>
            <w:vAlign w:val="center"/>
          </w:tcPr>
          <w:p w14:paraId="0830E316">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rPr>
            </w:pPr>
            <w:r>
              <w:rPr>
                <w:rFonts w:hint="default" w:ascii="Times New Roman" w:hAnsi="Times New Roman" w:cs="Times New Roman"/>
                <w:color w:val="auto"/>
                <w:spacing w:val="0"/>
                <w:w w:val="100"/>
                <w:kern w:val="0"/>
                <w:position w:val="0"/>
                <w:sz w:val="21"/>
                <w:szCs w:val="21"/>
                <w:lang w:val="en-US" w:eastAsia="zh-CN" w:bidi="ar"/>
              </w:rPr>
              <w:t>10.038</w:t>
            </w:r>
          </w:p>
        </w:tc>
        <w:tc>
          <w:tcPr>
            <w:tcW w:w="578" w:type="pct"/>
            <w:tcBorders>
              <w:tl2br w:val="nil"/>
              <w:tr2bl w:val="nil"/>
            </w:tcBorders>
            <w:shd w:val="clear" w:color="auto" w:fill="auto"/>
            <w:vAlign w:val="center"/>
          </w:tcPr>
          <w:p w14:paraId="28C411EA">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r>
              <w:rPr>
                <w:rFonts w:hint="eastAsia" w:ascii="Times New Roman" w:hAnsi="Times New Roman" w:cs="Times New Roman"/>
                <w:color w:val="auto"/>
                <w:spacing w:val="0"/>
                <w:w w:val="100"/>
                <w:kern w:val="0"/>
                <w:position w:val="0"/>
                <w:sz w:val="21"/>
                <w:szCs w:val="21"/>
                <w:lang w:val="en-US" w:eastAsia="zh-CN" w:bidi="ar"/>
              </w:rPr>
              <w:t>环卫部门清运处理</w:t>
            </w:r>
          </w:p>
        </w:tc>
      </w:tr>
      <w:tr w14:paraId="0700B4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57" w:type="dxa"/>
            <w:left w:w="57" w:type="dxa"/>
            <w:bottom w:w="57" w:type="dxa"/>
            <w:right w:w="57" w:type="dxa"/>
          </w:tblCellMar>
        </w:tblPrEx>
        <w:trPr>
          <w:trHeight w:val="0" w:hRule="atLeast"/>
          <w:jc w:val="center"/>
        </w:trPr>
        <w:tc>
          <w:tcPr>
            <w:tcW w:w="289" w:type="pct"/>
            <w:tcBorders>
              <w:tl2br w:val="nil"/>
              <w:tr2bl w:val="nil"/>
            </w:tcBorders>
            <w:shd w:val="clear" w:color="auto" w:fill="auto"/>
            <w:vAlign w:val="center"/>
          </w:tcPr>
          <w:p w14:paraId="0E23661F">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
              </w:rPr>
              <w:t>7</w:t>
            </w:r>
          </w:p>
        </w:tc>
        <w:tc>
          <w:tcPr>
            <w:tcW w:w="578" w:type="pct"/>
            <w:tcBorders>
              <w:tl2br w:val="nil"/>
              <w:tr2bl w:val="nil"/>
            </w:tcBorders>
            <w:shd w:val="clear" w:color="auto" w:fill="auto"/>
            <w:vAlign w:val="center"/>
          </w:tcPr>
          <w:p w14:paraId="3D2812C4">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en-US" w:eastAsia="zh-CN" w:bidi="ar"/>
              </w:rPr>
              <w:t>沾油废手套、抹布</w:t>
            </w:r>
          </w:p>
        </w:tc>
        <w:tc>
          <w:tcPr>
            <w:tcW w:w="401" w:type="pct"/>
            <w:vMerge w:val="restart"/>
            <w:tcBorders>
              <w:tl2br w:val="nil"/>
              <w:tr2bl w:val="nil"/>
            </w:tcBorders>
            <w:shd w:val="clear" w:color="auto" w:fill="auto"/>
            <w:vAlign w:val="center"/>
          </w:tcPr>
          <w:p w14:paraId="2C6F9569">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en-US" w:eastAsia="zh-CN" w:bidi="ar"/>
              </w:rPr>
              <w:t>危险废物</w:t>
            </w:r>
          </w:p>
        </w:tc>
        <w:tc>
          <w:tcPr>
            <w:tcW w:w="291" w:type="pct"/>
            <w:tcBorders>
              <w:tl2br w:val="nil"/>
              <w:tr2bl w:val="nil"/>
            </w:tcBorders>
            <w:shd w:val="clear" w:color="auto" w:fill="auto"/>
            <w:vAlign w:val="center"/>
          </w:tcPr>
          <w:p w14:paraId="31CDFC73">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en-US" w:eastAsia="zh-CN" w:bidi="ar"/>
              </w:rPr>
              <w:t>固态</w:t>
            </w:r>
          </w:p>
        </w:tc>
        <w:tc>
          <w:tcPr>
            <w:tcW w:w="483" w:type="pct"/>
            <w:tcBorders>
              <w:tl2br w:val="nil"/>
              <w:tr2bl w:val="nil"/>
            </w:tcBorders>
            <w:shd w:val="clear" w:color="auto" w:fill="auto"/>
            <w:vAlign w:val="center"/>
          </w:tcPr>
          <w:p w14:paraId="7771A354">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en-US" w:eastAsia="zh-CN" w:bidi="ar"/>
              </w:rPr>
              <w:t>/</w:t>
            </w:r>
          </w:p>
        </w:tc>
        <w:tc>
          <w:tcPr>
            <w:tcW w:w="504" w:type="pct"/>
            <w:tcBorders>
              <w:tl2br w:val="nil"/>
              <w:tr2bl w:val="nil"/>
            </w:tcBorders>
            <w:shd w:val="clear" w:color="auto" w:fill="auto"/>
            <w:vAlign w:val="center"/>
          </w:tcPr>
          <w:p w14:paraId="429F214A">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en-US" w:eastAsia="zh-CN" w:bidi="ar"/>
              </w:rPr>
              <w:t>/</w:t>
            </w:r>
          </w:p>
        </w:tc>
        <w:tc>
          <w:tcPr>
            <w:tcW w:w="1293" w:type="pct"/>
            <w:tcBorders>
              <w:tl2br w:val="nil"/>
              <w:tr2bl w:val="nil"/>
            </w:tcBorders>
            <w:shd w:val="clear" w:color="auto" w:fill="auto"/>
            <w:vAlign w:val="center"/>
          </w:tcPr>
          <w:p w14:paraId="2332FCE6">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en-US" w:eastAsia="zh-CN" w:bidi="ar"/>
              </w:rPr>
              <w:t>900-041-49</w:t>
            </w:r>
          </w:p>
        </w:tc>
        <w:tc>
          <w:tcPr>
            <w:tcW w:w="578" w:type="pct"/>
            <w:tcBorders>
              <w:tl2br w:val="nil"/>
              <w:tr2bl w:val="nil"/>
            </w:tcBorders>
            <w:shd w:val="clear" w:color="auto" w:fill="auto"/>
            <w:vAlign w:val="center"/>
          </w:tcPr>
          <w:p w14:paraId="5859FED8">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rPr>
            </w:pPr>
            <w:r>
              <w:rPr>
                <w:rFonts w:hint="default" w:ascii="Times New Roman" w:hAnsi="Times New Roman" w:cs="Times New Roman"/>
                <w:color w:val="auto"/>
                <w:spacing w:val="0"/>
                <w:w w:val="100"/>
                <w:kern w:val="0"/>
                <w:position w:val="0"/>
                <w:sz w:val="21"/>
                <w:szCs w:val="21"/>
                <w:lang w:val="en-US" w:eastAsia="zh-CN" w:bidi="ar"/>
              </w:rPr>
              <w:t>0.01</w:t>
            </w:r>
          </w:p>
        </w:tc>
        <w:tc>
          <w:tcPr>
            <w:tcW w:w="578" w:type="pct"/>
            <w:vMerge w:val="restart"/>
            <w:tcBorders>
              <w:tl2br w:val="nil"/>
              <w:tr2bl w:val="nil"/>
            </w:tcBorders>
            <w:shd w:val="clear" w:color="auto" w:fill="auto"/>
            <w:vAlign w:val="center"/>
          </w:tcPr>
          <w:p w14:paraId="5E793F0F">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收集至危废贮存库暂存后交有资质单位处理</w:t>
            </w:r>
          </w:p>
        </w:tc>
      </w:tr>
      <w:tr w14:paraId="3E954D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89" w:type="pct"/>
            <w:tcBorders>
              <w:tl2br w:val="nil"/>
              <w:tr2bl w:val="nil"/>
            </w:tcBorders>
            <w:shd w:val="clear" w:color="auto" w:fill="auto"/>
            <w:vAlign w:val="center"/>
          </w:tcPr>
          <w:p w14:paraId="26C6D84E">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rPr>
            </w:pPr>
            <w:r>
              <w:rPr>
                <w:rFonts w:hint="eastAsia" w:ascii="Times New Roman" w:hAnsi="Times New Roman" w:cs="Times New Roman"/>
                <w:color w:val="auto"/>
                <w:spacing w:val="0"/>
                <w:w w:val="100"/>
                <w:kern w:val="0"/>
                <w:position w:val="0"/>
                <w:sz w:val="21"/>
                <w:szCs w:val="21"/>
                <w:lang w:val="en-US" w:eastAsia="zh-CN"/>
              </w:rPr>
              <w:t>8</w:t>
            </w:r>
          </w:p>
        </w:tc>
        <w:tc>
          <w:tcPr>
            <w:tcW w:w="578" w:type="pct"/>
            <w:tcBorders>
              <w:tl2br w:val="nil"/>
              <w:tr2bl w:val="nil"/>
            </w:tcBorders>
            <w:shd w:val="clear" w:color="auto" w:fill="auto"/>
            <w:vAlign w:val="center"/>
          </w:tcPr>
          <w:p w14:paraId="6DABF5EE">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en-US" w:eastAsia="zh-CN" w:bidi="ar"/>
              </w:rPr>
              <w:t>废机油</w:t>
            </w:r>
          </w:p>
        </w:tc>
        <w:tc>
          <w:tcPr>
            <w:tcW w:w="401" w:type="pct"/>
            <w:vMerge w:val="continue"/>
            <w:tcBorders>
              <w:tl2br w:val="nil"/>
              <w:tr2bl w:val="nil"/>
            </w:tcBorders>
            <w:shd w:val="clear" w:color="auto" w:fill="auto"/>
            <w:vAlign w:val="center"/>
          </w:tcPr>
          <w:p w14:paraId="7528D00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cs="Times New Roman"/>
                <w:color w:val="auto"/>
                <w:spacing w:val="0"/>
                <w:w w:val="100"/>
                <w:position w:val="0"/>
                <w:sz w:val="21"/>
                <w:szCs w:val="21"/>
              </w:rPr>
            </w:pPr>
          </w:p>
        </w:tc>
        <w:tc>
          <w:tcPr>
            <w:tcW w:w="291" w:type="pct"/>
            <w:tcBorders>
              <w:tl2br w:val="nil"/>
              <w:tr2bl w:val="nil"/>
            </w:tcBorders>
            <w:shd w:val="clear" w:color="auto" w:fill="auto"/>
            <w:vAlign w:val="center"/>
          </w:tcPr>
          <w:p w14:paraId="33764AC9">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en-US" w:eastAsia="zh-CN" w:bidi="ar"/>
              </w:rPr>
              <w:t>液态</w:t>
            </w:r>
          </w:p>
        </w:tc>
        <w:tc>
          <w:tcPr>
            <w:tcW w:w="483" w:type="pct"/>
            <w:tcBorders>
              <w:tl2br w:val="nil"/>
              <w:tr2bl w:val="nil"/>
            </w:tcBorders>
            <w:shd w:val="clear" w:color="auto" w:fill="auto"/>
            <w:vAlign w:val="center"/>
          </w:tcPr>
          <w:p w14:paraId="756C40CE">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en-US" w:eastAsia="zh-CN" w:bidi="ar"/>
              </w:rPr>
              <w:t>T/In</w:t>
            </w:r>
          </w:p>
        </w:tc>
        <w:tc>
          <w:tcPr>
            <w:tcW w:w="504" w:type="pct"/>
            <w:tcBorders>
              <w:tl2br w:val="nil"/>
              <w:tr2bl w:val="nil"/>
            </w:tcBorders>
            <w:shd w:val="clear" w:color="auto" w:fill="auto"/>
            <w:vAlign w:val="center"/>
          </w:tcPr>
          <w:p w14:paraId="74251DC1">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en-US" w:eastAsia="zh-CN" w:bidi="ar"/>
              </w:rPr>
              <w:t>HW08</w:t>
            </w:r>
          </w:p>
        </w:tc>
        <w:tc>
          <w:tcPr>
            <w:tcW w:w="1293" w:type="pct"/>
            <w:tcBorders>
              <w:tl2br w:val="nil"/>
              <w:tr2bl w:val="nil"/>
            </w:tcBorders>
            <w:shd w:val="clear" w:color="auto" w:fill="auto"/>
            <w:vAlign w:val="center"/>
          </w:tcPr>
          <w:p w14:paraId="034C672B">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en-US" w:eastAsia="zh-CN" w:bidi="ar"/>
              </w:rPr>
              <w:t>900-217-08</w:t>
            </w:r>
          </w:p>
        </w:tc>
        <w:tc>
          <w:tcPr>
            <w:tcW w:w="578" w:type="pct"/>
            <w:tcBorders>
              <w:tl2br w:val="nil"/>
              <w:tr2bl w:val="nil"/>
            </w:tcBorders>
            <w:shd w:val="clear" w:color="auto" w:fill="auto"/>
            <w:vAlign w:val="center"/>
          </w:tcPr>
          <w:p w14:paraId="72718D70">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en-US" w:eastAsia="zh-CN" w:bidi="ar"/>
              </w:rPr>
              <w:t>0.1</w:t>
            </w:r>
          </w:p>
        </w:tc>
        <w:tc>
          <w:tcPr>
            <w:tcW w:w="578" w:type="pct"/>
            <w:vMerge w:val="continue"/>
            <w:tcBorders>
              <w:tl2br w:val="nil"/>
              <w:tr2bl w:val="nil"/>
            </w:tcBorders>
            <w:shd w:val="clear" w:color="auto" w:fill="auto"/>
            <w:vAlign w:val="center"/>
          </w:tcPr>
          <w:p w14:paraId="516FD154">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p>
        </w:tc>
      </w:tr>
      <w:tr w14:paraId="20B4B0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89" w:type="pct"/>
            <w:tcBorders>
              <w:tl2br w:val="nil"/>
              <w:tr2bl w:val="nil"/>
            </w:tcBorders>
            <w:shd w:val="clear" w:color="auto" w:fill="auto"/>
            <w:vAlign w:val="center"/>
          </w:tcPr>
          <w:p w14:paraId="2B24E810">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cs="Times New Roman"/>
                <w:color w:val="auto"/>
                <w:spacing w:val="0"/>
                <w:w w:val="100"/>
                <w:kern w:val="0"/>
                <w:position w:val="0"/>
                <w:sz w:val="21"/>
                <w:szCs w:val="21"/>
                <w:lang w:val="en-US" w:eastAsia="zh-CN"/>
              </w:rPr>
              <w:t>9</w:t>
            </w:r>
          </w:p>
        </w:tc>
        <w:tc>
          <w:tcPr>
            <w:tcW w:w="578" w:type="pct"/>
            <w:tcBorders>
              <w:tl2br w:val="nil"/>
              <w:tr2bl w:val="nil"/>
            </w:tcBorders>
            <w:shd w:val="clear" w:color="auto" w:fill="auto"/>
            <w:vAlign w:val="center"/>
          </w:tcPr>
          <w:p w14:paraId="5D9EE546">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en-US" w:eastAsia="zh-CN" w:bidi="ar"/>
              </w:rPr>
              <w:t>废机油桶</w:t>
            </w:r>
          </w:p>
        </w:tc>
        <w:tc>
          <w:tcPr>
            <w:tcW w:w="401" w:type="pct"/>
            <w:vMerge w:val="continue"/>
            <w:tcBorders>
              <w:tl2br w:val="nil"/>
              <w:tr2bl w:val="nil"/>
            </w:tcBorders>
            <w:shd w:val="clear" w:color="auto" w:fill="auto"/>
            <w:vAlign w:val="center"/>
          </w:tcPr>
          <w:p w14:paraId="1EED735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cs="Times New Roman"/>
                <w:color w:val="auto"/>
                <w:spacing w:val="0"/>
                <w:w w:val="100"/>
                <w:position w:val="0"/>
                <w:sz w:val="21"/>
                <w:szCs w:val="21"/>
              </w:rPr>
            </w:pPr>
          </w:p>
        </w:tc>
        <w:tc>
          <w:tcPr>
            <w:tcW w:w="291" w:type="pct"/>
            <w:tcBorders>
              <w:tl2br w:val="nil"/>
              <w:tr2bl w:val="nil"/>
            </w:tcBorders>
            <w:shd w:val="clear" w:color="auto" w:fill="auto"/>
            <w:vAlign w:val="center"/>
          </w:tcPr>
          <w:p w14:paraId="617745E4">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en-US" w:eastAsia="zh-CN" w:bidi="ar"/>
              </w:rPr>
              <w:t>固态</w:t>
            </w:r>
          </w:p>
        </w:tc>
        <w:tc>
          <w:tcPr>
            <w:tcW w:w="483" w:type="pct"/>
            <w:tcBorders>
              <w:tl2br w:val="nil"/>
              <w:tr2bl w:val="nil"/>
            </w:tcBorders>
            <w:shd w:val="clear" w:color="auto" w:fill="auto"/>
            <w:vAlign w:val="center"/>
          </w:tcPr>
          <w:p w14:paraId="2F4CD0CB">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en-US" w:eastAsia="zh-CN" w:bidi="ar"/>
              </w:rPr>
              <w:t>T/In</w:t>
            </w:r>
          </w:p>
        </w:tc>
        <w:tc>
          <w:tcPr>
            <w:tcW w:w="504" w:type="pct"/>
            <w:tcBorders>
              <w:tl2br w:val="nil"/>
              <w:tr2bl w:val="nil"/>
            </w:tcBorders>
            <w:shd w:val="clear" w:color="auto" w:fill="auto"/>
            <w:vAlign w:val="center"/>
          </w:tcPr>
          <w:p w14:paraId="3D614F94">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en-US" w:eastAsia="zh-CN" w:bidi="ar"/>
              </w:rPr>
              <w:t>HW49</w:t>
            </w:r>
          </w:p>
        </w:tc>
        <w:tc>
          <w:tcPr>
            <w:tcW w:w="1293" w:type="pct"/>
            <w:tcBorders>
              <w:tl2br w:val="nil"/>
              <w:tr2bl w:val="nil"/>
            </w:tcBorders>
            <w:shd w:val="clear" w:color="auto" w:fill="auto"/>
            <w:vAlign w:val="center"/>
          </w:tcPr>
          <w:p w14:paraId="3EFD1CBF">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en-US" w:eastAsia="zh-CN" w:bidi="ar"/>
              </w:rPr>
              <w:t>900-041-49</w:t>
            </w:r>
          </w:p>
        </w:tc>
        <w:tc>
          <w:tcPr>
            <w:tcW w:w="578" w:type="pct"/>
            <w:tcBorders>
              <w:tl2br w:val="nil"/>
              <w:tr2bl w:val="nil"/>
            </w:tcBorders>
            <w:shd w:val="clear" w:color="auto" w:fill="auto"/>
            <w:vAlign w:val="center"/>
          </w:tcPr>
          <w:p w14:paraId="78F47CC5">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en-US" w:eastAsia="zh-CN" w:bidi="ar"/>
              </w:rPr>
              <w:t>0.01</w:t>
            </w:r>
          </w:p>
        </w:tc>
        <w:tc>
          <w:tcPr>
            <w:tcW w:w="578" w:type="pct"/>
            <w:vMerge w:val="continue"/>
            <w:tcBorders>
              <w:tl2br w:val="nil"/>
              <w:tr2bl w:val="nil"/>
            </w:tcBorders>
            <w:shd w:val="clear" w:color="auto" w:fill="auto"/>
            <w:vAlign w:val="center"/>
          </w:tcPr>
          <w:p w14:paraId="5E879C11">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p>
        </w:tc>
      </w:tr>
      <w:tr w14:paraId="0DD0C0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57" w:type="dxa"/>
            <w:left w:w="57" w:type="dxa"/>
            <w:bottom w:w="57" w:type="dxa"/>
            <w:right w:w="57" w:type="dxa"/>
          </w:tblCellMar>
        </w:tblPrEx>
        <w:trPr>
          <w:trHeight w:val="0" w:hRule="atLeast"/>
          <w:jc w:val="center"/>
        </w:trPr>
        <w:tc>
          <w:tcPr>
            <w:tcW w:w="289" w:type="pct"/>
            <w:tcBorders>
              <w:tl2br w:val="nil"/>
              <w:tr2bl w:val="nil"/>
            </w:tcBorders>
            <w:shd w:val="clear" w:color="auto" w:fill="auto"/>
            <w:vAlign w:val="center"/>
          </w:tcPr>
          <w:p w14:paraId="4FF74AF0">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cs="Times New Roman"/>
                <w:color w:val="auto"/>
                <w:spacing w:val="0"/>
                <w:w w:val="100"/>
                <w:kern w:val="0"/>
                <w:position w:val="0"/>
                <w:sz w:val="21"/>
                <w:szCs w:val="21"/>
                <w:lang w:val="en-US" w:eastAsia="zh-CN"/>
              </w:rPr>
              <w:t>10</w:t>
            </w:r>
          </w:p>
        </w:tc>
        <w:tc>
          <w:tcPr>
            <w:tcW w:w="578" w:type="pct"/>
            <w:tcBorders>
              <w:tl2br w:val="nil"/>
              <w:tr2bl w:val="nil"/>
            </w:tcBorders>
            <w:shd w:val="clear" w:color="auto" w:fill="auto"/>
            <w:vAlign w:val="center"/>
          </w:tcPr>
          <w:p w14:paraId="44A4647A">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废催化剂</w:t>
            </w:r>
          </w:p>
        </w:tc>
        <w:tc>
          <w:tcPr>
            <w:tcW w:w="401" w:type="pct"/>
            <w:vMerge w:val="continue"/>
            <w:tcBorders>
              <w:tl2br w:val="nil"/>
              <w:tr2bl w:val="nil"/>
            </w:tcBorders>
            <w:shd w:val="clear" w:color="auto" w:fill="auto"/>
            <w:vAlign w:val="center"/>
          </w:tcPr>
          <w:p w14:paraId="7CEC6CE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cs="Times New Roman"/>
                <w:color w:val="auto"/>
                <w:spacing w:val="0"/>
                <w:w w:val="100"/>
                <w:position w:val="0"/>
                <w:sz w:val="21"/>
                <w:szCs w:val="21"/>
              </w:rPr>
            </w:pPr>
          </w:p>
        </w:tc>
        <w:tc>
          <w:tcPr>
            <w:tcW w:w="291" w:type="pct"/>
            <w:tcBorders>
              <w:tl2br w:val="nil"/>
              <w:tr2bl w:val="nil"/>
            </w:tcBorders>
            <w:shd w:val="clear" w:color="auto" w:fill="auto"/>
            <w:vAlign w:val="center"/>
          </w:tcPr>
          <w:p w14:paraId="2A9C0858">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固态</w:t>
            </w:r>
          </w:p>
        </w:tc>
        <w:tc>
          <w:tcPr>
            <w:tcW w:w="483" w:type="pct"/>
            <w:tcBorders>
              <w:tl2br w:val="nil"/>
              <w:tr2bl w:val="nil"/>
            </w:tcBorders>
            <w:shd w:val="clear" w:color="auto" w:fill="auto"/>
            <w:vAlign w:val="center"/>
          </w:tcPr>
          <w:p w14:paraId="73DEE3A5">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T</w:t>
            </w:r>
          </w:p>
        </w:tc>
        <w:tc>
          <w:tcPr>
            <w:tcW w:w="504" w:type="pct"/>
            <w:tcBorders>
              <w:tl2br w:val="nil"/>
              <w:tr2bl w:val="nil"/>
            </w:tcBorders>
            <w:shd w:val="clear" w:color="auto" w:fill="auto"/>
            <w:vAlign w:val="center"/>
          </w:tcPr>
          <w:p w14:paraId="2D897D76">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HW50</w:t>
            </w:r>
          </w:p>
        </w:tc>
        <w:tc>
          <w:tcPr>
            <w:tcW w:w="1293" w:type="pct"/>
            <w:tcBorders>
              <w:tl2br w:val="nil"/>
              <w:tr2bl w:val="nil"/>
            </w:tcBorders>
            <w:shd w:val="clear" w:color="auto" w:fill="auto"/>
            <w:vAlign w:val="center"/>
          </w:tcPr>
          <w:p w14:paraId="43D596BB">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eastAsia" w:ascii="Times New Roman" w:hAnsi="Times New Roman" w:cs="Times New Roman"/>
                <w:color w:val="auto"/>
                <w:spacing w:val="0"/>
                <w:w w:val="100"/>
                <w:kern w:val="0"/>
                <w:position w:val="0"/>
                <w:sz w:val="21"/>
                <w:szCs w:val="21"/>
                <w:lang w:val="en-US" w:eastAsia="zh-CN" w:bidi="ar"/>
              </w:rPr>
              <w:t>900-049-50</w:t>
            </w:r>
          </w:p>
        </w:tc>
        <w:tc>
          <w:tcPr>
            <w:tcW w:w="578" w:type="pct"/>
            <w:tcBorders>
              <w:tl2br w:val="nil"/>
              <w:tr2bl w:val="nil"/>
            </w:tcBorders>
            <w:shd w:val="clear" w:color="auto" w:fill="auto"/>
            <w:vAlign w:val="center"/>
          </w:tcPr>
          <w:p w14:paraId="2A000DC3">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eastAsia" w:ascii="Times New Roman" w:hAnsi="Times New Roman" w:cs="Times New Roman"/>
                <w:color w:val="auto"/>
                <w:spacing w:val="0"/>
                <w:w w:val="100"/>
                <w:position w:val="0"/>
                <w:sz w:val="21"/>
                <w:szCs w:val="21"/>
                <w:highlight w:val="none"/>
                <w:lang w:val="en-US" w:eastAsia="zh-CN"/>
              </w:rPr>
              <w:t>0.5t/3a</w:t>
            </w:r>
          </w:p>
        </w:tc>
        <w:tc>
          <w:tcPr>
            <w:tcW w:w="578" w:type="pct"/>
            <w:vMerge w:val="continue"/>
            <w:tcBorders>
              <w:tl2br w:val="nil"/>
              <w:tr2bl w:val="nil"/>
            </w:tcBorders>
            <w:shd w:val="clear" w:color="auto" w:fill="auto"/>
            <w:vAlign w:val="center"/>
          </w:tcPr>
          <w:p w14:paraId="376CF0BC">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position w:val="0"/>
                <w:sz w:val="21"/>
                <w:szCs w:val="21"/>
                <w:highlight w:val="none"/>
                <w:lang w:val="en-US" w:eastAsia="zh-CN"/>
              </w:rPr>
            </w:pPr>
          </w:p>
        </w:tc>
      </w:tr>
      <w:tr w14:paraId="3FE3A2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89" w:type="pct"/>
            <w:tcBorders>
              <w:tl2br w:val="nil"/>
              <w:tr2bl w:val="nil"/>
            </w:tcBorders>
            <w:shd w:val="clear" w:color="auto" w:fill="auto"/>
            <w:vAlign w:val="center"/>
          </w:tcPr>
          <w:p w14:paraId="7D8D07CB">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rPr>
            </w:pPr>
            <w:r>
              <w:rPr>
                <w:rFonts w:hint="eastAsia" w:ascii="Times New Roman" w:hAnsi="Times New Roman" w:cs="Times New Roman"/>
                <w:color w:val="auto"/>
                <w:spacing w:val="0"/>
                <w:w w:val="100"/>
                <w:kern w:val="0"/>
                <w:position w:val="0"/>
                <w:sz w:val="21"/>
                <w:szCs w:val="21"/>
                <w:lang w:val="en-US" w:eastAsia="zh-CN"/>
              </w:rPr>
              <w:t>11</w:t>
            </w:r>
          </w:p>
        </w:tc>
        <w:tc>
          <w:tcPr>
            <w:tcW w:w="578" w:type="pct"/>
            <w:tcBorders>
              <w:tl2br w:val="nil"/>
              <w:tr2bl w:val="nil"/>
            </w:tcBorders>
            <w:shd w:val="clear" w:color="auto" w:fill="auto"/>
            <w:vAlign w:val="center"/>
          </w:tcPr>
          <w:p w14:paraId="58FF1F40">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r>
              <w:rPr>
                <w:rFonts w:hint="eastAsia" w:ascii="Times New Roman" w:hAnsi="Times New Roman" w:cs="Times New Roman"/>
                <w:color w:val="auto"/>
                <w:spacing w:val="0"/>
                <w:w w:val="100"/>
                <w:kern w:val="0"/>
                <w:position w:val="0"/>
                <w:sz w:val="21"/>
                <w:szCs w:val="21"/>
                <w:lang w:val="en-US" w:eastAsia="zh-CN" w:bidi="ar"/>
              </w:rPr>
              <w:t>废过滤棉</w:t>
            </w:r>
          </w:p>
        </w:tc>
        <w:tc>
          <w:tcPr>
            <w:tcW w:w="401" w:type="pct"/>
            <w:vMerge w:val="continue"/>
            <w:tcBorders>
              <w:tl2br w:val="nil"/>
              <w:tr2bl w:val="nil"/>
            </w:tcBorders>
            <w:shd w:val="clear" w:color="auto" w:fill="auto"/>
            <w:vAlign w:val="center"/>
          </w:tcPr>
          <w:p w14:paraId="6712435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cs="Times New Roman"/>
                <w:color w:val="auto"/>
                <w:spacing w:val="0"/>
                <w:w w:val="100"/>
                <w:position w:val="0"/>
                <w:sz w:val="21"/>
                <w:szCs w:val="21"/>
              </w:rPr>
            </w:pPr>
          </w:p>
        </w:tc>
        <w:tc>
          <w:tcPr>
            <w:tcW w:w="291" w:type="pct"/>
            <w:tcBorders>
              <w:tl2br w:val="nil"/>
              <w:tr2bl w:val="nil"/>
            </w:tcBorders>
            <w:shd w:val="clear" w:color="auto" w:fill="auto"/>
            <w:vAlign w:val="center"/>
          </w:tcPr>
          <w:p w14:paraId="54904900">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r>
              <w:rPr>
                <w:rFonts w:hint="eastAsia" w:ascii="Times New Roman" w:hAnsi="Times New Roman" w:cs="Times New Roman"/>
                <w:color w:val="auto"/>
                <w:spacing w:val="0"/>
                <w:w w:val="100"/>
                <w:kern w:val="0"/>
                <w:position w:val="0"/>
                <w:sz w:val="21"/>
                <w:szCs w:val="21"/>
                <w:lang w:val="en-US" w:eastAsia="zh-CN" w:bidi="ar"/>
              </w:rPr>
              <w:t>固态</w:t>
            </w:r>
          </w:p>
        </w:tc>
        <w:tc>
          <w:tcPr>
            <w:tcW w:w="483" w:type="pct"/>
            <w:tcBorders>
              <w:tl2br w:val="nil"/>
              <w:tr2bl w:val="nil"/>
            </w:tcBorders>
            <w:shd w:val="clear" w:color="auto" w:fill="auto"/>
            <w:vAlign w:val="center"/>
          </w:tcPr>
          <w:p w14:paraId="25A8A70D">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r>
              <w:rPr>
                <w:rFonts w:hint="eastAsia" w:ascii="Times New Roman" w:hAnsi="Times New Roman" w:cs="Times New Roman"/>
                <w:color w:val="auto"/>
                <w:spacing w:val="0"/>
                <w:w w:val="100"/>
                <w:kern w:val="0"/>
                <w:position w:val="0"/>
                <w:sz w:val="21"/>
                <w:szCs w:val="21"/>
                <w:lang w:val="en-US" w:eastAsia="zh-CN" w:bidi="ar"/>
              </w:rPr>
              <w:t>T</w:t>
            </w:r>
          </w:p>
        </w:tc>
        <w:tc>
          <w:tcPr>
            <w:tcW w:w="504" w:type="pct"/>
            <w:tcBorders>
              <w:tl2br w:val="nil"/>
              <w:tr2bl w:val="nil"/>
            </w:tcBorders>
            <w:shd w:val="clear" w:color="auto" w:fill="auto"/>
            <w:vAlign w:val="center"/>
          </w:tcPr>
          <w:p w14:paraId="1B4813C7">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r>
              <w:rPr>
                <w:rFonts w:hint="eastAsia" w:ascii="Times New Roman" w:hAnsi="Times New Roman" w:cs="Times New Roman"/>
                <w:color w:val="auto"/>
                <w:spacing w:val="0"/>
                <w:w w:val="100"/>
                <w:kern w:val="0"/>
                <w:position w:val="0"/>
                <w:sz w:val="21"/>
                <w:szCs w:val="21"/>
                <w:lang w:val="en-US" w:eastAsia="zh-CN" w:bidi="ar"/>
              </w:rPr>
              <w:t>HW49</w:t>
            </w:r>
          </w:p>
        </w:tc>
        <w:tc>
          <w:tcPr>
            <w:tcW w:w="1293" w:type="pct"/>
            <w:tcBorders>
              <w:tl2br w:val="nil"/>
              <w:tr2bl w:val="nil"/>
            </w:tcBorders>
            <w:shd w:val="clear" w:color="auto" w:fill="auto"/>
            <w:vAlign w:val="center"/>
          </w:tcPr>
          <w:p w14:paraId="62D9C8EC">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eastAsia="宋体" w:cs="Times New Roman"/>
                <w:color w:val="auto"/>
                <w:spacing w:val="0"/>
                <w:w w:val="100"/>
                <w:position w:val="0"/>
                <w:highlight w:val="none"/>
                <w:lang w:val="en-US" w:eastAsia="zh-CN"/>
              </w:rPr>
              <w:t>900-041-49</w:t>
            </w:r>
          </w:p>
        </w:tc>
        <w:tc>
          <w:tcPr>
            <w:tcW w:w="578" w:type="pct"/>
            <w:tcBorders>
              <w:tl2br w:val="nil"/>
              <w:tr2bl w:val="nil"/>
            </w:tcBorders>
            <w:shd w:val="clear" w:color="auto" w:fill="auto"/>
            <w:vAlign w:val="center"/>
          </w:tcPr>
          <w:p w14:paraId="561F0C06">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position w:val="0"/>
                <w:sz w:val="21"/>
                <w:szCs w:val="21"/>
                <w:highlight w:val="none"/>
                <w:lang w:val="en-US" w:eastAsia="zh-CN"/>
              </w:rPr>
            </w:pPr>
            <w:r>
              <w:rPr>
                <w:rFonts w:hint="eastAsia" w:ascii="Times New Roman" w:hAnsi="Times New Roman" w:cs="Times New Roman"/>
                <w:color w:val="auto"/>
                <w:spacing w:val="0"/>
                <w:w w:val="100"/>
                <w:position w:val="0"/>
                <w:sz w:val="21"/>
                <w:szCs w:val="21"/>
                <w:highlight w:val="none"/>
                <w:lang w:val="en-US" w:eastAsia="zh-CN"/>
              </w:rPr>
              <w:t>0.5t/a</w:t>
            </w:r>
          </w:p>
        </w:tc>
        <w:tc>
          <w:tcPr>
            <w:tcW w:w="578" w:type="pct"/>
            <w:vMerge w:val="continue"/>
            <w:tcBorders>
              <w:tl2br w:val="nil"/>
              <w:tr2bl w:val="nil"/>
            </w:tcBorders>
            <w:shd w:val="clear" w:color="auto" w:fill="auto"/>
            <w:vAlign w:val="center"/>
          </w:tcPr>
          <w:p w14:paraId="091C614E">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position w:val="0"/>
                <w:sz w:val="21"/>
                <w:szCs w:val="21"/>
                <w:highlight w:val="none"/>
                <w:lang w:val="en-US" w:eastAsia="zh-CN"/>
              </w:rPr>
            </w:pPr>
          </w:p>
        </w:tc>
      </w:tr>
      <w:tr w14:paraId="189705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89" w:type="pct"/>
            <w:tcBorders>
              <w:tl2br w:val="nil"/>
              <w:tr2bl w:val="nil"/>
            </w:tcBorders>
            <w:shd w:val="clear" w:color="auto" w:fill="auto"/>
            <w:vAlign w:val="center"/>
          </w:tcPr>
          <w:p w14:paraId="73B2B741">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cs="Times New Roman"/>
                <w:color w:val="auto"/>
                <w:spacing w:val="0"/>
                <w:w w:val="100"/>
                <w:kern w:val="0"/>
                <w:position w:val="0"/>
                <w:sz w:val="21"/>
                <w:szCs w:val="21"/>
                <w:lang w:val="en-US" w:eastAsia="zh-CN"/>
              </w:rPr>
              <w:t>1</w:t>
            </w:r>
            <w:r>
              <w:rPr>
                <w:rFonts w:hint="eastAsia" w:ascii="Times New Roman" w:hAnsi="Times New Roman" w:cs="Times New Roman"/>
                <w:color w:val="auto"/>
                <w:spacing w:val="0"/>
                <w:w w:val="100"/>
                <w:kern w:val="0"/>
                <w:position w:val="0"/>
                <w:sz w:val="21"/>
                <w:szCs w:val="21"/>
                <w:lang w:val="en-US" w:eastAsia="zh-CN"/>
              </w:rPr>
              <w:t>2</w:t>
            </w:r>
          </w:p>
        </w:tc>
        <w:tc>
          <w:tcPr>
            <w:tcW w:w="578" w:type="pct"/>
            <w:tcBorders>
              <w:tl2br w:val="nil"/>
              <w:tr2bl w:val="nil"/>
            </w:tcBorders>
            <w:shd w:val="clear" w:color="auto" w:fill="auto"/>
            <w:vAlign w:val="center"/>
          </w:tcPr>
          <w:p w14:paraId="19F1FB8A">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废活性炭</w:t>
            </w:r>
          </w:p>
        </w:tc>
        <w:tc>
          <w:tcPr>
            <w:tcW w:w="401" w:type="pct"/>
            <w:vMerge w:val="continue"/>
            <w:tcBorders>
              <w:tl2br w:val="nil"/>
              <w:tr2bl w:val="nil"/>
            </w:tcBorders>
            <w:shd w:val="clear" w:color="auto" w:fill="auto"/>
            <w:vAlign w:val="center"/>
          </w:tcPr>
          <w:p w14:paraId="78208D6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textAlignment w:val="auto"/>
              <w:rPr>
                <w:rFonts w:hint="default" w:ascii="Times New Roman" w:hAnsi="Times New Roman" w:cs="Times New Roman"/>
                <w:color w:val="auto"/>
                <w:spacing w:val="0"/>
                <w:w w:val="100"/>
                <w:position w:val="0"/>
                <w:sz w:val="21"/>
                <w:szCs w:val="21"/>
              </w:rPr>
            </w:pPr>
          </w:p>
        </w:tc>
        <w:tc>
          <w:tcPr>
            <w:tcW w:w="291" w:type="pct"/>
            <w:tcBorders>
              <w:tl2br w:val="nil"/>
              <w:tr2bl w:val="nil"/>
            </w:tcBorders>
            <w:shd w:val="clear" w:color="auto" w:fill="auto"/>
            <w:vAlign w:val="center"/>
          </w:tcPr>
          <w:p w14:paraId="1AAB5308">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固态</w:t>
            </w:r>
          </w:p>
        </w:tc>
        <w:tc>
          <w:tcPr>
            <w:tcW w:w="483" w:type="pct"/>
            <w:tcBorders>
              <w:tl2br w:val="nil"/>
              <w:tr2bl w:val="nil"/>
            </w:tcBorders>
            <w:shd w:val="clear" w:color="auto" w:fill="auto"/>
            <w:vAlign w:val="center"/>
          </w:tcPr>
          <w:p w14:paraId="452507D7">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T</w:t>
            </w:r>
          </w:p>
        </w:tc>
        <w:tc>
          <w:tcPr>
            <w:tcW w:w="504" w:type="pct"/>
            <w:tcBorders>
              <w:tl2br w:val="nil"/>
              <w:tr2bl w:val="nil"/>
            </w:tcBorders>
            <w:shd w:val="clear" w:color="auto" w:fill="auto"/>
            <w:vAlign w:val="center"/>
          </w:tcPr>
          <w:p w14:paraId="31FBAD4F">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HW49</w:t>
            </w:r>
          </w:p>
        </w:tc>
        <w:tc>
          <w:tcPr>
            <w:tcW w:w="1293" w:type="pct"/>
            <w:tcBorders>
              <w:tl2br w:val="nil"/>
              <w:tr2bl w:val="nil"/>
            </w:tcBorders>
            <w:shd w:val="clear" w:color="auto" w:fill="auto"/>
            <w:vAlign w:val="center"/>
          </w:tcPr>
          <w:p w14:paraId="0EF95C71">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eastAsia="宋体" w:cs="Times New Roman"/>
                <w:color w:val="auto"/>
                <w:spacing w:val="0"/>
                <w:w w:val="100"/>
                <w:position w:val="0"/>
                <w:sz w:val="21"/>
                <w:szCs w:val="21"/>
                <w:highlight w:val="none"/>
                <w:lang w:val="en-US" w:eastAsia="zh-CN"/>
              </w:rPr>
              <w:t>900-039-49</w:t>
            </w:r>
          </w:p>
        </w:tc>
        <w:tc>
          <w:tcPr>
            <w:tcW w:w="578" w:type="pct"/>
            <w:tcBorders>
              <w:tl2br w:val="nil"/>
              <w:tr2bl w:val="nil"/>
            </w:tcBorders>
            <w:shd w:val="clear" w:color="auto" w:fill="auto"/>
            <w:vAlign w:val="center"/>
          </w:tcPr>
          <w:p w14:paraId="19B1C904">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position w:val="0"/>
                <w:sz w:val="21"/>
                <w:szCs w:val="21"/>
                <w:highlight w:val="none"/>
                <w:lang w:val="en-US" w:eastAsia="zh-CN"/>
              </w:rPr>
            </w:pPr>
            <w:r>
              <w:rPr>
                <w:rFonts w:hint="eastAsia" w:ascii="Times New Roman" w:hAnsi="Times New Roman" w:cs="Times New Roman"/>
                <w:color w:val="auto"/>
                <w:spacing w:val="0"/>
                <w:w w:val="100"/>
                <w:position w:val="0"/>
                <w:sz w:val="21"/>
                <w:szCs w:val="21"/>
                <w:highlight w:val="none"/>
                <w:lang w:val="en-US" w:eastAsia="zh-CN"/>
              </w:rPr>
              <w:t>2.5</w:t>
            </w:r>
          </w:p>
        </w:tc>
        <w:tc>
          <w:tcPr>
            <w:tcW w:w="578" w:type="pct"/>
            <w:vMerge w:val="continue"/>
            <w:tcBorders>
              <w:tl2br w:val="nil"/>
              <w:tr2bl w:val="nil"/>
            </w:tcBorders>
            <w:shd w:val="clear" w:color="auto" w:fill="auto"/>
            <w:vAlign w:val="center"/>
          </w:tcPr>
          <w:p w14:paraId="54C3B991">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position w:val="0"/>
                <w:sz w:val="21"/>
                <w:szCs w:val="21"/>
                <w:highlight w:val="none"/>
                <w:lang w:val="en-US" w:eastAsia="zh-CN"/>
              </w:rPr>
            </w:pPr>
          </w:p>
        </w:tc>
      </w:tr>
    </w:tbl>
    <w:p w14:paraId="73458067">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leftChars="0" w:right="0" w:rightChars="0" w:firstLine="0" w:firstLineChars="0"/>
        <w:jc w:val="both"/>
        <w:outlineLvl w:val="2"/>
        <w:rPr>
          <w:rFonts w:hint="default" w:ascii="Times New Roman" w:hAnsi="Times New Roman" w:eastAsia="宋体" w:cs="Times New Roman"/>
          <w:b/>
          <w:bCs/>
          <w:caps w:val="0"/>
          <w:color w:val="auto"/>
          <w:spacing w:val="0"/>
          <w:w w:val="100"/>
          <w:kern w:val="21"/>
          <w:position w:val="0"/>
          <w:sz w:val="24"/>
          <w:szCs w:val="24"/>
        </w:rPr>
      </w:pPr>
      <w:r>
        <w:rPr>
          <w:rFonts w:hint="default" w:ascii="Times New Roman" w:hAnsi="Times New Roman" w:eastAsia="宋体" w:cs="Times New Roman"/>
          <w:b/>
          <w:bCs/>
          <w:caps w:val="0"/>
          <w:color w:val="auto"/>
          <w:spacing w:val="0"/>
          <w:w w:val="100"/>
          <w:kern w:val="21"/>
          <w:position w:val="0"/>
          <w:sz w:val="24"/>
          <w:szCs w:val="24"/>
          <w:lang w:val="en-US" w:eastAsia="zh-CN" w:bidi="ar"/>
        </w:rPr>
        <w:t>3.</w:t>
      </w:r>
      <w:r>
        <w:rPr>
          <w:rFonts w:hint="eastAsia" w:cs="Times New Roman"/>
          <w:b/>
          <w:bCs/>
          <w:caps w:val="0"/>
          <w:color w:val="auto"/>
          <w:spacing w:val="0"/>
          <w:w w:val="100"/>
          <w:kern w:val="21"/>
          <w:position w:val="0"/>
          <w:sz w:val="24"/>
          <w:szCs w:val="24"/>
          <w:lang w:val="en-US" w:eastAsia="zh-CN" w:bidi="ar"/>
        </w:rPr>
        <w:t>4</w:t>
      </w:r>
      <w:r>
        <w:rPr>
          <w:rFonts w:hint="default" w:ascii="Times New Roman" w:hAnsi="Times New Roman" w:eastAsia="宋体" w:cs="Times New Roman"/>
          <w:b/>
          <w:bCs/>
          <w:caps w:val="0"/>
          <w:color w:val="auto"/>
          <w:spacing w:val="0"/>
          <w:w w:val="100"/>
          <w:kern w:val="21"/>
          <w:position w:val="0"/>
          <w:sz w:val="24"/>
          <w:szCs w:val="24"/>
          <w:lang w:val="en-US" w:eastAsia="zh-CN" w:bidi="ar"/>
        </w:rPr>
        <w:t>.5</w:t>
      </w:r>
      <w:r>
        <w:rPr>
          <w:rFonts w:hint="eastAsia" w:ascii="宋体" w:hAnsi="宋体" w:eastAsia="宋体" w:cs="宋体"/>
          <w:b/>
          <w:bCs/>
          <w:caps w:val="0"/>
          <w:color w:val="auto"/>
          <w:spacing w:val="0"/>
          <w:w w:val="100"/>
          <w:kern w:val="21"/>
          <w:position w:val="0"/>
          <w:sz w:val="24"/>
          <w:szCs w:val="24"/>
          <w:lang w:val="en-US" w:eastAsia="zh-CN" w:bidi="ar"/>
        </w:rPr>
        <w:t>污染物排放汇总</w:t>
      </w:r>
    </w:p>
    <w:p w14:paraId="2395906A">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leftChars="0" w:right="0" w:rightChars="0" w:firstLine="480" w:firstLineChars="200"/>
        <w:jc w:val="both"/>
        <w:rPr>
          <w:rFonts w:hint="default" w:ascii="Times New Roman" w:hAnsi="Times New Roman" w:eastAsia="宋体" w:cs="Times New Roman"/>
          <w:caps w:val="0"/>
          <w:color w:val="auto"/>
          <w:spacing w:val="0"/>
          <w:w w:val="100"/>
          <w:kern w:val="21"/>
          <w:position w:val="0"/>
          <w:sz w:val="24"/>
          <w:szCs w:val="24"/>
        </w:rPr>
      </w:pPr>
      <w:r>
        <w:rPr>
          <w:rFonts w:hint="eastAsia" w:ascii="宋体" w:hAnsi="宋体" w:eastAsia="宋体" w:cs="宋体"/>
          <w:caps w:val="0"/>
          <w:color w:val="auto"/>
          <w:spacing w:val="0"/>
          <w:w w:val="100"/>
          <w:kern w:val="21"/>
          <w:position w:val="0"/>
          <w:sz w:val="24"/>
          <w:szCs w:val="24"/>
          <w:lang w:val="en-US" w:eastAsia="zh-CN" w:bidi="ar"/>
        </w:rPr>
        <w:t>本项目建成后，主要污染源及其主要污染物的排放情况汇总见表</w:t>
      </w:r>
      <w:r>
        <w:rPr>
          <w:rFonts w:hint="default" w:ascii="Times New Roman" w:hAnsi="Times New Roman" w:eastAsia="宋体" w:cs="Times New Roman"/>
          <w:caps w:val="0"/>
          <w:color w:val="auto"/>
          <w:spacing w:val="0"/>
          <w:w w:val="100"/>
          <w:kern w:val="21"/>
          <w:position w:val="0"/>
          <w:sz w:val="24"/>
          <w:szCs w:val="24"/>
          <w:lang w:val="en-US" w:eastAsia="zh-CN" w:bidi="ar"/>
        </w:rPr>
        <w:t>3.</w:t>
      </w:r>
      <w:r>
        <w:rPr>
          <w:rFonts w:hint="eastAsia" w:cs="Times New Roman"/>
          <w:caps w:val="0"/>
          <w:color w:val="auto"/>
          <w:spacing w:val="0"/>
          <w:w w:val="100"/>
          <w:kern w:val="21"/>
          <w:position w:val="0"/>
          <w:sz w:val="24"/>
          <w:szCs w:val="24"/>
          <w:lang w:val="en-US" w:eastAsia="zh-CN" w:bidi="ar"/>
        </w:rPr>
        <w:t>4.5-1</w:t>
      </w:r>
      <w:r>
        <w:rPr>
          <w:rFonts w:hint="eastAsia" w:ascii="宋体" w:hAnsi="宋体" w:eastAsia="宋体" w:cs="宋体"/>
          <w:caps w:val="0"/>
          <w:color w:val="auto"/>
          <w:spacing w:val="0"/>
          <w:w w:val="100"/>
          <w:kern w:val="21"/>
          <w:position w:val="0"/>
          <w:sz w:val="24"/>
          <w:szCs w:val="24"/>
          <w:lang w:val="en-US" w:eastAsia="zh-CN" w:bidi="ar"/>
        </w:rPr>
        <w:t>。</w:t>
      </w:r>
    </w:p>
    <w:p w14:paraId="671152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val="0"/>
          <w:caps w:val="0"/>
          <w:color w:val="auto"/>
          <w:spacing w:val="0"/>
          <w:w w:val="100"/>
          <w:kern w:val="21"/>
          <w:position w:val="0"/>
          <w:sz w:val="21"/>
          <w:szCs w:val="21"/>
        </w:rPr>
      </w:pPr>
      <w:r>
        <w:rPr>
          <w:rFonts w:hint="eastAsia" w:ascii="宋体" w:hAnsi="宋体" w:eastAsia="宋体" w:cs="宋体"/>
          <w:b/>
          <w:bCs w:val="0"/>
          <w:caps w:val="0"/>
          <w:color w:val="auto"/>
          <w:spacing w:val="0"/>
          <w:w w:val="100"/>
          <w:kern w:val="21"/>
          <w:position w:val="0"/>
          <w:sz w:val="21"/>
          <w:szCs w:val="21"/>
          <w:lang w:val="en-US" w:eastAsia="zh-CN" w:bidi="ar"/>
        </w:rPr>
        <w:t>表</w:t>
      </w:r>
      <w:r>
        <w:rPr>
          <w:rFonts w:hint="default" w:ascii="Times New Roman" w:hAnsi="Times New Roman" w:eastAsia="宋体" w:cs="Times New Roman"/>
          <w:b/>
          <w:bCs w:val="0"/>
          <w:caps w:val="0"/>
          <w:color w:val="auto"/>
          <w:spacing w:val="0"/>
          <w:w w:val="100"/>
          <w:kern w:val="21"/>
          <w:position w:val="0"/>
          <w:sz w:val="21"/>
          <w:szCs w:val="21"/>
          <w:lang w:val="en-US" w:eastAsia="zh-CN" w:bidi="ar"/>
        </w:rPr>
        <w:t>3</w:t>
      </w:r>
      <w:r>
        <w:rPr>
          <w:rFonts w:hint="eastAsia" w:ascii="Times New Roman" w:hAnsi="Times New Roman" w:eastAsia="宋体" w:cs="Times New Roman"/>
          <w:b/>
          <w:bCs w:val="0"/>
          <w:caps w:val="0"/>
          <w:color w:val="auto"/>
          <w:spacing w:val="0"/>
          <w:w w:val="100"/>
          <w:kern w:val="21"/>
          <w:position w:val="0"/>
          <w:sz w:val="21"/>
          <w:szCs w:val="21"/>
          <w:lang w:val="en-US" w:eastAsia="zh" w:bidi="ar"/>
        </w:rPr>
        <w:t>.</w:t>
      </w:r>
      <w:r>
        <w:rPr>
          <w:rFonts w:hint="eastAsia" w:cs="Times New Roman"/>
          <w:b/>
          <w:bCs w:val="0"/>
          <w:caps w:val="0"/>
          <w:color w:val="auto"/>
          <w:spacing w:val="0"/>
          <w:w w:val="100"/>
          <w:kern w:val="21"/>
          <w:position w:val="0"/>
          <w:sz w:val="21"/>
          <w:szCs w:val="21"/>
          <w:lang w:val="en-US" w:eastAsia="zh-CN" w:bidi="ar"/>
        </w:rPr>
        <w:t>4.5-1</w:t>
      </w:r>
      <w:r>
        <w:rPr>
          <w:rFonts w:hint="default" w:ascii="Times New Roman" w:hAnsi="Times New Roman" w:eastAsia="宋体" w:cs="Times New Roman"/>
          <w:b/>
          <w:bCs/>
          <w:caps w:val="0"/>
          <w:color w:val="auto"/>
          <w:spacing w:val="0"/>
          <w:w w:val="100"/>
          <w:kern w:val="21"/>
          <w:position w:val="0"/>
          <w:sz w:val="21"/>
          <w:szCs w:val="21"/>
          <w:lang w:val="en-US" w:eastAsia="zh-CN" w:bidi="ar"/>
        </w:rPr>
        <w:t xml:space="preserve">  </w:t>
      </w:r>
      <w:r>
        <w:rPr>
          <w:rFonts w:hint="default" w:ascii="Times New Roman" w:hAnsi="Times New Roman" w:eastAsia="宋体" w:cs="Times New Roman"/>
          <w:b/>
          <w:bCs w:val="0"/>
          <w:caps w:val="0"/>
          <w:color w:val="auto"/>
          <w:spacing w:val="0"/>
          <w:w w:val="100"/>
          <w:kern w:val="21"/>
          <w:position w:val="0"/>
          <w:sz w:val="21"/>
          <w:szCs w:val="21"/>
          <w:lang w:val="en-US" w:eastAsia="zh-CN" w:bidi="ar"/>
        </w:rPr>
        <w:t>“</w:t>
      </w:r>
      <w:r>
        <w:rPr>
          <w:rFonts w:hint="eastAsia" w:ascii="宋体" w:hAnsi="宋体" w:eastAsia="宋体" w:cs="宋体"/>
          <w:b/>
          <w:bCs w:val="0"/>
          <w:caps w:val="0"/>
          <w:color w:val="auto"/>
          <w:spacing w:val="0"/>
          <w:w w:val="100"/>
          <w:kern w:val="21"/>
          <w:position w:val="0"/>
          <w:sz w:val="21"/>
          <w:szCs w:val="21"/>
          <w:lang w:val="en-US" w:eastAsia="zh-CN" w:bidi="ar"/>
        </w:rPr>
        <w:t>三废</w:t>
      </w:r>
      <w:r>
        <w:rPr>
          <w:rFonts w:hint="default" w:ascii="Times New Roman" w:hAnsi="Times New Roman" w:eastAsia="宋体" w:cs="Times New Roman"/>
          <w:b/>
          <w:bCs w:val="0"/>
          <w:caps w:val="0"/>
          <w:color w:val="auto"/>
          <w:spacing w:val="0"/>
          <w:w w:val="100"/>
          <w:kern w:val="21"/>
          <w:position w:val="0"/>
          <w:sz w:val="21"/>
          <w:szCs w:val="21"/>
          <w:lang w:val="en-US" w:eastAsia="zh-CN" w:bidi="ar"/>
        </w:rPr>
        <w:t>”</w:t>
      </w:r>
      <w:r>
        <w:rPr>
          <w:rFonts w:hint="eastAsia" w:ascii="宋体" w:hAnsi="宋体" w:eastAsia="宋体" w:cs="宋体"/>
          <w:b/>
          <w:bCs w:val="0"/>
          <w:caps w:val="0"/>
          <w:color w:val="auto"/>
          <w:spacing w:val="0"/>
          <w:w w:val="100"/>
          <w:kern w:val="21"/>
          <w:position w:val="0"/>
          <w:sz w:val="21"/>
          <w:szCs w:val="21"/>
          <w:lang w:val="en-US" w:eastAsia="zh-CN" w:bidi="ar"/>
        </w:rPr>
        <w:t>排放情况汇总表</w:t>
      </w:r>
    </w:p>
    <w:tbl>
      <w:tblPr>
        <w:tblStyle w:val="25"/>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autofit"/>
        <w:tblCellMar>
          <w:top w:w="57" w:type="dxa"/>
          <w:left w:w="57" w:type="dxa"/>
          <w:bottom w:w="57" w:type="dxa"/>
          <w:right w:w="57" w:type="dxa"/>
        </w:tblCellMar>
      </w:tblPr>
      <w:tblGrid>
        <w:gridCol w:w="1536"/>
        <w:gridCol w:w="2923"/>
        <w:gridCol w:w="2150"/>
        <w:gridCol w:w="1809"/>
      </w:tblGrid>
      <w:tr w14:paraId="588BAC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3925" w:type="pct"/>
            <w:gridSpan w:val="3"/>
            <w:tcBorders>
              <w:tl2br w:val="nil"/>
              <w:tr2bl w:val="nil"/>
            </w:tcBorders>
            <w:shd w:val="clear" w:color="auto" w:fill="auto"/>
            <w:vAlign w:val="center"/>
          </w:tcPr>
          <w:p w14:paraId="12C9D1F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bCs/>
                <w:caps w:val="0"/>
                <w:color w:val="auto"/>
                <w:spacing w:val="0"/>
                <w:w w:val="100"/>
                <w:kern w:val="21"/>
                <w:position w:val="0"/>
                <w:sz w:val="21"/>
                <w:szCs w:val="21"/>
              </w:rPr>
            </w:pPr>
            <w:bookmarkStart w:id="242" w:name="_bookmark17"/>
            <w:bookmarkEnd w:id="242"/>
            <w:r>
              <w:rPr>
                <w:rFonts w:hint="default" w:ascii="Times New Roman" w:hAnsi="Times New Roman" w:eastAsia="宋体" w:cs="Times New Roman"/>
                <w:b/>
                <w:bCs/>
                <w:caps w:val="0"/>
                <w:color w:val="auto"/>
                <w:spacing w:val="0"/>
                <w:w w:val="100"/>
                <w:kern w:val="21"/>
                <w:position w:val="0"/>
                <w:sz w:val="21"/>
                <w:szCs w:val="21"/>
                <w:lang w:val="en-US" w:eastAsia="zh-CN" w:bidi="ar"/>
              </w:rPr>
              <w:t>污染物名称</w:t>
            </w:r>
          </w:p>
        </w:tc>
        <w:tc>
          <w:tcPr>
            <w:tcW w:w="1074" w:type="pct"/>
            <w:tcBorders>
              <w:tl2br w:val="nil"/>
              <w:tr2bl w:val="nil"/>
            </w:tcBorders>
            <w:shd w:val="clear" w:color="auto" w:fill="auto"/>
            <w:vAlign w:val="center"/>
          </w:tcPr>
          <w:p w14:paraId="42C69065">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bCs/>
                <w:caps w:val="0"/>
                <w:color w:val="auto"/>
                <w:spacing w:val="0"/>
                <w:w w:val="100"/>
                <w:kern w:val="21"/>
                <w:position w:val="0"/>
                <w:sz w:val="21"/>
                <w:szCs w:val="21"/>
              </w:rPr>
            </w:pPr>
            <w:r>
              <w:rPr>
                <w:rFonts w:hint="default" w:ascii="Times New Roman" w:hAnsi="Times New Roman" w:eastAsia="宋体" w:cs="Times New Roman"/>
                <w:b/>
                <w:bCs/>
                <w:caps w:val="0"/>
                <w:color w:val="auto"/>
                <w:spacing w:val="0"/>
                <w:w w:val="100"/>
                <w:kern w:val="21"/>
                <w:position w:val="0"/>
                <w:sz w:val="21"/>
                <w:szCs w:val="21"/>
                <w:lang w:val="en-US" w:eastAsia="zh-CN" w:bidi="ar"/>
              </w:rPr>
              <w:t>排放量t/a</w:t>
            </w:r>
          </w:p>
        </w:tc>
      </w:tr>
      <w:tr w14:paraId="440F04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12" w:type="pct"/>
            <w:vMerge w:val="restart"/>
            <w:tcBorders>
              <w:tl2br w:val="nil"/>
              <w:tr2bl w:val="nil"/>
            </w:tcBorders>
            <w:shd w:val="clear" w:color="auto" w:fill="auto"/>
            <w:vAlign w:val="center"/>
          </w:tcPr>
          <w:p w14:paraId="4BEAC7F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aps w:val="0"/>
                <w:color w:val="auto"/>
                <w:spacing w:val="0"/>
                <w:w w:val="100"/>
                <w:kern w:val="21"/>
                <w:position w:val="0"/>
                <w:sz w:val="21"/>
                <w:szCs w:val="21"/>
              </w:rPr>
            </w:pPr>
            <w:r>
              <w:rPr>
                <w:rFonts w:hint="default" w:ascii="Times New Roman" w:hAnsi="Times New Roman" w:eastAsia="宋体" w:cs="Times New Roman"/>
                <w:caps w:val="0"/>
                <w:color w:val="auto"/>
                <w:spacing w:val="0"/>
                <w:w w:val="100"/>
                <w:kern w:val="21"/>
                <w:position w:val="0"/>
                <w:sz w:val="21"/>
                <w:szCs w:val="21"/>
                <w:lang w:val="en-US" w:eastAsia="zh-CN" w:bidi="ar"/>
              </w:rPr>
              <w:t>废气</w:t>
            </w:r>
          </w:p>
        </w:tc>
        <w:tc>
          <w:tcPr>
            <w:tcW w:w="1736" w:type="pct"/>
            <w:vMerge w:val="restart"/>
            <w:tcBorders>
              <w:tl2br w:val="nil"/>
              <w:tr2bl w:val="nil"/>
            </w:tcBorders>
            <w:shd w:val="clear" w:color="auto" w:fill="auto"/>
            <w:vAlign w:val="center"/>
          </w:tcPr>
          <w:p w14:paraId="3517AF0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aps w:val="0"/>
                <w:color w:val="auto"/>
                <w:spacing w:val="0"/>
                <w:w w:val="100"/>
                <w:kern w:val="21"/>
                <w:position w:val="0"/>
                <w:sz w:val="21"/>
                <w:szCs w:val="21"/>
              </w:rPr>
            </w:pPr>
            <w:r>
              <w:rPr>
                <w:rFonts w:hint="default" w:ascii="Times New Roman" w:hAnsi="Times New Roman" w:eastAsia="宋体" w:cs="Times New Roman"/>
                <w:caps w:val="0"/>
                <w:color w:val="auto"/>
                <w:spacing w:val="0"/>
                <w:w w:val="100"/>
                <w:kern w:val="21"/>
                <w:position w:val="0"/>
                <w:sz w:val="21"/>
                <w:szCs w:val="21"/>
                <w:lang w:val="en-US" w:eastAsia="zh-CN" w:bidi="ar"/>
              </w:rPr>
              <w:t>有组织排放废气</w:t>
            </w:r>
          </w:p>
        </w:tc>
        <w:tc>
          <w:tcPr>
            <w:tcW w:w="1276" w:type="pct"/>
            <w:tcBorders>
              <w:tl2br w:val="nil"/>
              <w:tr2bl w:val="nil"/>
            </w:tcBorders>
            <w:shd w:val="clear" w:color="auto" w:fill="auto"/>
            <w:vAlign w:val="center"/>
          </w:tcPr>
          <w:p w14:paraId="5E75D23F">
            <w:pPr>
              <w:pStyle w:val="23"/>
              <w:keepNext w:val="0"/>
              <w:keepLines w:val="0"/>
              <w:pageBreakBefore w:val="0"/>
              <w:widowControl w:val="0"/>
              <w:suppressLineNumbers w:val="0"/>
              <w:kinsoku/>
              <w:wordWrap/>
              <w:overflowPunct/>
              <w:topLinePunct w:val="0"/>
              <w:autoSpaceDE/>
              <w:autoSpaceDN/>
              <w:bidi w:val="0"/>
              <w:spacing w:before="0" w:beforeLines="0" w:beforeAutospacing="0" w:after="0" w:afterLines="0" w:afterAutospacing="0" w:line="240" w:lineRule="auto"/>
              <w:ind w:left="0" w:leftChars="0" w:right="0" w:rightChars="0" w:firstLine="0" w:firstLineChars="0"/>
              <w:jc w:val="center"/>
              <w:rPr>
                <w:rFonts w:hint="default" w:ascii="Times New Roman" w:hAnsi="Times New Roman" w:eastAsia="宋体" w:cs="Times New Roman"/>
                <w:caps w:val="0"/>
                <w:color w:val="auto"/>
                <w:spacing w:val="0"/>
                <w:w w:val="100"/>
                <w:kern w:val="21"/>
                <w:position w:val="0"/>
                <w:sz w:val="21"/>
                <w:szCs w:val="21"/>
              </w:rPr>
            </w:pPr>
            <w:r>
              <w:rPr>
                <w:rFonts w:hint="default" w:ascii="Times New Roman" w:hAnsi="Times New Roman" w:eastAsia="宋体" w:cs="Times New Roman"/>
                <w:caps w:val="0"/>
                <w:color w:val="auto"/>
                <w:spacing w:val="0"/>
                <w:w w:val="100"/>
                <w:kern w:val="0"/>
                <w:position w:val="0"/>
                <w:sz w:val="21"/>
                <w:szCs w:val="21"/>
                <w:lang w:val="en-US" w:eastAsia="zh-CN" w:bidi="ar"/>
              </w:rPr>
              <w:t>颗粒物</w:t>
            </w:r>
          </w:p>
        </w:tc>
        <w:tc>
          <w:tcPr>
            <w:tcW w:w="1074" w:type="pct"/>
            <w:tcBorders>
              <w:tl2br w:val="nil"/>
              <w:tr2bl w:val="nil"/>
            </w:tcBorders>
            <w:shd w:val="clear" w:color="auto" w:fill="auto"/>
            <w:vAlign w:val="center"/>
          </w:tcPr>
          <w:p w14:paraId="6295A73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eastAsia" w:cs="Times New Roman"/>
                <w:i w:val="0"/>
                <w:iCs w:val="0"/>
                <w:color w:val="auto"/>
                <w:spacing w:val="0"/>
                <w:w w:val="100"/>
                <w:kern w:val="0"/>
                <w:position w:val="0"/>
                <w:sz w:val="21"/>
                <w:szCs w:val="21"/>
                <w:u w:val="none"/>
                <w:lang w:val="en-US" w:eastAsia="zh-CN" w:bidi="ar"/>
              </w:rPr>
              <w:t>0.263</w:t>
            </w:r>
          </w:p>
        </w:tc>
      </w:tr>
      <w:tr w14:paraId="332CF9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12" w:type="pct"/>
            <w:vMerge w:val="continue"/>
            <w:tcBorders>
              <w:tl2br w:val="nil"/>
              <w:tr2bl w:val="nil"/>
            </w:tcBorders>
            <w:shd w:val="clear" w:color="auto" w:fill="auto"/>
            <w:vAlign w:val="center"/>
          </w:tcPr>
          <w:p w14:paraId="5F83609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w w:val="100"/>
                <w:position w:val="0"/>
                <w:sz w:val="21"/>
                <w:szCs w:val="21"/>
              </w:rPr>
            </w:pPr>
          </w:p>
        </w:tc>
        <w:tc>
          <w:tcPr>
            <w:tcW w:w="1736" w:type="pct"/>
            <w:vMerge w:val="continue"/>
            <w:tcBorders>
              <w:tl2br w:val="nil"/>
              <w:tr2bl w:val="nil"/>
            </w:tcBorders>
            <w:shd w:val="clear" w:color="auto" w:fill="auto"/>
            <w:vAlign w:val="center"/>
          </w:tcPr>
          <w:p w14:paraId="5B703DA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w w:val="100"/>
                <w:position w:val="0"/>
                <w:sz w:val="21"/>
                <w:szCs w:val="21"/>
              </w:rPr>
            </w:pPr>
          </w:p>
        </w:tc>
        <w:tc>
          <w:tcPr>
            <w:tcW w:w="1276" w:type="pct"/>
            <w:tcBorders>
              <w:tl2br w:val="nil"/>
              <w:tr2bl w:val="nil"/>
            </w:tcBorders>
            <w:shd w:val="clear" w:color="auto" w:fill="auto"/>
            <w:vAlign w:val="center"/>
          </w:tcPr>
          <w:p w14:paraId="4B22A1B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aps w:val="0"/>
                <w:color w:val="auto"/>
                <w:spacing w:val="0"/>
                <w:w w:val="100"/>
                <w:kern w:val="21"/>
                <w:position w:val="0"/>
                <w:sz w:val="21"/>
                <w:szCs w:val="21"/>
                <w:lang w:val="en-US" w:eastAsia="zh-CN" w:bidi="ar"/>
              </w:rPr>
            </w:pPr>
            <w:r>
              <w:rPr>
                <w:rFonts w:hint="default" w:ascii="Times New Roman" w:hAnsi="Times New Roman" w:eastAsia="宋体" w:cs="Times New Roman"/>
                <w:caps w:val="0"/>
                <w:color w:val="auto"/>
                <w:spacing w:val="0"/>
                <w:w w:val="100"/>
                <w:kern w:val="0"/>
                <w:position w:val="0"/>
                <w:sz w:val="21"/>
                <w:szCs w:val="21"/>
                <w:lang w:val="en-US" w:eastAsia="zh-CN" w:bidi="ar"/>
              </w:rPr>
              <w:t>非甲烷总烃</w:t>
            </w:r>
          </w:p>
        </w:tc>
        <w:tc>
          <w:tcPr>
            <w:tcW w:w="1074" w:type="pct"/>
            <w:tcBorders>
              <w:tl2br w:val="nil"/>
              <w:tr2bl w:val="nil"/>
            </w:tcBorders>
            <w:shd w:val="clear" w:color="auto" w:fill="auto"/>
            <w:vAlign w:val="center"/>
          </w:tcPr>
          <w:p w14:paraId="7733562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pacing w:val="0"/>
                <w:w w:val="100"/>
                <w:kern w:val="0"/>
                <w:position w:val="0"/>
                <w:sz w:val="21"/>
                <w:szCs w:val="21"/>
                <w:lang w:val="en-US" w:eastAsia="zh-CN" w:bidi="ar"/>
              </w:rPr>
            </w:pPr>
            <w:r>
              <w:rPr>
                <w:rFonts w:hint="eastAsia" w:cs="Times New Roman"/>
                <w:color w:val="auto"/>
                <w:spacing w:val="0"/>
                <w:w w:val="100"/>
                <w:kern w:val="0"/>
                <w:position w:val="0"/>
                <w:sz w:val="21"/>
                <w:szCs w:val="21"/>
                <w:lang w:val="en-US" w:eastAsia="zh-CN" w:bidi="ar"/>
              </w:rPr>
              <w:t>2.218</w:t>
            </w:r>
          </w:p>
        </w:tc>
      </w:tr>
      <w:tr w14:paraId="75231F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12" w:type="pct"/>
            <w:vMerge w:val="continue"/>
            <w:tcBorders>
              <w:tl2br w:val="nil"/>
              <w:tr2bl w:val="nil"/>
            </w:tcBorders>
            <w:shd w:val="clear" w:color="auto" w:fill="auto"/>
            <w:vAlign w:val="center"/>
          </w:tcPr>
          <w:p w14:paraId="509BEB8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w w:val="100"/>
                <w:position w:val="0"/>
                <w:sz w:val="21"/>
                <w:szCs w:val="21"/>
              </w:rPr>
            </w:pPr>
          </w:p>
        </w:tc>
        <w:tc>
          <w:tcPr>
            <w:tcW w:w="1736" w:type="pct"/>
            <w:vMerge w:val="restart"/>
            <w:tcBorders>
              <w:tl2br w:val="nil"/>
              <w:tr2bl w:val="nil"/>
            </w:tcBorders>
            <w:shd w:val="clear" w:color="auto" w:fill="auto"/>
            <w:vAlign w:val="center"/>
          </w:tcPr>
          <w:p w14:paraId="2B1427D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aps w:val="0"/>
                <w:color w:val="auto"/>
                <w:spacing w:val="0"/>
                <w:w w:val="100"/>
                <w:kern w:val="21"/>
                <w:position w:val="0"/>
                <w:sz w:val="21"/>
                <w:szCs w:val="21"/>
              </w:rPr>
            </w:pPr>
            <w:r>
              <w:rPr>
                <w:rFonts w:hint="default" w:ascii="Times New Roman" w:hAnsi="Times New Roman" w:eastAsia="宋体" w:cs="Times New Roman"/>
                <w:caps w:val="0"/>
                <w:color w:val="auto"/>
                <w:spacing w:val="0"/>
                <w:w w:val="100"/>
                <w:kern w:val="21"/>
                <w:position w:val="0"/>
                <w:sz w:val="21"/>
                <w:szCs w:val="21"/>
                <w:lang w:val="en-US" w:eastAsia="zh-CN" w:bidi="ar"/>
              </w:rPr>
              <w:t>无组织排放废气</w:t>
            </w:r>
          </w:p>
        </w:tc>
        <w:tc>
          <w:tcPr>
            <w:tcW w:w="1276" w:type="pct"/>
            <w:tcBorders>
              <w:tl2br w:val="nil"/>
              <w:tr2bl w:val="nil"/>
            </w:tcBorders>
            <w:shd w:val="clear" w:color="auto" w:fill="auto"/>
            <w:vAlign w:val="center"/>
          </w:tcPr>
          <w:p w14:paraId="5EFB496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aps w:val="0"/>
                <w:color w:val="auto"/>
                <w:spacing w:val="0"/>
                <w:w w:val="100"/>
                <w:kern w:val="21"/>
                <w:position w:val="0"/>
                <w:sz w:val="21"/>
                <w:szCs w:val="21"/>
              </w:rPr>
            </w:pPr>
            <w:r>
              <w:rPr>
                <w:rFonts w:hint="default" w:ascii="Times New Roman" w:hAnsi="Times New Roman" w:eastAsia="宋体" w:cs="Times New Roman"/>
                <w:caps w:val="0"/>
                <w:color w:val="auto"/>
                <w:spacing w:val="0"/>
                <w:w w:val="100"/>
                <w:kern w:val="0"/>
                <w:position w:val="0"/>
                <w:sz w:val="21"/>
                <w:szCs w:val="21"/>
                <w:lang w:val="en-US" w:eastAsia="zh-CN" w:bidi="ar"/>
              </w:rPr>
              <w:t>颗粒物</w:t>
            </w:r>
          </w:p>
        </w:tc>
        <w:tc>
          <w:tcPr>
            <w:tcW w:w="1074" w:type="pct"/>
            <w:tcBorders>
              <w:tl2br w:val="nil"/>
              <w:tr2bl w:val="nil"/>
            </w:tcBorders>
            <w:shd w:val="clear" w:color="auto" w:fill="auto"/>
            <w:vAlign w:val="center"/>
          </w:tcPr>
          <w:p w14:paraId="774E9DD5">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bidi="ar-SA"/>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1.471</w:t>
            </w:r>
          </w:p>
        </w:tc>
      </w:tr>
      <w:tr w14:paraId="702C2D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12" w:type="pct"/>
            <w:vMerge w:val="continue"/>
            <w:tcBorders>
              <w:tl2br w:val="nil"/>
              <w:tr2bl w:val="nil"/>
            </w:tcBorders>
            <w:shd w:val="clear" w:color="auto" w:fill="auto"/>
            <w:vAlign w:val="center"/>
          </w:tcPr>
          <w:p w14:paraId="55E4375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w w:val="100"/>
                <w:position w:val="0"/>
                <w:sz w:val="21"/>
                <w:szCs w:val="21"/>
              </w:rPr>
            </w:pPr>
          </w:p>
        </w:tc>
        <w:tc>
          <w:tcPr>
            <w:tcW w:w="1736" w:type="pct"/>
            <w:vMerge w:val="continue"/>
            <w:tcBorders>
              <w:tl2br w:val="nil"/>
              <w:tr2bl w:val="nil"/>
            </w:tcBorders>
            <w:shd w:val="clear" w:color="auto" w:fill="auto"/>
            <w:vAlign w:val="center"/>
          </w:tcPr>
          <w:p w14:paraId="431D1B9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aps w:val="0"/>
                <w:color w:val="auto"/>
                <w:spacing w:val="0"/>
                <w:w w:val="100"/>
                <w:kern w:val="21"/>
                <w:position w:val="0"/>
                <w:sz w:val="21"/>
                <w:szCs w:val="21"/>
                <w:lang w:val="en-US" w:eastAsia="zh-CN" w:bidi="ar"/>
              </w:rPr>
            </w:pPr>
          </w:p>
        </w:tc>
        <w:tc>
          <w:tcPr>
            <w:tcW w:w="1276" w:type="pct"/>
            <w:tcBorders>
              <w:tl2br w:val="nil"/>
              <w:tr2bl w:val="nil"/>
            </w:tcBorders>
            <w:shd w:val="clear" w:color="auto" w:fill="auto"/>
            <w:vAlign w:val="center"/>
          </w:tcPr>
          <w:p w14:paraId="058B792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aps w:val="0"/>
                <w:color w:val="auto"/>
                <w:spacing w:val="0"/>
                <w:w w:val="100"/>
                <w:kern w:val="21"/>
                <w:position w:val="0"/>
                <w:sz w:val="21"/>
                <w:szCs w:val="21"/>
                <w:lang w:val="en-US" w:eastAsia="zh-CN" w:bidi="ar"/>
              </w:rPr>
            </w:pPr>
            <w:r>
              <w:rPr>
                <w:rFonts w:hint="default" w:ascii="Times New Roman" w:hAnsi="Times New Roman" w:eastAsia="宋体" w:cs="Times New Roman"/>
                <w:caps w:val="0"/>
                <w:color w:val="auto"/>
                <w:spacing w:val="0"/>
                <w:w w:val="100"/>
                <w:kern w:val="0"/>
                <w:position w:val="0"/>
                <w:sz w:val="21"/>
                <w:szCs w:val="21"/>
                <w:lang w:val="en-US" w:eastAsia="zh-CN" w:bidi="ar"/>
              </w:rPr>
              <w:t>非甲烷总烃</w:t>
            </w:r>
          </w:p>
        </w:tc>
        <w:tc>
          <w:tcPr>
            <w:tcW w:w="1074" w:type="pct"/>
            <w:tcBorders>
              <w:tl2br w:val="nil"/>
              <w:tr2bl w:val="nil"/>
            </w:tcBorders>
            <w:shd w:val="clear" w:color="auto" w:fill="auto"/>
            <w:vAlign w:val="center"/>
          </w:tcPr>
          <w:p w14:paraId="15BFD761">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bidi="ar-SA"/>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1.386</w:t>
            </w:r>
          </w:p>
        </w:tc>
      </w:tr>
      <w:tr w14:paraId="3E4370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12" w:type="pct"/>
            <w:vMerge w:val="restart"/>
            <w:tcBorders>
              <w:tl2br w:val="nil"/>
              <w:tr2bl w:val="nil"/>
            </w:tcBorders>
            <w:shd w:val="clear" w:color="auto" w:fill="auto"/>
            <w:vAlign w:val="center"/>
          </w:tcPr>
          <w:p w14:paraId="735DAC2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aps w:val="0"/>
                <w:color w:val="auto"/>
                <w:spacing w:val="0"/>
                <w:w w:val="100"/>
                <w:kern w:val="21"/>
                <w:position w:val="0"/>
                <w:sz w:val="21"/>
                <w:szCs w:val="21"/>
              </w:rPr>
            </w:pPr>
            <w:r>
              <w:rPr>
                <w:rFonts w:hint="default" w:ascii="Times New Roman" w:hAnsi="Times New Roman" w:eastAsia="宋体" w:cs="Times New Roman"/>
                <w:caps w:val="0"/>
                <w:color w:val="auto"/>
                <w:spacing w:val="0"/>
                <w:w w:val="100"/>
                <w:kern w:val="21"/>
                <w:position w:val="0"/>
                <w:sz w:val="21"/>
                <w:szCs w:val="21"/>
                <w:lang w:val="en-US" w:eastAsia="zh-CN" w:bidi="ar"/>
              </w:rPr>
              <w:t>一般</w:t>
            </w:r>
            <w:r>
              <w:rPr>
                <w:rFonts w:hint="default" w:ascii="Times New Roman" w:hAnsi="Times New Roman" w:cs="Times New Roman"/>
                <w:caps w:val="0"/>
                <w:color w:val="auto"/>
                <w:spacing w:val="0"/>
                <w:w w:val="100"/>
                <w:kern w:val="21"/>
                <w:position w:val="0"/>
                <w:sz w:val="21"/>
                <w:szCs w:val="21"/>
                <w:lang w:val="en-US" w:eastAsia="zh-CN" w:bidi="ar"/>
              </w:rPr>
              <w:t>工业固废</w:t>
            </w:r>
          </w:p>
        </w:tc>
        <w:tc>
          <w:tcPr>
            <w:tcW w:w="3012" w:type="pct"/>
            <w:gridSpan w:val="2"/>
            <w:tcBorders>
              <w:tl2br w:val="nil"/>
              <w:tr2bl w:val="nil"/>
            </w:tcBorders>
            <w:shd w:val="clear" w:color="auto" w:fill="auto"/>
            <w:vAlign w:val="center"/>
          </w:tcPr>
          <w:p w14:paraId="0A3A36EE">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cs="Times New Roman"/>
                <w:color w:val="auto"/>
                <w:spacing w:val="0"/>
                <w:w w:val="100"/>
                <w:kern w:val="0"/>
                <w:position w:val="0"/>
                <w:sz w:val="21"/>
                <w:szCs w:val="21"/>
                <w:lang w:val="en-US" w:eastAsia="zh-CN" w:bidi="ar"/>
              </w:rPr>
              <w:t>废包装材料</w:t>
            </w:r>
          </w:p>
        </w:tc>
        <w:tc>
          <w:tcPr>
            <w:tcW w:w="1074" w:type="pct"/>
            <w:tcBorders>
              <w:tl2br w:val="nil"/>
              <w:tr2bl w:val="nil"/>
            </w:tcBorders>
            <w:shd w:val="clear" w:color="auto" w:fill="auto"/>
            <w:vAlign w:val="center"/>
          </w:tcPr>
          <w:p w14:paraId="3F09D56D">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cs="Times New Roman"/>
                <w:color w:val="auto"/>
                <w:spacing w:val="0"/>
                <w:w w:val="100"/>
                <w:kern w:val="0"/>
                <w:position w:val="0"/>
                <w:sz w:val="21"/>
                <w:szCs w:val="21"/>
                <w:lang w:val="en-US" w:eastAsia="zh-CN" w:bidi="ar"/>
              </w:rPr>
              <w:t>0.5</w:t>
            </w:r>
          </w:p>
        </w:tc>
      </w:tr>
      <w:tr w14:paraId="7BA7CA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12" w:type="pct"/>
            <w:vMerge w:val="continue"/>
            <w:tcBorders>
              <w:tl2br w:val="nil"/>
              <w:tr2bl w:val="nil"/>
            </w:tcBorders>
            <w:shd w:val="clear" w:color="auto" w:fill="auto"/>
            <w:vAlign w:val="center"/>
          </w:tcPr>
          <w:p w14:paraId="00057EE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w w:val="100"/>
                <w:position w:val="0"/>
                <w:sz w:val="21"/>
                <w:szCs w:val="21"/>
              </w:rPr>
            </w:pPr>
          </w:p>
        </w:tc>
        <w:tc>
          <w:tcPr>
            <w:tcW w:w="3012" w:type="pct"/>
            <w:gridSpan w:val="2"/>
            <w:tcBorders>
              <w:tl2br w:val="nil"/>
              <w:tr2bl w:val="nil"/>
            </w:tcBorders>
            <w:shd w:val="clear" w:color="auto" w:fill="auto"/>
            <w:vAlign w:val="center"/>
          </w:tcPr>
          <w:p w14:paraId="246C1681">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position w:val="0"/>
                <w:sz w:val="21"/>
                <w:szCs w:val="21"/>
                <w:highlight w:val="none"/>
                <w:lang w:val="en-US" w:eastAsia="zh-CN"/>
              </w:rPr>
              <w:t>废过滤渣和废过滤网</w:t>
            </w:r>
          </w:p>
        </w:tc>
        <w:tc>
          <w:tcPr>
            <w:tcW w:w="1074" w:type="pct"/>
            <w:tcBorders>
              <w:tl2br w:val="nil"/>
              <w:tr2bl w:val="nil"/>
            </w:tcBorders>
            <w:shd w:val="clear" w:color="auto" w:fill="auto"/>
            <w:vAlign w:val="center"/>
          </w:tcPr>
          <w:p w14:paraId="324DCC8A">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0.05</w:t>
            </w:r>
          </w:p>
        </w:tc>
      </w:tr>
      <w:tr w14:paraId="581E32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12" w:type="pct"/>
            <w:vMerge w:val="continue"/>
            <w:tcBorders>
              <w:tl2br w:val="nil"/>
              <w:tr2bl w:val="nil"/>
            </w:tcBorders>
            <w:shd w:val="clear" w:color="auto" w:fill="auto"/>
            <w:vAlign w:val="center"/>
          </w:tcPr>
          <w:p w14:paraId="11C2767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w w:val="100"/>
                <w:position w:val="0"/>
                <w:sz w:val="21"/>
                <w:szCs w:val="21"/>
              </w:rPr>
            </w:pPr>
          </w:p>
        </w:tc>
        <w:tc>
          <w:tcPr>
            <w:tcW w:w="3012" w:type="pct"/>
            <w:gridSpan w:val="2"/>
            <w:tcBorders>
              <w:tl2br w:val="nil"/>
              <w:tr2bl w:val="nil"/>
            </w:tcBorders>
            <w:shd w:val="clear" w:color="auto" w:fill="auto"/>
            <w:vAlign w:val="center"/>
          </w:tcPr>
          <w:p w14:paraId="5517A509">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边角料</w:t>
            </w:r>
          </w:p>
        </w:tc>
        <w:tc>
          <w:tcPr>
            <w:tcW w:w="1074" w:type="pct"/>
            <w:tcBorders>
              <w:tl2br w:val="nil"/>
              <w:tr2bl w:val="nil"/>
            </w:tcBorders>
            <w:shd w:val="clear" w:color="auto" w:fill="auto"/>
            <w:vAlign w:val="center"/>
          </w:tcPr>
          <w:p w14:paraId="27CEEAB8">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3.694</w:t>
            </w:r>
          </w:p>
        </w:tc>
      </w:tr>
      <w:tr w14:paraId="1FA748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12" w:type="pct"/>
            <w:vMerge w:val="continue"/>
            <w:tcBorders>
              <w:tl2br w:val="nil"/>
              <w:tr2bl w:val="nil"/>
            </w:tcBorders>
            <w:shd w:val="clear" w:color="auto" w:fill="auto"/>
            <w:vAlign w:val="center"/>
          </w:tcPr>
          <w:p w14:paraId="6CA110D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w w:val="100"/>
                <w:position w:val="0"/>
                <w:sz w:val="21"/>
                <w:szCs w:val="21"/>
              </w:rPr>
            </w:pPr>
          </w:p>
        </w:tc>
        <w:tc>
          <w:tcPr>
            <w:tcW w:w="3012" w:type="pct"/>
            <w:gridSpan w:val="2"/>
            <w:tcBorders>
              <w:tl2br w:val="nil"/>
              <w:tr2bl w:val="nil"/>
            </w:tcBorders>
            <w:shd w:val="clear" w:color="auto" w:fill="auto"/>
            <w:vAlign w:val="center"/>
          </w:tcPr>
          <w:p w14:paraId="48290260">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除尘器收集粉尘</w:t>
            </w:r>
          </w:p>
        </w:tc>
        <w:tc>
          <w:tcPr>
            <w:tcW w:w="1074" w:type="pct"/>
            <w:tcBorders>
              <w:tl2br w:val="nil"/>
              <w:tr2bl w:val="nil"/>
            </w:tcBorders>
            <w:shd w:val="clear" w:color="auto" w:fill="auto"/>
            <w:vAlign w:val="center"/>
          </w:tcPr>
          <w:p w14:paraId="70AE4DE6">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20.76</w:t>
            </w:r>
          </w:p>
        </w:tc>
      </w:tr>
      <w:tr w14:paraId="0B7825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12" w:type="pct"/>
            <w:vMerge w:val="continue"/>
            <w:tcBorders>
              <w:tl2br w:val="nil"/>
              <w:tr2bl w:val="nil"/>
            </w:tcBorders>
            <w:shd w:val="clear" w:color="auto" w:fill="auto"/>
            <w:vAlign w:val="center"/>
          </w:tcPr>
          <w:p w14:paraId="5D9A4E3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w w:val="100"/>
                <w:position w:val="0"/>
                <w:sz w:val="21"/>
                <w:szCs w:val="21"/>
              </w:rPr>
            </w:pPr>
          </w:p>
        </w:tc>
        <w:tc>
          <w:tcPr>
            <w:tcW w:w="3012" w:type="pct"/>
            <w:gridSpan w:val="2"/>
            <w:tcBorders>
              <w:tl2br w:val="nil"/>
              <w:tr2bl w:val="nil"/>
            </w:tcBorders>
            <w:shd w:val="clear" w:color="auto" w:fill="auto"/>
            <w:vAlign w:val="center"/>
          </w:tcPr>
          <w:p w14:paraId="7D409FFB">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废布袋</w:t>
            </w:r>
          </w:p>
        </w:tc>
        <w:tc>
          <w:tcPr>
            <w:tcW w:w="1074" w:type="pct"/>
            <w:tcBorders>
              <w:tl2br w:val="nil"/>
              <w:tr2bl w:val="nil"/>
            </w:tcBorders>
            <w:shd w:val="clear" w:color="auto" w:fill="auto"/>
            <w:vAlign w:val="center"/>
          </w:tcPr>
          <w:p w14:paraId="0AAD8E95">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0.9</w:t>
            </w:r>
          </w:p>
        </w:tc>
      </w:tr>
      <w:tr w14:paraId="1CAD18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12" w:type="pct"/>
            <w:tcBorders>
              <w:tl2br w:val="nil"/>
              <w:tr2bl w:val="nil"/>
            </w:tcBorders>
            <w:shd w:val="clear" w:color="auto" w:fill="auto"/>
            <w:vAlign w:val="center"/>
          </w:tcPr>
          <w:p w14:paraId="02DD7C0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生活垃圾</w:t>
            </w:r>
          </w:p>
        </w:tc>
        <w:tc>
          <w:tcPr>
            <w:tcW w:w="3012" w:type="pct"/>
            <w:gridSpan w:val="2"/>
            <w:tcBorders>
              <w:tl2br w:val="nil"/>
              <w:tr2bl w:val="nil"/>
            </w:tcBorders>
            <w:shd w:val="clear" w:color="auto" w:fill="auto"/>
            <w:vAlign w:val="center"/>
          </w:tcPr>
          <w:p w14:paraId="34CB04B5">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生活垃圾</w:t>
            </w:r>
          </w:p>
        </w:tc>
        <w:tc>
          <w:tcPr>
            <w:tcW w:w="1074" w:type="pct"/>
            <w:tcBorders>
              <w:tl2br w:val="nil"/>
              <w:tr2bl w:val="nil"/>
            </w:tcBorders>
            <w:shd w:val="clear" w:color="auto" w:fill="auto"/>
            <w:vAlign w:val="center"/>
          </w:tcPr>
          <w:p w14:paraId="33DE05FC">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cs="Times New Roman"/>
                <w:color w:val="auto"/>
                <w:spacing w:val="0"/>
                <w:w w:val="100"/>
                <w:kern w:val="0"/>
                <w:position w:val="0"/>
                <w:sz w:val="21"/>
                <w:szCs w:val="21"/>
                <w:lang w:val="en-US" w:eastAsia="zh-CN" w:bidi="ar"/>
              </w:rPr>
              <w:t>10.038</w:t>
            </w:r>
          </w:p>
        </w:tc>
      </w:tr>
      <w:tr w14:paraId="4A7509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12" w:type="pct"/>
            <w:vMerge w:val="restart"/>
            <w:tcBorders>
              <w:tl2br w:val="nil"/>
              <w:tr2bl w:val="nil"/>
            </w:tcBorders>
            <w:shd w:val="clear" w:color="auto" w:fill="auto"/>
            <w:vAlign w:val="center"/>
          </w:tcPr>
          <w:p w14:paraId="56ED69F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aps w:val="0"/>
                <w:color w:val="auto"/>
                <w:spacing w:val="0"/>
                <w:w w:val="100"/>
                <w:kern w:val="21"/>
                <w:position w:val="0"/>
                <w:sz w:val="21"/>
                <w:szCs w:val="21"/>
              </w:rPr>
            </w:pPr>
            <w:r>
              <w:rPr>
                <w:rFonts w:hint="default" w:ascii="Times New Roman" w:hAnsi="Times New Roman" w:eastAsia="宋体" w:cs="Times New Roman"/>
                <w:caps w:val="0"/>
                <w:color w:val="auto"/>
                <w:spacing w:val="0"/>
                <w:w w:val="100"/>
                <w:kern w:val="21"/>
                <w:position w:val="0"/>
                <w:sz w:val="21"/>
                <w:szCs w:val="21"/>
                <w:lang w:val="en-US" w:eastAsia="zh-CN" w:bidi="ar"/>
              </w:rPr>
              <w:t>危险废物</w:t>
            </w:r>
          </w:p>
        </w:tc>
        <w:tc>
          <w:tcPr>
            <w:tcW w:w="3012" w:type="pct"/>
            <w:gridSpan w:val="2"/>
            <w:tcBorders>
              <w:tl2br w:val="nil"/>
              <w:tr2bl w:val="nil"/>
            </w:tcBorders>
            <w:shd w:val="clear" w:color="auto" w:fill="auto"/>
            <w:vAlign w:val="center"/>
          </w:tcPr>
          <w:p w14:paraId="77832905">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
              </w:rPr>
              <w:t>沾油废手套、抹布</w:t>
            </w:r>
          </w:p>
        </w:tc>
        <w:tc>
          <w:tcPr>
            <w:tcW w:w="1074" w:type="pct"/>
            <w:tcBorders>
              <w:tl2br w:val="nil"/>
              <w:tr2bl w:val="nil"/>
            </w:tcBorders>
            <w:shd w:val="clear" w:color="auto" w:fill="auto"/>
            <w:vAlign w:val="center"/>
          </w:tcPr>
          <w:p w14:paraId="23156370">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cs="Times New Roman"/>
                <w:color w:val="auto"/>
                <w:spacing w:val="0"/>
                <w:w w:val="100"/>
                <w:kern w:val="0"/>
                <w:position w:val="0"/>
                <w:sz w:val="21"/>
                <w:szCs w:val="21"/>
                <w:lang w:val="en-US" w:eastAsia="zh-CN" w:bidi="ar"/>
              </w:rPr>
              <w:t>0.01</w:t>
            </w:r>
          </w:p>
        </w:tc>
      </w:tr>
      <w:tr w14:paraId="7AFD5F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12" w:type="pct"/>
            <w:vMerge w:val="continue"/>
            <w:tcBorders>
              <w:tl2br w:val="nil"/>
              <w:tr2bl w:val="nil"/>
            </w:tcBorders>
            <w:shd w:val="clear" w:color="auto" w:fill="auto"/>
            <w:vAlign w:val="center"/>
          </w:tcPr>
          <w:p w14:paraId="04DC059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w w:val="100"/>
                <w:position w:val="0"/>
                <w:sz w:val="21"/>
                <w:szCs w:val="21"/>
              </w:rPr>
            </w:pPr>
          </w:p>
        </w:tc>
        <w:tc>
          <w:tcPr>
            <w:tcW w:w="3012" w:type="pct"/>
            <w:gridSpan w:val="2"/>
            <w:tcBorders>
              <w:tl2br w:val="nil"/>
              <w:tr2bl w:val="nil"/>
            </w:tcBorders>
            <w:shd w:val="clear" w:color="auto" w:fill="auto"/>
            <w:vAlign w:val="center"/>
          </w:tcPr>
          <w:p w14:paraId="05DFB2B7">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
              </w:rPr>
              <w:t>废机油</w:t>
            </w:r>
          </w:p>
        </w:tc>
        <w:tc>
          <w:tcPr>
            <w:tcW w:w="1074" w:type="pct"/>
            <w:tcBorders>
              <w:tl2br w:val="nil"/>
              <w:tr2bl w:val="nil"/>
            </w:tcBorders>
            <w:shd w:val="clear" w:color="auto" w:fill="auto"/>
            <w:vAlign w:val="center"/>
          </w:tcPr>
          <w:p w14:paraId="2D2FA279">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
              </w:rPr>
              <w:t>0.1</w:t>
            </w:r>
          </w:p>
        </w:tc>
      </w:tr>
      <w:tr w14:paraId="2F2FCB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57" w:type="dxa"/>
            <w:left w:w="57" w:type="dxa"/>
            <w:bottom w:w="57" w:type="dxa"/>
            <w:right w:w="57" w:type="dxa"/>
          </w:tblCellMar>
        </w:tblPrEx>
        <w:trPr>
          <w:trHeight w:val="0" w:hRule="atLeast"/>
          <w:jc w:val="center"/>
        </w:trPr>
        <w:tc>
          <w:tcPr>
            <w:tcW w:w="912" w:type="pct"/>
            <w:vMerge w:val="continue"/>
            <w:tcBorders>
              <w:tl2br w:val="nil"/>
              <w:tr2bl w:val="nil"/>
            </w:tcBorders>
            <w:shd w:val="clear" w:color="auto" w:fill="auto"/>
            <w:vAlign w:val="center"/>
          </w:tcPr>
          <w:p w14:paraId="4BE15845">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w w:val="100"/>
                <w:position w:val="0"/>
                <w:sz w:val="21"/>
                <w:szCs w:val="21"/>
              </w:rPr>
            </w:pPr>
          </w:p>
        </w:tc>
        <w:tc>
          <w:tcPr>
            <w:tcW w:w="3012" w:type="pct"/>
            <w:gridSpan w:val="2"/>
            <w:tcBorders>
              <w:tl2br w:val="nil"/>
              <w:tr2bl w:val="nil"/>
            </w:tcBorders>
            <w:shd w:val="clear" w:color="auto" w:fill="auto"/>
            <w:vAlign w:val="center"/>
          </w:tcPr>
          <w:p w14:paraId="769F47E8">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
              </w:rPr>
              <w:t>废机油桶</w:t>
            </w:r>
          </w:p>
        </w:tc>
        <w:tc>
          <w:tcPr>
            <w:tcW w:w="1074" w:type="pct"/>
            <w:tcBorders>
              <w:tl2br w:val="nil"/>
              <w:tr2bl w:val="nil"/>
            </w:tcBorders>
            <w:shd w:val="clear" w:color="auto" w:fill="auto"/>
            <w:vAlign w:val="center"/>
          </w:tcPr>
          <w:p w14:paraId="0B4A5028">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
              </w:rPr>
              <w:t>0.01</w:t>
            </w:r>
          </w:p>
        </w:tc>
      </w:tr>
      <w:tr w14:paraId="09EADE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12" w:type="pct"/>
            <w:vMerge w:val="continue"/>
            <w:tcBorders>
              <w:tl2br w:val="nil"/>
              <w:tr2bl w:val="nil"/>
            </w:tcBorders>
            <w:shd w:val="clear" w:color="auto" w:fill="auto"/>
            <w:vAlign w:val="center"/>
          </w:tcPr>
          <w:p w14:paraId="30F9706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w w:val="100"/>
                <w:position w:val="0"/>
                <w:sz w:val="21"/>
                <w:szCs w:val="21"/>
              </w:rPr>
            </w:pPr>
          </w:p>
        </w:tc>
        <w:tc>
          <w:tcPr>
            <w:tcW w:w="3012" w:type="pct"/>
            <w:gridSpan w:val="2"/>
            <w:tcBorders>
              <w:tl2br w:val="nil"/>
              <w:tr2bl w:val="nil"/>
            </w:tcBorders>
            <w:shd w:val="clear" w:color="auto" w:fill="auto"/>
            <w:vAlign w:val="center"/>
          </w:tcPr>
          <w:p w14:paraId="7245677B">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废催化剂</w:t>
            </w:r>
          </w:p>
        </w:tc>
        <w:tc>
          <w:tcPr>
            <w:tcW w:w="1074" w:type="pct"/>
            <w:tcBorders>
              <w:tl2br w:val="nil"/>
              <w:tr2bl w:val="nil"/>
            </w:tcBorders>
            <w:shd w:val="clear" w:color="auto" w:fill="auto"/>
            <w:vAlign w:val="center"/>
          </w:tcPr>
          <w:p w14:paraId="329EBCCB">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eastAsia" w:ascii="Times New Roman" w:hAnsi="Times New Roman" w:cs="Times New Roman"/>
                <w:color w:val="auto"/>
                <w:spacing w:val="0"/>
                <w:w w:val="100"/>
                <w:position w:val="0"/>
                <w:sz w:val="21"/>
                <w:szCs w:val="21"/>
                <w:highlight w:val="none"/>
                <w:lang w:val="en-US" w:eastAsia="zh-CN"/>
              </w:rPr>
              <w:t>0.5t/3a</w:t>
            </w:r>
          </w:p>
        </w:tc>
      </w:tr>
      <w:tr w14:paraId="249073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12" w:type="pct"/>
            <w:vMerge w:val="continue"/>
            <w:tcBorders>
              <w:tl2br w:val="nil"/>
              <w:tr2bl w:val="nil"/>
            </w:tcBorders>
            <w:shd w:val="clear" w:color="auto" w:fill="auto"/>
            <w:vAlign w:val="center"/>
          </w:tcPr>
          <w:p w14:paraId="2A1634D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w w:val="100"/>
                <w:position w:val="0"/>
                <w:sz w:val="21"/>
                <w:szCs w:val="21"/>
              </w:rPr>
            </w:pPr>
          </w:p>
        </w:tc>
        <w:tc>
          <w:tcPr>
            <w:tcW w:w="3012" w:type="pct"/>
            <w:gridSpan w:val="2"/>
            <w:tcBorders>
              <w:tl2br w:val="nil"/>
              <w:tr2bl w:val="nil"/>
            </w:tcBorders>
            <w:shd w:val="clear" w:color="auto" w:fill="auto"/>
            <w:vAlign w:val="center"/>
          </w:tcPr>
          <w:p w14:paraId="7F71C961">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r>
              <w:rPr>
                <w:rFonts w:hint="eastAsia" w:ascii="Times New Roman" w:hAnsi="Times New Roman" w:cs="Times New Roman"/>
                <w:color w:val="auto"/>
                <w:spacing w:val="0"/>
                <w:w w:val="100"/>
                <w:kern w:val="0"/>
                <w:position w:val="0"/>
                <w:sz w:val="21"/>
                <w:szCs w:val="21"/>
                <w:lang w:val="en-US" w:eastAsia="zh-CN" w:bidi="ar"/>
              </w:rPr>
              <w:t>废过滤棉</w:t>
            </w:r>
          </w:p>
        </w:tc>
        <w:tc>
          <w:tcPr>
            <w:tcW w:w="1074" w:type="pct"/>
            <w:tcBorders>
              <w:tl2br w:val="nil"/>
              <w:tr2bl w:val="nil"/>
            </w:tcBorders>
            <w:shd w:val="clear" w:color="auto" w:fill="auto"/>
            <w:vAlign w:val="center"/>
          </w:tcPr>
          <w:p w14:paraId="1FD81011">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position w:val="0"/>
                <w:sz w:val="21"/>
                <w:szCs w:val="21"/>
                <w:highlight w:val="none"/>
                <w:lang w:val="en-US" w:eastAsia="zh-CN"/>
              </w:rPr>
            </w:pPr>
            <w:r>
              <w:rPr>
                <w:rFonts w:hint="eastAsia" w:ascii="Times New Roman" w:hAnsi="Times New Roman" w:cs="Times New Roman"/>
                <w:color w:val="auto"/>
                <w:spacing w:val="0"/>
                <w:w w:val="100"/>
                <w:position w:val="0"/>
                <w:sz w:val="21"/>
                <w:szCs w:val="21"/>
                <w:highlight w:val="none"/>
                <w:lang w:val="en-US" w:eastAsia="zh-CN"/>
              </w:rPr>
              <w:t>0.5t/a</w:t>
            </w:r>
          </w:p>
        </w:tc>
      </w:tr>
      <w:tr w14:paraId="33C8E3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12" w:type="pct"/>
            <w:vMerge w:val="continue"/>
            <w:tcBorders>
              <w:tl2br w:val="nil"/>
              <w:tr2bl w:val="nil"/>
            </w:tcBorders>
            <w:shd w:val="clear" w:color="auto" w:fill="auto"/>
            <w:vAlign w:val="center"/>
          </w:tcPr>
          <w:p w14:paraId="79209F1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pacing w:val="0"/>
                <w:w w:val="100"/>
                <w:position w:val="0"/>
                <w:sz w:val="21"/>
                <w:szCs w:val="21"/>
              </w:rPr>
            </w:pPr>
          </w:p>
        </w:tc>
        <w:tc>
          <w:tcPr>
            <w:tcW w:w="3012" w:type="pct"/>
            <w:gridSpan w:val="2"/>
            <w:tcBorders>
              <w:tl2br w:val="nil"/>
              <w:tr2bl w:val="nil"/>
            </w:tcBorders>
            <w:shd w:val="clear" w:color="auto" w:fill="auto"/>
            <w:vAlign w:val="center"/>
          </w:tcPr>
          <w:p w14:paraId="7CB99267">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废活性炭</w:t>
            </w:r>
          </w:p>
        </w:tc>
        <w:tc>
          <w:tcPr>
            <w:tcW w:w="1074" w:type="pct"/>
            <w:tcBorders>
              <w:tl2br w:val="nil"/>
              <w:tr2bl w:val="nil"/>
            </w:tcBorders>
            <w:shd w:val="clear" w:color="auto" w:fill="auto"/>
            <w:vAlign w:val="center"/>
          </w:tcPr>
          <w:p w14:paraId="5E7107C1">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2"/>
                <w:position w:val="0"/>
                <w:sz w:val="21"/>
                <w:szCs w:val="21"/>
                <w:highlight w:val="none"/>
                <w:lang w:val="en-US" w:eastAsia="zh-CN" w:bidi="ar-SA"/>
              </w:rPr>
            </w:pPr>
            <w:r>
              <w:rPr>
                <w:rFonts w:hint="eastAsia" w:ascii="Times New Roman" w:hAnsi="Times New Roman" w:cs="Times New Roman"/>
                <w:color w:val="auto"/>
                <w:spacing w:val="0"/>
                <w:w w:val="100"/>
                <w:position w:val="0"/>
                <w:sz w:val="21"/>
                <w:szCs w:val="21"/>
                <w:highlight w:val="none"/>
                <w:lang w:val="en-US" w:eastAsia="zh-CN"/>
              </w:rPr>
              <w:t>2.5</w:t>
            </w:r>
          </w:p>
        </w:tc>
      </w:tr>
    </w:tbl>
    <w:p w14:paraId="28B40EF9">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243" w:name="_Toc25844"/>
      <w:r>
        <w:rPr>
          <w:rFonts w:hint="eastAsia"/>
          <w:color w:val="auto"/>
          <w:spacing w:val="0"/>
          <w:w w:val="100"/>
          <w:position w:val="0"/>
          <w:highlight w:val="none"/>
          <w:lang w:val="en-US" w:eastAsia="zh"/>
        </w:rPr>
        <w:t>3</w:t>
      </w:r>
      <w:r>
        <w:rPr>
          <w:rFonts w:hint="eastAsia"/>
          <w:color w:val="auto"/>
          <w:spacing w:val="0"/>
          <w:w w:val="100"/>
          <w:position w:val="0"/>
          <w:highlight w:val="none"/>
          <w:lang w:val="en-US" w:eastAsia="zh-CN"/>
        </w:rPr>
        <w:t>.5</w:t>
      </w:r>
      <w:r>
        <w:rPr>
          <w:rFonts w:hint="default"/>
          <w:color w:val="auto"/>
          <w:spacing w:val="0"/>
          <w:w w:val="100"/>
          <w:position w:val="0"/>
          <w:highlight w:val="none"/>
          <w:lang w:val="en-US" w:eastAsia="zh-CN"/>
        </w:rPr>
        <w:t>总量控制</w:t>
      </w:r>
      <w:bookmarkEnd w:id="241"/>
      <w:bookmarkEnd w:id="243"/>
    </w:p>
    <w:p w14:paraId="7169BACF">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污染物总量控制是将某一区域作为一个完整体系，以实现环境质量目标为目的，确定区域内各类污染物的允许排放量，从而在保证实现环境质量目标的前提下促进区域经济的健康发展。“十四五”期间，国家继续实施主要污染物总量控制制度，将化学需氧量、氨氮、氮氧化物、挥发性有机物等主要污染物作为总量控制指标。</w:t>
      </w:r>
    </w:p>
    <w:p w14:paraId="5FCB5E65">
      <w:pPr>
        <w:keepNext w:val="0"/>
        <w:keepLines w:val="0"/>
        <w:pageBreakBefore w:val="0"/>
        <w:widowControl w:val="0"/>
        <w:kinsoku/>
        <w:wordWrap/>
        <w:overflowPunct/>
        <w:topLinePunct w:val="0"/>
        <w:autoSpaceDE/>
        <w:autoSpaceDN/>
        <w:bidi w:val="0"/>
        <w:adjustRightInd/>
        <w:snapToGrid/>
        <w:spacing w:line="490" w:lineRule="exact"/>
        <w:ind w:firstLine="480" w:firstLineChars="200"/>
        <w:jc w:val="both"/>
        <w:textAlignment w:val="auto"/>
        <w:rPr>
          <w:rFonts w:hint="default" w:ascii="Times New Roman" w:hAnsi="Times New Roman" w:eastAsia="宋体" w:cs="Times New Roman"/>
          <w:b w:val="0"/>
          <w:bCs w:val="0"/>
          <w:snapToGrid w:val="0"/>
          <w:color w:val="auto"/>
          <w:spacing w:val="0"/>
          <w:w w:val="100"/>
          <w:kern w:val="0"/>
          <w:position w:val="0"/>
          <w:sz w:val="24"/>
          <w:szCs w:val="24"/>
          <w:highlight w:val="none"/>
          <w:u w:val="none" w:color="auto"/>
          <w:lang w:val="en-US" w:eastAsia="zh-CN"/>
        </w:rPr>
      </w:pPr>
      <w:r>
        <w:rPr>
          <w:rFonts w:hint="default" w:ascii="Times New Roman" w:hAnsi="Times New Roman" w:eastAsia="宋体" w:cs="Times New Roman"/>
          <w:b w:val="0"/>
          <w:bCs w:val="0"/>
          <w:snapToGrid w:val="0"/>
          <w:color w:val="auto"/>
          <w:spacing w:val="0"/>
          <w:w w:val="100"/>
          <w:kern w:val="0"/>
          <w:position w:val="0"/>
          <w:sz w:val="24"/>
          <w:szCs w:val="24"/>
          <w:highlight w:val="none"/>
          <w:u w:val="none" w:color="auto"/>
          <w:lang w:val="en-US" w:eastAsia="zh-CN"/>
        </w:rPr>
        <w:t>（1）污染物总量控制因子</w:t>
      </w:r>
    </w:p>
    <w:p w14:paraId="196B88E7">
      <w:pPr>
        <w:pStyle w:val="11"/>
        <w:keepNext w:val="0"/>
        <w:keepLines w:val="0"/>
        <w:pageBreakBefore w:val="0"/>
        <w:widowControl w:val="0"/>
        <w:kinsoku/>
        <w:wordWrap/>
        <w:overflowPunct/>
        <w:topLinePunct w:val="0"/>
        <w:autoSpaceDE/>
        <w:autoSpaceDN/>
        <w:bidi w:val="0"/>
        <w:adjustRightInd/>
        <w:spacing w:after="0" w:line="360" w:lineRule="auto"/>
        <w:ind w:firstLine="480"/>
        <w:jc w:val="both"/>
        <w:textAlignment w:val="auto"/>
        <w:rPr>
          <w:color w:val="auto"/>
          <w:spacing w:val="0"/>
          <w:w w:val="100"/>
          <w:kern w:val="21"/>
          <w:position w:val="0"/>
          <w:sz w:val="24"/>
          <w:szCs w:val="24"/>
        </w:rPr>
      </w:pPr>
      <w:r>
        <w:rPr>
          <w:color w:val="auto"/>
          <w:spacing w:val="0"/>
          <w:w w:val="100"/>
          <w:kern w:val="21"/>
          <w:position w:val="0"/>
          <w:sz w:val="24"/>
          <w:szCs w:val="24"/>
        </w:rPr>
        <w:t>根据项目所在区域环境特征，结合项目污染物排放特征，建议本项目实施总量控制的大气污染物为挥发性有机废气；本项目无生产废水产生，生活污水最终依托</w:t>
      </w:r>
      <w:r>
        <w:rPr>
          <w:rFonts w:hint="eastAsia"/>
          <w:color w:val="auto"/>
          <w:spacing w:val="0"/>
          <w:w w:val="100"/>
          <w:kern w:val="21"/>
          <w:position w:val="0"/>
          <w:sz w:val="24"/>
          <w:szCs w:val="24"/>
          <w:lang w:eastAsia="zh-CN"/>
        </w:rPr>
        <w:t>阜西区污水处理厂</w:t>
      </w:r>
      <w:r>
        <w:rPr>
          <w:color w:val="auto"/>
          <w:spacing w:val="0"/>
          <w:w w:val="100"/>
          <w:kern w:val="21"/>
          <w:position w:val="0"/>
          <w:sz w:val="24"/>
          <w:szCs w:val="24"/>
        </w:rPr>
        <w:t>，其总量纳入</w:t>
      </w:r>
      <w:r>
        <w:rPr>
          <w:rFonts w:hint="eastAsia"/>
          <w:color w:val="auto"/>
          <w:spacing w:val="0"/>
          <w:w w:val="100"/>
          <w:kern w:val="21"/>
          <w:position w:val="0"/>
          <w:sz w:val="24"/>
          <w:szCs w:val="24"/>
          <w:lang w:eastAsia="zh-CN"/>
        </w:rPr>
        <w:t>阜西区污水处理厂</w:t>
      </w:r>
      <w:r>
        <w:rPr>
          <w:color w:val="auto"/>
          <w:spacing w:val="0"/>
          <w:w w:val="100"/>
          <w:kern w:val="21"/>
          <w:position w:val="0"/>
          <w:sz w:val="24"/>
          <w:szCs w:val="24"/>
        </w:rPr>
        <w:t>管理。因此，本项目不设废水污染物排放总量控制指标</w:t>
      </w:r>
      <w:r>
        <w:rPr>
          <w:rFonts w:hint="eastAsia"/>
          <w:color w:val="auto"/>
          <w:spacing w:val="0"/>
          <w:w w:val="100"/>
          <w:kern w:val="21"/>
          <w:position w:val="0"/>
          <w:sz w:val="24"/>
          <w:szCs w:val="24"/>
        </w:rPr>
        <w:t>。</w:t>
      </w:r>
    </w:p>
    <w:p w14:paraId="5885871E">
      <w:pPr>
        <w:keepNext w:val="0"/>
        <w:keepLines w:val="0"/>
        <w:pageBreakBefore w:val="0"/>
        <w:widowControl w:val="0"/>
        <w:numPr>
          <w:ilvl w:val="0"/>
          <w:numId w:val="0"/>
        </w:numPr>
        <w:kinsoku/>
        <w:wordWrap/>
        <w:overflowPunct/>
        <w:topLinePunct w:val="0"/>
        <w:autoSpaceDE/>
        <w:autoSpaceDN/>
        <w:bidi w:val="0"/>
        <w:adjustRightInd/>
        <w:snapToGrid/>
        <w:spacing w:line="490" w:lineRule="exact"/>
        <w:ind w:firstLine="480" w:firstLineChars="200"/>
        <w:jc w:val="both"/>
        <w:textAlignment w:val="auto"/>
        <w:rPr>
          <w:color w:val="auto"/>
          <w:spacing w:val="0"/>
          <w:w w:val="100"/>
          <w:position w:val="0"/>
          <w:highlight w:val="none"/>
        </w:rPr>
      </w:pPr>
      <w:r>
        <w:rPr>
          <w:rFonts w:ascii="Times New Roman" w:hAnsi="Times New Roman" w:eastAsia="宋体" w:cstheme="minorBidi"/>
          <w:color w:val="auto"/>
          <w:spacing w:val="0"/>
          <w:w w:val="100"/>
          <w:kern w:val="2"/>
          <w:position w:val="0"/>
          <w:sz w:val="24"/>
          <w:szCs w:val="24"/>
          <w:highlight w:val="none"/>
          <w:lang w:val="en-US" w:eastAsia="zh-CN" w:bidi="ar-SA"/>
        </w:rPr>
        <w:t>（2）</w:t>
      </w:r>
      <w:r>
        <w:rPr>
          <w:rFonts w:hint="default" w:ascii="Times New Roman" w:hAnsi="Times New Roman" w:eastAsia="宋体" w:cs="Times New Roman"/>
          <w:b w:val="0"/>
          <w:bCs w:val="0"/>
          <w:snapToGrid w:val="0"/>
          <w:color w:val="auto"/>
          <w:spacing w:val="0"/>
          <w:w w:val="100"/>
          <w:kern w:val="0"/>
          <w:position w:val="0"/>
          <w:sz w:val="24"/>
          <w:szCs w:val="24"/>
          <w:highlight w:val="none"/>
          <w:u w:val="none" w:color="auto"/>
          <w:lang w:val="en-US" w:eastAsia="zh-CN"/>
        </w:rPr>
        <w:t>总量控制分析</w:t>
      </w:r>
      <w:r>
        <w:rPr>
          <w:color w:val="auto"/>
          <w:spacing w:val="0"/>
          <w:w w:val="100"/>
          <w:position w:val="0"/>
          <w:highlight w:val="none"/>
        </w:rPr>
        <w:t>。</w:t>
      </w:r>
    </w:p>
    <w:p w14:paraId="58BB3797">
      <w:pPr>
        <w:pStyle w:val="11"/>
        <w:keepNext w:val="0"/>
        <w:keepLines w:val="0"/>
        <w:pageBreakBefore w:val="0"/>
        <w:widowControl w:val="0"/>
        <w:kinsoku/>
        <w:wordWrap/>
        <w:overflowPunct/>
        <w:topLinePunct w:val="0"/>
        <w:autoSpaceDE/>
        <w:autoSpaceDN/>
        <w:bidi w:val="0"/>
        <w:adjustRightInd/>
        <w:spacing w:after="0" w:line="360" w:lineRule="auto"/>
        <w:ind w:firstLine="480"/>
        <w:jc w:val="both"/>
        <w:textAlignment w:val="auto"/>
        <w:rPr>
          <w:color w:val="auto"/>
          <w:spacing w:val="0"/>
          <w:w w:val="100"/>
          <w:kern w:val="21"/>
          <w:position w:val="0"/>
          <w:sz w:val="24"/>
          <w:szCs w:val="24"/>
        </w:rPr>
      </w:pPr>
      <w:r>
        <w:rPr>
          <w:rFonts w:hint="eastAsia"/>
          <w:color w:val="auto"/>
          <w:spacing w:val="0"/>
          <w:w w:val="100"/>
          <w:kern w:val="21"/>
          <w:position w:val="0"/>
          <w:sz w:val="24"/>
          <w:szCs w:val="24"/>
          <w:lang w:val="en-US" w:eastAsia="zh-CN"/>
        </w:rPr>
        <w:t>经核算，</w:t>
      </w:r>
      <w:r>
        <w:rPr>
          <w:rFonts w:hint="eastAsia"/>
          <w:color w:val="auto"/>
          <w:spacing w:val="0"/>
          <w:w w:val="100"/>
          <w:kern w:val="21"/>
          <w:position w:val="0"/>
          <w:sz w:val="24"/>
          <w:szCs w:val="24"/>
        </w:rPr>
        <w:t>本次改建后，全厂</w:t>
      </w:r>
      <w:r>
        <w:rPr>
          <w:rFonts w:hint="eastAsia"/>
          <w:color w:val="auto"/>
          <w:spacing w:val="0"/>
          <w:w w:val="100"/>
          <w:kern w:val="21"/>
          <w:position w:val="0"/>
          <w:sz w:val="24"/>
          <w:szCs w:val="24"/>
          <w:lang w:val="en-US" w:eastAsia="zh-CN"/>
        </w:rPr>
        <w:t>有组织</w:t>
      </w:r>
      <w:r>
        <w:rPr>
          <w:rFonts w:hint="eastAsia"/>
          <w:color w:val="auto"/>
          <w:spacing w:val="0"/>
          <w:w w:val="100"/>
          <w:kern w:val="21"/>
          <w:position w:val="0"/>
          <w:sz w:val="24"/>
          <w:szCs w:val="24"/>
        </w:rPr>
        <w:t>颗粒物排放量为</w:t>
      </w:r>
      <w:r>
        <w:rPr>
          <w:rFonts w:hint="eastAsia"/>
          <w:color w:val="auto"/>
          <w:spacing w:val="0"/>
          <w:w w:val="100"/>
          <w:kern w:val="21"/>
          <w:position w:val="0"/>
          <w:sz w:val="24"/>
          <w:szCs w:val="24"/>
          <w:lang w:val="en-US" w:eastAsia="zh-CN"/>
        </w:rPr>
        <w:t>0.263t/a</w:t>
      </w:r>
      <w:r>
        <w:rPr>
          <w:rFonts w:hint="eastAsia"/>
          <w:color w:val="auto"/>
          <w:spacing w:val="0"/>
          <w:w w:val="100"/>
          <w:kern w:val="21"/>
          <w:position w:val="0"/>
          <w:sz w:val="24"/>
          <w:szCs w:val="24"/>
        </w:rPr>
        <w:t>，</w:t>
      </w:r>
      <w:r>
        <w:rPr>
          <w:rFonts w:hint="eastAsia"/>
          <w:color w:val="auto"/>
          <w:spacing w:val="0"/>
          <w:w w:val="100"/>
          <w:kern w:val="21"/>
          <w:position w:val="0"/>
          <w:sz w:val="24"/>
          <w:szCs w:val="24"/>
          <w:lang w:val="en-US" w:eastAsia="zh-CN"/>
        </w:rPr>
        <w:t>有组织</w:t>
      </w:r>
      <w:r>
        <w:rPr>
          <w:rFonts w:hint="eastAsia"/>
          <w:color w:val="auto"/>
          <w:spacing w:val="0"/>
          <w:w w:val="100"/>
          <w:kern w:val="21"/>
          <w:position w:val="0"/>
          <w:sz w:val="24"/>
          <w:szCs w:val="24"/>
        </w:rPr>
        <w:t>VOCs排放量为</w:t>
      </w:r>
      <w:r>
        <w:rPr>
          <w:rFonts w:hint="eastAsia"/>
          <w:color w:val="auto"/>
          <w:spacing w:val="0"/>
          <w:w w:val="100"/>
          <w:kern w:val="21"/>
          <w:position w:val="0"/>
          <w:sz w:val="24"/>
          <w:szCs w:val="24"/>
          <w:lang w:eastAsia="zh-CN"/>
        </w:rPr>
        <w:t>2.218t/a，</w:t>
      </w:r>
      <w:r>
        <w:rPr>
          <w:rFonts w:hint="eastAsia"/>
          <w:color w:val="auto"/>
          <w:spacing w:val="0"/>
          <w:w w:val="100"/>
          <w:kern w:val="21"/>
          <w:position w:val="0"/>
          <w:sz w:val="24"/>
          <w:szCs w:val="24"/>
        </w:rPr>
        <w:t>因此，</w:t>
      </w:r>
      <w:r>
        <w:rPr>
          <w:color w:val="auto"/>
          <w:spacing w:val="0"/>
          <w:w w:val="100"/>
          <w:kern w:val="21"/>
          <w:position w:val="0"/>
          <w:sz w:val="24"/>
          <w:szCs w:val="24"/>
        </w:rPr>
        <w:t>本项目总量控制建议指标为：</w:t>
      </w:r>
      <w:r>
        <w:rPr>
          <w:rFonts w:hint="eastAsia"/>
          <w:color w:val="auto"/>
          <w:spacing w:val="0"/>
          <w:w w:val="100"/>
          <w:kern w:val="21"/>
          <w:position w:val="0"/>
          <w:sz w:val="24"/>
          <w:szCs w:val="24"/>
        </w:rPr>
        <w:t>颗粒物：</w:t>
      </w:r>
      <w:r>
        <w:rPr>
          <w:rFonts w:hint="eastAsia"/>
          <w:color w:val="auto"/>
          <w:spacing w:val="0"/>
          <w:w w:val="100"/>
          <w:kern w:val="21"/>
          <w:position w:val="0"/>
          <w:sz w:val="24"/>
          <w:szCs w:val="24"/>
          <w:lang w:val="en-US" w:eastAsia="zh-CN"/>
        </w:rPr>
        <w:t>0.263t/a</w:t>
      </w:r>
      <w:r>
        <w:rPr>
          <w:rFonts w:hint="eastAsia"/>
          <w:color w:val="auto"/>
          <w:spacing w:val="0"/>
          <w:w w:val="100"/>
          <w:kern w:val="21"/>
          <w:position w:val="0"/>
          <w:sz w:val="24"/>
          <w:szCs w:val="24"/>
        </w:rPr>
        <w:t>，VOCs：</w:t>
      </w:r>
      <w:r>
        <w:rPr>
          <w:rFonts w:hint="eastAsia"/>
          <w:color w:val="auto"/>
          <w:spacing w:val="0"/>
          <w:w w:val="100"/>
          <w:kern w:val="21"/>
          <w:position w:val="0"/>
          <w:sz w:val="24"/>
          <w:szCs w:val="24"/>
          <w:lang w:val="en-US" w:eastAsia="zh-CN"/>
        </w:rPr>
        <w:t>2.218t/a</w:t>
      </w:r>
      <w:r>
        <w:rPr>
          <w:color w:val="auto"/>
          <w:spacing w:val="0"/>
          <w:w w:val="100"/>
          <w:kern w:val="21"/>
          <w:position w:val="0"/>
          <w:sz w:val="24"/>
          <w:szCs w:val="24"/>
        </w:rPr>
        <w:t>。</w:t>
      </w:r>
    </w:p>
    <w:p w14:paraId="0D62B944">
      <w:pPr>
        <w:keepNext w:val="0"/>
        <w:keepLines w:val="0"/>
        <w:pageBreakBefore w:val="0"/>
        <w:widowControl w:val="0"/>
        <w:kinsoku/>
        <w:wordWrap/>
        <w:overflowPunct/>
        <w:topLinePunct w:val="0"/>
        <w:autoSpaceDE/>
        <w:autoSpaceDN/>
        <w:bidi w:val="0"/>
        <w:adjustRightInd/>
        <w:snapToGrid/>
        <w:spacing w:line="490" w:lineRule="exact"/>
        <w:ind w:firstLine="480" w:firstLineChars="200"/>
        <w:jc w:val="both"/>
        <w:textAlignment w:val="auto"/>
        <w:rPr>
          <w:rFonts w:hint="default" w:ascii="Times New Roman" w:hAnsi="Times New Roman" w:eastAsia="宋体" w:cs="Times New Roman"/>
          <w:b w:val="0"/>
          <w:bCs w:val="0"/>
          <w:snapToGrid w:val="0"/>
          <w:color w:val="auto"/>
          <w:spacing w:val="0"/>
          <w:w w:val="100"/>
          <w:kern w:val="0"/>
          <w:position w:val="0"/>
          <w:sz w:val="24"/>
          <w:szCs w:val="24"/>
          <w:highlight w:val="none"/>
          <w:u w:val="none" w:color="auto"/>
          <w:lang w:val="en-US" w:eastAsia="zh-CN"/>
        </w:rPr>
      </w:pPr>
      <w:r>
        <w:rPr>
          <w:rFonts w:hint="default" w:ascii="Times New Roman" w:hAnsi="Times New Roman" w:eastAsia="宋体" w:cs="Times New Roman"/>
          <w:b w:val="0"/>
          <w:bCs w:val="0"/>
          <w:snapToGrid w:val="0"/>
          <w:color w:val="auto"/>
          <w:spacing w:val="0"/>
          <w:w w:val="100"/>
          <w:kern w:val="0"/>
          <w:position w:val="0"/>
          <w:sz w:val="24"/>
          <w:szCs w:val="24"/>
          <w:highlight w:val="none"/>
          <w:u w:val="none" w:color="auto"/>
          <w:lang w:val="en-US" w:eastAsia="zh-CN"/>
        </w:rPr>
        <w:t>（3）区域削减方案</w:t>
      </w:r>
    </w:p>
    <w:p w14:paraId="386815AC">
      <w:pPr>
        <w:keepNext w:val="0"/>
        <w:keepLines w:val="0"/>
        <w:pageBreakBefore w:val="0"/>
        <w:widowControl w:val="0"/>
        <w:kinsoku/>
        <w:wordWrap/>
        <w:overflowPunct/>
        <w:topLinePunct w:val="0"/>
        <w:autoSpaceDE/>
        <w:autoSpaceDN/>
        <w:bidi w:val="0"/>
        <w:adjustRightInd/>
        <w:snapToGrid/>
        <w:spacing w:line="490" w:lineRule="exact"/>
        <w:ind w:firstLine="480" w:firstLineChars="200"/>
        <w:jc w:val="both"/>
        <w:textAlignment w:val="auto"/>
        <w:rPr>
          <w:rFonts w:hint="default" w:ascii="Times New Roman" w:hAnsi="Times New Roman" w:eastAsia="宋体" w:cs="Times New Roman"/>
          <w:b w:val="0"/>
          <w:bCs w:val="0"/>
          <w:snapToGrid w:val="0"/>
          <w:color w:val="auto"/>
          <w:spacing w:val="0"/>
          <w:w w:val="100"/>
          <w:kern w:val="0"/>
          <w:position w:val="0"/>
          <w:sz w:val="24"/>
          <w:szCs w:val="24"/>
          <w:highlight w:val="none"/>
          <w:u w:val="none" w:color="auto"/>
          <w:lang w:val="en-US" w:eastAsia="zh-CN"/>
        </w:rPr>
      </w:pPr>
      <w:r>
        <w:rPr>
          <w:rFonts w:hint="default" w:ascii="Times New Roman" w:hAnsi="Times New Roman" w:eastAsia="宋体" w:cs="Times New Roman"/>
          <w:b w:val="0"/>
          <w:bCs w:val="0"/>
          <w:snapToGrid w:val="0"/>
          <w:color w:val="auto"/>
          <w:spacing w:val="0"/>
          <w:w w:val="100"/>
          <w:kern w:val="0"/>
          <w:position w:val="0"/>
          <w:sz w:val="24"/>
          <w:szCs w:val="24"/>
          <w:highlight w:val="none"/>
          <w:u w:val="none" w:color="auto"/>
          <w:lang w:val="en-US" w:eastAsia="zh-CN"/>
        </w:rPr>
        <w:t>根据《建设项目主要污染物排放总量控制指标审核及管理暂行办法》（环发〔2014〕197号文），“对于细颗粒物（PM</w:t>
      </w:r>
      <w:r>
        <w:rPr>
          <w:rFonts w:hint="default" w:ascii="Times New Roman" w:hAnsi="Times New Roman" w:eastAsia="宋体" w:cs="Times New Roman"/>
          <w:b w:val="0"/>
          <w:bCs w:val="0"/>
          <w:snapToGrid w:val="0"/>
          <w:color w:val="auto"/>
          <w:spacing w:val="0"/>
          <w:w w:val="100"/>
          <w:kern w:val="0"/>
          <w:position w:val="0"/>
          <w:sz w:val="24"/>
          <w:szCs w:val="24"/>
          <w:highlight w:val="none"/>
          <w:u w:val="none" w:color="auto"/>
          <w:vertAlign w:val="subscript"/>
          <w:lang w:val="en-US" w:eastAsia="zh-CN"/>
        </w:rPr>
        <w:t>2.5</w:t>
      </w:r>
      <w:r>
        <w:rPr>
          <w:rFonts w:hint="default" w:ascii="Times New Roman" w:hAnsi="Times New Roman" w:eastAsia="宋体" w:cs="Times New Roman"/>
          <w:b w:val="0"/>
          <w:bCs w:val="0"/>
          <w:snapToGrid w:val="0"/>
          <w:color w:val="auto"/>
          <w:spacing w:val="0"/>
          <w:w w:val="100"/>
          <w:kern w:val="0"/>
          <w:position w:val="0"/>
          <w:sz w:val="24"/>
          <w:szCs w:val="24"/>
          <w:highlight w:val="none"/>
          <w:u w:val="none" w:color="auto"/>
          <w:lang w:val="en-US" w:eastAsia="zh-CN"/>
        </w:rPr>
        <w:t>）年平均浓度不达标的城市，二氧化硫、氮氧化物、烟粉尘、挥发性有机物四项污染物均需进行2倍削减替代；地方有更严格倍量替代要求的，按照相关规定执行”。</w:t>
      </w:r>
    </w:p>
    <w:p w14:paraId="5348C52A">
      <w:pPr>
        <w:keepNext w:val="0"/>
        <w:keepLines w:val="0"/>
        <w:pageBreakBefore w:val="0"/>
        <w:widowControl w:val="0"/>
        <w:kinsoku/>
        <w:wordWrap/>
        <w:overflowPunct/>
        <w:topLinePunct w:val="0"/>
        <w:autoSpaceDE/>
        <w:autoSpaceDN/>
        <w:bidi w:val="0"/>
        <w:adjustRightInd/>
        <w:snapToGrid/>
        <w:spacing w:line="490" w:lineRule="exact"/>
        <w:ind w:firstLine="480" w:firstLineChars="200"/>
        <w:jc w:val="both"/>
        <w:textAlignment w:val="auto"/>
        <w:rPr>
          <w:rFonts w:hint="default" w:ascii="Times New Roman" w:hAnsi="Times New Roman" w:eastAsia="宋体" w:cs="Times New Roman"/>
          <w:b w:val="0"/>
          <w:bCs w:val="0"/>
          <w:snapToGrid w:val="0"/>
          <w:color w:val="auto"/>
          <w:spacing w:val="0"/>
          <w:w w:val="100"/>
          <w:kern w:val="0"/>
          <w:position w:val="0"/>
          <w:sz w:val="24"/>
          <w:szCs w:val="24"/>
          <w:highlight w:val="none"/>
          <w:u w:val="none" w:color="auto"/>
          <w:lang w:val="en-US" w:eastAsia="zh-CN"/>
        </w:rPr>
      </w:pPr>
      <w:r>
        <w:rPr>
          <w:rFonts w:hint="default" w:ascii="Times New Roman" w:hAnsi="Times New Roman" w:eastAsia="宋体" w:cs="Times New Roman"/>
          <w:b w:val="0"/>
          <w:bCs w:val="0"/>
          <w:snapToGrid w:val="0"/>
          <w:color w:val="auto"/>
          <w:spacing w:val="0"/>
          <w:w w:val="100"/>
          <w:kern w:val="0"/>
          <w:position w:val="0"/>
          <w:sz w:val="24"/>
          <w:szCs w:val="24"/>
          <w:highlight w:val="none"/>
          <w:u w:val="none" w:color="auto"/>
          <w:lang w:val="en-US" w:eastAsia="zh-CN"/>
        </w:rPr>
        <w:t>2023年5月22日，新疆维吾尔自治区人民政府办公厅、新疆生产建设兵团办公厅印发《关于进一步加强乌鲁木齐、昌吉、石河子、五家渠区域大气环境同防同治的意见》的通知（新政办发〔2023〕29号），通知中指出“加快推进产业布局调整，严格高耗能、高排放、低水平（“两高一低”）项目准入，严格落实国家产业规划、产业政策、“三线一单”、规划环评，以及产能置换、煤炭消费减量替代、区域污染物削减等要求”。</w:t>
      </w:r>
    </w:p>
    <w:p w14:paraId="23AE7D32">
      <w:pPr>
        <w:keepNext w:val="0"/>
        <w:keepLines w:val="0"/>
        <w:pageBreakBefore w:val="0"/>
        <w:widowControl w:val="0"/>
        <w:kinsoku/>
        <w:wordWrap/>
        <w:overflowPunct/>
        <w:topLinePunct w:val="0"/>
        <w:autoSpaceDE/>
        <w:autoSpaceDN/>
        <w:bidi w:val="0"/>
        <w:adjustRightInd/>
        <w:snapToGrid/>
        <w:spacing w:line="490" w:lineRule="exact"/>
        <w:ind w:firstLine="480" w:firstLineChars="200"/>
        <w:jc w:val="both"/>
        <w:textAlignment w:val="auto"/>
        <w:rPr>
          <w:rFonts w:hint="eastAsia" w:ascii="Times New Roman" w:hAnsi="Times New Roman" w:eastAsia="宋体" w:cs="Times New Roman"/>
          <w:b w:val="0"/>
          <w:bCs w:val="0"/>
          <w:snapToGrid w:val="0"/>
          <w:color w:val="auto"/>
          <w:spacing w:val="0"/>
          <w:w w:val="100"/>
          <w:kern w:val="0"/>
          <w:position w:val="0"/>
          <w:sz w:val="24"/>
          <w:szCs w:val="24"/>
          <w:highlight w:val="none"/>
          <w:u w:val="none" w:color="auto"/>
          <w:lang w:val="en-US" w:eastAsia="zh-CN"/>
        </w:rPr>
      </w:pPr>
      <w:r>
        <w:rPr>
          <w:rFonts w:hint="default" w:ascii="Times New Roman" w:hAnsi="Times New Roman" w:eastAsia="宋体" w:cs="Times New Roman"/>
          <w:b w:val="0"/>
          <w:bCs w:val="0"/>
          <w:snapToGrid w:val="0"/>
          <w:color w:val="auto"/>
          <w:spacing w:val="0"/>
          <w:w w:val="100"/>
          <w:kern w:val="0"/>
          <w:position w:val="0"/>
          <w:sz w:val="24"/>
          <w:szCs w:val="24"/>
          <w:highlight w:val="none"/>
          <w:u w:val="none" w:color="auto"/>
          <w:lang w:val="en-US" w:eastAsia="zh-CN"/>
        </w:rPr>
        <w:t>鉴于项目位于“乌鲁木齐－昌吉－石河子-五家渠”同防同治区域内，且属于不达标区，因此本项目排放的挥发性有机废气须执行倍量削减替代要求。区域削减替代量计算结果为：</w:t>
      </w:r>
      <w:r>
        <w:rPr>
          <w:rFonts w:hint="eastAsia"/>
          <w:color w:val="auto"/>
          <w:spacing w:val="0"/>
          <w:w w:val="100"/>
          <w:position w:val="0"/>
          <w:highlight w:val="none"/>
        </w:rPr>
        <w:t>颗粒物为</w:t>
      </w:r>
      <w:r>
        <w:rPr>
          <w:rFonts w:hint="eastAsia"/>
          <w:color w:val="auto"/>
          <w:spacing w:val="0"/>
          <w:w w:val="100"/>
          <w:position w:val="0"/>
          <w:highlight w:val="none"/>
          <w:lang w:val="en-US" w:eastAsia="zh-CN"/>
        </w:rPr>
        <w:t>0.526t/a</w:t>
      </w:r>
      <w:r>
        <w:rPr>
          <w:rFonts w:hint="eastAsia"/>
          <w:color w:val="auto"/>
          <w:spacing w:val="0"/>
          <w:w w:val="100"/>
          <w:position w:val="0"/>
          <w:highlight w:val="none"/>
        </w:rPr>
        <w:t>，</w:t>
      </w:r>
      <w:r>
        <w:rPr>
          <w:color w:val="auto"/>
          <w:spacing w:val="0"/>
          <w:w w:val="100"/>
          <w:position w:val="0"/>
          <w:highlight w:val="none"/>
        </w:rPr>
        <w:t>VOCs为</w:t>
      </w:r>
      <w:r>
        <w:rPr>
          <w:rFonts w:hint="eastAsia"/>
          <w:color w:val="auto"/>
          <w:spacing w:val="0"/>
          <w:w w:val="100"/>
          <w:position w:val="0"/>
          <w:highlight w:val="none"/>
          <w:lang w:val="en-US" w:eastAsia="zh-CN"/>
        </w:rPr>
        <w:t>4.436t/a</w:t>
      </w:r>
      <w:r>
        <w:rPr>
          <w:rFonts w:hint="default" w:ascii="Times New Roman" w:hAnsi="Times New Roman" w:eastAsia="宋体" w:cs="Times New Roman"/>
          <w:b w:val="0"/>
          <w:bCs w:val="0"/>
          <w:snapToGrid w:val="0"/>
          <w:color w:val="auto"/>
          <w:spacing w:val="0"/>
          <w:w w:val="100"/>
          <w:kern w:val="0"/>
          <w:position w:val="0"/>
          <w:sz w:val="24"/>
          <w:szCs w:val="24"/>
          <w:highlight w:val="none"/>
          <w:u w:val="none" w:color="auto"/>
          <w:lang w:val="en-US" w:eastAsia="zh-CN"/>
        </w:rPr>
        <w:t>。</w:t>
      </w:r>
    </w:p>
    <w:p w14:paraId="2B4E00D1">
      <w:pPr>
        <w:keepNext w:val="0"/>
        <w:keepLines w:val="0"/>
        <w:pageBreakBefore w:val="0"/>
        <w:widowControl w:val="0"/>
        <w:kinsoku/>
        <w:wordWrap/>
        <w:overflowPunct/>
        <w:topLinePunct w:val="0"/>
        <w:autoSpaceDE/>
        <w:autoSpaceDN/>
        <w:bidi w:val="0"/>
        <w:adjustRightInd/>
        <w:snapToGrid/>
        <w:spacing w:line="490" w:lineRule="exact"/>
        <w:ind w:firstLine="480" w:firstLineChars="200"/>
        <w:jc w:val="both"/>
        <w:textAlignment w:val="auto"/>
        <w:rPr>
          <w:rFonts w:hint="default" w:ascii="Times New Roman" w:hAnsi="Times New Roman" w:eastAsia="宋体" w:cs="Times New Roman"/>
          <w:color w:val="auto"/>
          <w:spacing w:val="0"/>
          <w:w w:val="100"/>
          <w:position w:val="0"/>
          <w:sz w:val="30"/>
          <w:szCs w:val="30"/>
          <w:highlight w:val="none"/>
          <w:u w:val="none" w:color="auto"/>
        </w:rPr>
      </w:pPr>
      <w:r>
        <w:rPr>
          <w:rFonts w:hint="default" w:ascii="Times New Roman" w:hAnsi="Times New Roman" w:eastAsia="宋体" w:cs="Times New Roman"/>
          <w:b w:val="0"/>
          <w:bCs w:val="0"/>
          <w:snapToGrid w:val="0"/>
          <w:color w:val="auto"/>
          <w:spacing w:val="0"/>
          <w:w w:val="100"/>
          <w:kern w:val="0"/>
          <w:position w:val="0"/>
          <w:sz w:val="24"/>
          <w:szCs w:val="24"/>
          <w:highlight w:val="none"/>
          <w:u w:val="none" w:color="auto"/>
          <w:lang w:val="en-US" w:eastAsia="zh-CN"/>
        </w:rPr>
        <w:t>本项目总量指标由建设单位向当地生态环境主管部门申请，倍量替代来源通过所在区域内关停企业减排量中进行调剂。</w:t>
      </w:r>
    </w:p>
    <w:p w14:paraId="2518FF50">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eastAsia="zh-CN"/>
        </w:rPr>
      </w:pPr>
      <w:bookmarkStart w:id="244" w:name="_Toc25956"/>
      <w:bookmarkStart w:id="245" w:name="_Toc23917"/>
      <w:bookmarkStart w:id="246" w:name="_Toc11289"/>
      <w:r>
        <w:rPr>
          <w:rFonts w:hint="default"/>
          <w:color w:val="auto"/>
          <w:spacing w:val="0"/>
          <w:w w:val="100"/>
          <w:position w:val="0"/>
          <w:highlight w:val="none"/>
          <w:lang w:val="en-US" w:eastAsia="zh-CN"/>
        </w:rPr>
        <w:t>3.</w:t>
      </w:r>
      <w:r>
        <w:rPr>
          <w:rFonts w:hint="eastAsia"/>
          <w:color w:val="auto"/>
          <w:spacing w:val="0"/>
          <w:w w:val="100"/>
          <w:position w:val="0"/>
          <w:highlight w:val="none"/>
          <w:lang w:val="en-US" w:eastAsia="zh-CN"/>
        </w:rPr>
        <w:t>6</w:t>
      </w:r>
      <w:r>
        <w:rPr>
          <w:rFonts w:hint="default"/>
          <w:color w:val="auto"/>
          <w:spacing w:val="0"/>
          <w:w w:val="100"/>
          <w:position w:val="0"/>
          <w:highlight w:val="none"/>
          <w:lang w:val="en-US" w:eastAsia="zh-CN"/>
        </w:rPr>
        <w:t>清洁生产分析</w:t>
      </w:r>
      <w:bookmarkEnd w:id="244"/>
      <w:bookmarkEnd w:id="245"/>
      <w:bookmarkEnd w:id="246"/>
    </w:p>
    <w:p w14:paraId="68A3A1A9">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247" w:name="_Toc30249"/>
      <w:r>
        <w:rPr>
          <w:rFonts w:hint="default"/>
          <w:color w:val="auto"/>
          <w:spacing w:val="0"/>
          <w:w w:val="100"/>
          <w:position w:val="0"/>
          <w:highlight w:val="none"/>
          <w:lang w:val="en-US" w:eastAsia="zh-CN"/>
        </w:rPr>
        <w:t>3.</w:t>
      </w:r>
      <w:r>
        <w:rPr>
          <w:rFonts w:hint="eastAsia"/>
          <w:color w:val="auto"/>
          <w:spacing w:val="0"/>
          <w:w w:val="100"/>
          <w:position w:val="0"/>
          <w:highlight w:val="none"/>
          <w:lang w:val="en-US" w:eastAsia="zh-CN"/>
        </w:rPr>
        <w:t>6</w:t>
      </w:r>
      <w:r>
        <w:rPr>
          <w:rFonts w:hint="default"/>
          <w:color w:val="auto"/>
          <w:spacing w:val="0"/>
          <w:w w:val="100"/>
          <w:position w:val="0"/>
          <w:highlight w:val="none"/>
          <w:lang w:val="en-US" w:eastAsia="zh-CN"/>
        </w:rPr>
        <w:t>.1清洁生产指标分析</w:t>
      </w:r>
    </w:p>
    <w:p w14:paraId="41A28EDD">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本次评价依据《清洁生产审计指南》等制度要求，针对项目特点对该项目的清洁生产工艺分析，将从项目的原材料、工艺和设备先进性、资源能源利用、减少污染物排放等方面进行分析。</w:t>
      </w:r>
    </w:p>
    <w:p w14:paraId="522A97B7">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清洁生产作为一种新的污染预防策略，其根本思想在于资源消耗、污染影响最小化，它的实施可以减少生产过程原材料的消耗，同时降低污染物的产生量，使生产发展与环境保护相互协调。根据《中华人民共和国清洁生产促进法》，“清洁生产 ”指的是不断采取改进设计、使用清洁的能源和原料、采用先进工艺技术与设备、改善管理、综合利用等措施，从源头削减污染，提高资源利用效率，减少或者避免生产、服务和产品使用过程中污染物的产生和排放，以减轻或者消除对人类健康和环境的危害。实行清洁生产可实现合理利用资源，减缓资源的枯竭，节水、节能、省料，并且在生产过程中，消减甚至消除废物和污染物的产生和排放，促进工业产品生产和产品消费过程与环境相容，减少在产品整个生命周期内对人类和环境的危害。</w:t>
      </w:r>
    </w:p>
    <w:p w14:paraId="1D6B2DEF">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本次评价对照《塑料制品行业清洁生产评价指标体系》（T/GDES56-2021）对本项目清洁生产水平进行定性分析评价。</w:t>
      </w:r>
    </w:p>
    <w:p w14:paraId="4EAA9F1A">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1生产工艺及设备要求（权重0.25）</w:t>
      </w:r>
    </w:p>
    <w:p w14:paraId="6AE6C54A">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（1）挤出（权重0.4）</w:t>
      </w:r>
    </w:p>
    <w:p w14:paraId="3054ECDC">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本项目挤出</w:t>
      </w:r>
      <w:r>
        <w:rPr>
          <w:rFonts w:hint="eastAsia" w:ascii="Times New Roman" w:hAnsi="Times New Roman" w:eastAsia="宋体"/>
          <w:color w:val="auto"/>
          <w:spacing w:val="0"/>
          <w:w w:val="100"/>
          <w:position w:val="0"/>
          <w:highlight w:val="none"/>
          <w:lang w:val="en-US" w:eastAsia="zh-CN"/>
        </w:rPr>
        <w:t>成型</w:t>
      </w:r>
      <w:r>
        <w:rPr>
          <w:rFonts w:hint="default" w:ascii="Times New Roman" w:hAnsi="Times New Roman" w:eastAsia="宋体"/>
          <w:color w:val="auto"/>
          <w:spacing w:val="0"/>
          <w:w w:val="100"/>
          <w:position w:val="0"/>
          <w:highlight w:val="none"/>
          <w:lang w:val="en-US" w:eastAsia="zh-CN"/>
        </w:rPr>
        <w:t>废气采用</w:t>
      </w:r>
      <w:r>
        <w:rPr>
          <w:rFonts w:hint="eastAsia" w:ascii="Times New Roman" w:hAnsi="Times New Roman" w:eastAsia="宋体"/>
          <w:color w:val="auto"/>
          <w:spacing w:val="0"/>
          <w:w w:val="100"/>
          <w:position w:val="0"/>
          <w:highlight w:val="none"/>
          <w:lang w:val="en-US" w:eastAsia="zh-CN"/>
        </w:rPr>
        <w:t>“活性炭吸附脱附+催化燃烧装置”</w:t>
      </w:r>
      <w:r>
        <w:rPr>
          <w:rFonts w:hint="default" w:ascii="Times New Roman" w:hAnsi="Times New Roman" w:eastAsia="宋体"/>
          <w:color w:val="auto"/>
          <w:spacing w:val="0"/>
          <w:w w:val="100"/>
          <w:position w:val="0"/>
          <w:highlight w:val="none"/>
          <w:lang w:val="en-US" w:eastAsia="zh-CN"/>
        </w:rPr>
        <w:t>处理，生产设备采用变频电机，属于环保、节能技术的应用。属Ⅰ、Ⅱ级。</w:t>
      </w:r>
    </w:p>
    <w:p w14:paraId="3307D12D">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（2）混料</w:t>
      </w:r>
      <w:r>
        <w:rPr>
          <w:rFonts w:hint="eastAsia" w:ascii="Times New Roman" w:hAnsi="Times New Roman" w:eastAsia="宋体"/>
          <w:color w:val="auto"/>
          <w:spacing w:val="0"/>
          <w:w w:val="100"/>
          <w:position w:val="0"/>
          <w:highlight w:val="none"/>
          <w:lang w:val="en-US" w:eastAsia="zh-CN"/>
        </w:rPr>
        <w:t>搅拌</w:t>
      </w:r>
      <w:r>
        <w:rPr>
          <w:rFonts w:hint="default" w:ascii="Times New Roman" w:hAnsi="Times New Roman" w:eastAsia="宋体"/>
          <w:color w:val="auto"/>
          <w:spacing w:val="0"/>
          <w:w w:val="100"/>
          <w:position w:val="0"/>
          <w:highlight w:val="none"/>
          <w:lang w:val="en-US" w:eastAsia="zh-CN"/>
        </w:rPr>
        <w:t>（权重0.2）</w:t>
      </w:r>
    </w:p>
    <w:p w14:paraId="63ED98B5">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本项目上料、混料采用集中供料系统，并配置集气罩+布袋除尘器，除尘效率为9</w:t>
      </w:r>
      <w:r>
        <w:rPr>
          <w:rFonts w:hint="eastAsia" w:ascii="Times New Roman" w:hAnsi="Times New Roman" w:eastAsia="宋体"/>
          <w:color w:val="auto"/>
          <w:spacing w:val="0"/>
          <w:w w:val="100"/>
          <w:position w:val="0"/>
          <w:highlight w:val="none"/>
          <w:lang w:val="en-US" w:eastAsia="zh-CN"/>
        </w:rPr>
        <w:t>9</w:t>
      </w:r>
      <w:r>
        <w:rPr>
          <w:rFonts w:hint="default" w:ascii="Times New Roman" w:hAnsi="Times New Roman" w:eastAsia="宋体"/>
          <w:color w:val="auto"/>
          <w:spacing w:val="0"/>
          <w:w w:val="100"/>
          <w:position w:val="0"/>
          <w:highlight w:val="none"/>
          <w:lang w:val="en-US" w:eastAsia="zh-CN"/>
        </w:rPr>
        <w:t>%。属</w:t>
      </w:r>
      <w:r>
        <w:rPr>
          <w:rFonts w:hint="eastAsia" w:ascii="宋体" w:hAnsi="宋体" w:eastAsia="宋体" w:cs="宋体"/>
          <w:color w:val="auto"/>
          <w:spacing w:val="0"/>
          <w:w w:val="100"/>
          <w:position w:val="0"/>
          <w:highlight w:val="none"/>
          <w:lang w:val="en-US" w:eastAsia="zh-CN"/>
        </w:rPr>
        <w:t>Ⅰ</w:t>
      </w:r>
      <w:r>
        <w:rPr>
          <w:rFonts w:hint="default" w:ascii="Times New Roman" w:hAnsi="Times New Roman" w:eastAsia="宋体"/>
          <w:color w:val="auto"/>
          <w:spacing w:val="0"/>
          <w:w w:val="100"/>
          <w:position w:val="0"/>
          <w:highlight w:val="none"/>
          <w:lang w:val="en-US" w:eastAsia="zh-CN"/>
        </w:rPr>
        <w:t>级。</w:t>
      </w:r>
    </w:p>
    <w:p w14:paraId="5C135D78">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w:t>
      </w:r>
      <w:r>
        <w:rPr>
          <w:rFonts w:hint="eastAsia" w:ascii="Times New Roman" w:hAnsi="Times New Roman" w:eastAsia="宋体"/>
          <w:color w:val="auto"/>
          <w:spacing w:val="0"/>
          <w:w w:val="100"/>
          <w:position w:val="0"/>
          <w:highlight w:val="none"/>
          <w:lang w:val="en-US" w:eastAsia="zh-CN"/>
        </w:rPr>
        <w:t>3</w:t>
      </w:r>
      <w:r>
        <w:rPr>
          <w:rFonts w:hint="default" w:ascii="Times New Roman" w:hAnsi="Times New Roman" w:eastAsia="宋体"/>
          <w:color w:val="auto"/>
          <w:spacing w:val="0"/>
          <w:w w:val="100"/>
          <w:position w:val="0"/>
          <w:highlight w:val="none"/>
          <w:lang w:val="en-US" w:eastAsia="zh-CN"/>
        </w:rPr>
        <w:t>）有机废气处理设施（权重0.2）</w:t>
      </w:r>
    </w:p>
    <w:p w14:paraId="504C4B09">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本项目</w:t>
      </w:r>
      <w:r>
        <w:rPr>
          <w:rFonts w:hint="eastAsia"/>
          <w:color w:val="auto"/>
          <w:spacing w:val="0"/>
          <w:w w:val="100"/>
          <w:position w:val="0"/>
          <w:highlight w:val="none"/>
          <w:lang w:val="en-US" w:eastAsia="zh-CN"/>
        </w:rPr>
        <w:t>挤出成型、热压复合、修边保温、热压工段</w:t>
      </w:r>
      <w:r>
        <w:rPr>
          <w:rFonts w:hint="default" w:ascii="Times New Roman" w:hAnsi="Times New Roman" w:eastAsia="宋体"/>
          <w:color w:val="auto"/>
          <w:spacing w:val="0"/>
          <w:w w:val="100"/>
          <w:position w:val="0"/>
          <w:highlight w:val="none"/>
          <w:lang w:val="en-US" w:eastAsia="zh-CN"/>
        </w:rPr>
        <w:t>产生有机废气的生产工艺采用局部废气收集装置（集气罩）和净化处理装置（</w:t>
      </w:r>
      <w:r>
        <w:rPr>
          <w:rFonts w:hint="eastAsia" w:ascii="Times New Roman" w:hAnsi="Times New Roman" w:eastAsia="宋体"/>
          <w:color w:val="auto"/>
          <w:spacing w:val="0"/>
          <w:w w:val="100"/>
          <w:position w:val="0"/>
          <w:highlight w:val="none"/>
          <w:lang w:val="en-US" w:eastAsia="zh-CN"/>
        </w:rPr>
        <w:t>活性炭吸附脱附+催化燃烧装置</w:t>
      </w:r>
      <w:r>
        <w:rPr>
          <w:rFonts w:hint="default" w:ascii="Times New Roman" w:hAnsi="Times New Roman" w:eastAsia="宋体"/>
          <w:color w:val="auto"/>
          <w:spacing w:val="0"/>
          <w:w w:val="100"/>
          <w:position w:val="0"/>
          <w:highlight w:val="none"/>
          <w:lang w:val="en-US" w:eastAsia="zh-CN"/>
        </w:rPr>
        <w:t>）。属Ⅰ级。</w:t>
      </w:r>
    </w:p>
    <w:p w14:paraId="6A8C1A59">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综上，项目生产工艺及设备要求总分值为25分。</w:t>
      </w:r>
    </w:p>
    <w:p w14:paraId="712ECE90">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2</w:t>
      </w:r>
      <w:r>
        <w:rPr>
          <w:rFonts w:hint="eastAsia" w:ascii="Times New Roman" w:hAnsi="Times New Roman" w:eastAsia="宋体"/>
          <w:color w:val="auto"/>
          <w:spacing w:val="0"/>
          <w:w w:val="100"/>
          <w:position w:val="0"/>
          <w:highlight w:val="none"/>
          <w:lang w:val="en-US" w:eastAsia="zh-CN"/>
        </w:rPr>
        <w:t>.</w:t>
      </w:r>
      <w:r>
        <w:rPr>
          <w:rFonts w:hint="default" w:ascii="Times New Roman" w:hAnsi="Times New Roman" w:eastAsia="宋体"/>
          <w:color w:val="auto"/>
          <w:spacing w:val="0"/>
          <w:w w:val="100"/>
          <w:position w:val="0"/>
          <w:highlight w:val="none"/>
          <w:lang w:val="en-US" w:eastAsia="zh-CN"/>
        </w:rPr>
        <w:t>资源能源消耗指标（权重0.2）</w:t>
      </w:r>
    </w:p>
    <w:p w14:paraId="784F083B">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w:t>
      </w:r>
      <w:r>
        <w:rPr>
          <w:rFonts w:hint="eastAsia" w:ascii="Times New Roman" w:hAnsi="Times New Roman" w:eastAsia="宋体"/>
          <w:color w:val="auto"/>
          <w:spacing w:val="0"/>
          <w:w w:val="100"/>
          <w:position w:val="0"/>
          <w:highlight w:val="none"/>
          <w:lang w:val="en-US" w:eastAsia="zh-CN"/>
        </w:rPr>
        <w:t>1</w:t>
      </w:r>
      <w:r>
        <w:rPr>
          <w:rFonts w:hint="default" w:ascii="Times New Roman" w:hAnsi="Times New Roman" w:eastAsia="宋体"/>
          <w:color w:val="auto"/>
          <w:spacing w:val="0"/>
          <w:w w:val="100"/>
          <w:position w:val="0"/>
          <w:highlight w:val="none"/>
          <w:lang w:val="en-US" w:eastAsia="zh-CN"/>
        </w:rPr>
        <w:t>）单位产品取水量（权重0.3）</w:t>
      </w:r>
    </w:p>
    <w:p w14:paraId="4AC63C46">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本项目新鲜水总用量为</w:t>
      </w:r>
      <w:r>
        <w:rPr>
          <w:rFonts w:hint="eastAsia"/>
          <w:color w:val="auto"/>
          <w:spacing w:val="0"/>
          <w:w w:val="100"/>
          <w:position w:val="0"/>
          <w:highlight w:val="none"/>
          <w:lang w:val="en-US" w:eastAsia="zh-CN"/>
        </w:rPr>
        <w:t>1084.5</w:t>
      </w:r>
      <w:r>
        <w:rPr>
          <w:rFonts w:hint="default" w:ascii="Times New Roman" w:hAnsi="Times New Roman" w:eastAsia="宋体"/>
          <w:color w:val="auto"/>
          <w:spacing w:val="0"/>
          <w:w w:val="100"/>
          <w:position w:val="0"/>
          <w:highlight w:val="none"/>
          <w:lang w:val="en-US" w:eastAsia="zh-CN"/>
        </w:rPr>
        <w:t>t/a，成品铝塑板</w:t>
      </w:r>
      <w:r>
        <w:rPr>
          <w:rFonts w:hint="eastAsia" w:ascii="Times New Roman" w:hAnsi="Times New Roman" w:eastAsia="宋体"/>
          <w:color w:val="auto"/>
          <w:spacing w:val="0"/>
          <w:w w:val="100"/>
          <w:position w:val="0"/>
          <w:highlight w:val="none"/>
          <w:lang w:val="en-US" w:eastAsia="zh-CN"/>
        </w:rPr>
        <w:t>约</w:t>
      </w:r>
      <w:r>
        <w:rPr>
          <w:rFonts w:hint="eastAsia"/>
          <w:color w:val="auto"/>
          <w:spacing w:val="0"/>
          <w:w w:val="100"/>
          <w:position w:val="0"/>
          <w:highlight w:val="none"/>
          <w:lang w:val="en-US" w:eastAsia="zh-CN"/>
        </w:rPr>
        <w:t>7090</w:t>
      </w:r>
      <w:r>
        <w:rPr>
          <w:rFonts w:hint="default" w:ascii="Times New Roman" w:hAnsi="Times New Roman" w:eastAsia="宋体"/>
          <w:color w:val="auto"/>
          <w:spacing w:val="0"/>
          <w:w w:val="100"/>
          <w:position w:val="0"/>
          <w:highlight w:val="none"/>
          <w:lang w:val="en-US" w:eastAsia="zh-CN"/>
        </w:rPr>
        <w:t>t/a，单位产品取水量为≤5m</w:t>
      </w:r>
      <w:r>
        <w:rPr>
          <w:rFonts w:hint="default" w:ascii="Times New Roman" w:hAnsi="Times New Roman" w:eastAsia="宋体"/>
          <w:color w:val="auto"/>
          <w:spacing w:val="0"/>
          <w:w w:val="100"/>
          <w:position w:val="0"/>
          <w:highlight w:val="none"/>
          <w:vertAlign w:val="superscript"/>
          <w:lang w:val="en-US" w:eastAsia="zh-CN"/>
        </w:rPr>
        <w:t>3</w:t>
      </w:r>
      <w:r>
        <w:rPr>
          <w:rFonts w:hint="default" w:ascii="Times New Roman" w:hAnsi="Times New Roman" w:eastAsia="宋体"/>
          <w:color w:val="auto"/>
          <w:spacing w:val="0"/>
          <w:w w:val="100"/>
          <w:position w:val="0"/>
          <w:highlight w:val="none"/>
          <w:lang w:val="en-US" w:eastAsia="zh-CN"/>
        </w:rPr>
        <w:t>/t。属Ⅰ级。</w:t>
      </w:r>
    </w:p>
    <w:p w14:paraId="459C615A">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w:t>
      </w:r>
      <w:r>
        <w:rPr>
          <w:rFonts w:hint="eastAsia" w:ascii="Times New Roman" w:hAnsi="Times New Roman" w:eastAsia="宋体"/>
          <w:color w:val="auto"/>
          <w:spacing w:val="0"/>
          <w:w w:val="100"/>
          <w:position w:val="0"/>
          <w:highlight w:val="none"/>
          <w:lang w:val="en-US" w:eastAsia="zh-CN"/>
        </w:rPr>
        <w:t>2</w:t>
      </w:r>
      <w:r>
        <w:rPr>
          <w:rFonts w:hint="default" w:ascii="Times New Roman" w:hAnsi="Times New Roman" w:eastAsia="宋体"/>
          <w:color w:val="auto"/>
          <w:spacing w:val="0"/>
          <w:w w:val="100"/>
          <w:position w:val="0"/>
          <w:highlight w:val="none"/>
          <w:lang w:val="en-US" w:eastAsia="zh-CN"/>
        </w:rPr>
        <w:t>）单位产品综合能耗（权重0.2）</w:t>
      </w:r>
    </w:p>
    <w:p w14:paraId="7E5DE4F7">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项目能耗主要为电能，年耗电量为</w:t>
      </w:r>
      <w:r>
        <w:rPr>
          <w:rFonts w:hint="eastAsia" w:ascii="Times New Roman" w:hAnsi="Times New Roman" w:eastAsia="宋体"/>
          <w:color w:val="auto"/>
          <w:spacing w:val="0"/>
          <w:w w:val="100"/>
          <w:position w:val="0"/>
          <w:highlight w:val="none"/>
          <w:lang w:val="en-US" w:eastAsia="zh-CN"/>
        </w:rPr>
        <w:t>2220</w:t>
      </w:r>
      <w:r>
        <w:rPr>
          <w:rFonts w:hint="default" w:ascii="Times New Roman" w:hAnsi="Times New Roman" w:eastAsia="宋体"/>
          <w:color w:val="auto"/>
          <w:spacing w:val="0"/>
          <w:w w:val="100"/>
          <w:position w:val="0"/>
          <w:highlight w:val="none"/>
          <w:lang w:val="en-US" w:eastAsia="zh-CN"/>
        </w:rPr>
        <w:t>万kWh/a，折标煤</w:t>
      </w:r>
      <w:r>
        <w:rPr>
          <w:rFonts w:hint="eastAsia" w:ascii="Times New Roman" w:hAnsi="Times New Roman" w:eastAsia="宋体"/>
          <w:color w:val="auto"/>
          <w:spacing w:val="0"/>
          <w:w w:val="100"/>
          <w:position w:val="0"/>
          <w:highlight w:val="none"/>
          <w:lang w:val="en-US" w:eastAsia="zh-CN"/>
        </w:rPr>
        <w:t>2728.38</w:t>
      </w:r>
      <w:r>
        <w:rPr>
          <w:rFonts w:hint="default" w:ascii="Times New Roman" w:hAnsi="Times New Roman" w:eastAsia="宋体"/>
          <w:color w:val="auto"/>
          <w:spacing w:val="0"/>
          <w:w w:val="100"/>
          <w:position w:val="0"/>
          <w:highlight w:val="none"/>
          <w:lang w:val="en-US" w:eastAsia="zh-CN"/>
        </w:rPr>
        <w:t>吨标煤，成品铝塑板</w:t>
      </w:r>
      <w:r>
        <w:rPr>
          <w:rFonts w:hint="eastAsia" w:ascii="Times New Roman" w:hAnsi="Times New Roman" w:eastAsia="宋体"/>
          <w:color w:val="auto"/>
          <w:spacing w:val="0"/>
          <w:w w:val="100"/>
          <w:position w:val="0"/>
          <w:highlight w:val="none"/>
          <w:lang w:val="en-US" w:eastAsia="zh-CN"/>
        </w:rPr>
        <w:t>5924</w:t>
      </w:r>
      <w:r>
        <w:rPr>
          <w:rFonts w:hint="default" w:ascii="Times New Roman" w:hAnsi="Times New Roman" w:eastAsia="宋体"/>
          <w:color w:val="auto"/>
          <w:spacing w:val="0"/>
          <w:w w:val="100"/>
          <w:position w:val="0"/>
          <w:highlight w:val="none"/>
          <w:lang w:val="en-US" w:eastAsia="zh-CN"/>
        </w:rPr>
        <w:t>t/a，则单位产品综合能耗为</w:t>
      </w:r>
      <w:r>
        <w:rPr>
          <w:rFonts w:hint="eastAsia" w:ascii="Times New Roman" w:hAnsi="Times New Roman" w:eastAsia="宋体"/>
          <w:color w:val="auto"/>
          <w:spacing w:val="0"/>
          <w:w w:val="100"/>
          <w:position w:val="0"/>
          <w:highlight w:val="none"/>
          <w:lang w:val="en-US" w:eastAsia="zh-CN"/>
        </w:rPr>
        <w:t>0.933</w:t>
      </w:r>
      <w:r>
        <w:rPr>
          <w:rFonts w:hint="default" w:ascii="Times New Roman" w:hAnsi="Times New Roman" w:eastAsia="宋体"/>
          <w:color w:val="auto"/>
          <w:spacing w:val="0"/>
          <w:w w:val="100"/>
          <w:position w:val="0"/>
          <w:highlight w:val="none"/>
          <w:lang w:val="en-US" w:eastAsia="zh-CN"/>
        </w:rPr>
        <w:t>kgce/t。属Ⅰ级。</w:t>
      </w:r>
    </w:p>
    <w:p w14:paraId="1543D907">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w:t>
      </w:r>
      <w:r>
        <w:rPr>
          <w:rFonts w:hint="eastAsia" w:ascii="Times New Roman" w:hAnsi="Times New Roman" w:eastAsia="宋体"/>
          <w:color w:val="auto"/>
          <w:spacing w:val="0"/>
          <w:w w:val="100"/>
          <w:position w:val="0"/>
          <w:highlight w:val="none"/>
          <w:lang w:val="en-US" w:eastAsia="zh-CN"/>
        </w:rPr>
        <w:t>3</w:t>
      </w:r>
      <w:r>
        <w:rPr>
          <w:rFonts w:hint="default" w:ascii="Times New Roman" w:hAnsi="Times New Roman" w:eastAsia="宋体"/>
          <w:color w:val="auto"/>
          <w:spacing w:val="0"/>
          <w:w w:val="100"/>
          <w:position w:val="0"/>
          <w:highlight w:val="none"/>
          <w:lang w:val="en-US" w:eastAsia="zh-CN"/>
        </w:rPr>
        <w:t>）注塑工序单位产品电耗（权重0.2）</w:t>
      </w:r>
    </w:p>
    <w:p w14:paraId="0328C58A">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本项目不涉及注塑工艺。</w:t>
      </w:r>
    </w:p>
    <w:p w14:paraId="025A88E2">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综上，项目资源能源消耗指标总分值为16分。</w:t>
      </w:r>
    </w:p>
    <w:p w14:paraId="408D5692">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3</w:t>
      </w:r>
      <w:r>
        <w:rPr>
          <w:rFonts w:hint="eastAsia" w:ascii="Times New Roman" w:hAnsi="Times New Roman" w:eastAsia="宋体"/>
          <w:color w:val="auto"/>
          <w:spacing w:val="0"/>
          <w:w w:val="100"/>
          <w:position w:val="0"/>
          <w:highlight w:val="none"/>
          <w:lang w:val="en-US" w:eastAsia="zh-CN"/>
        </w:rPr>
        <w:t>.</w:t>
      </w:r>
      <w:r>
        <w:rPr>
          <w:rFonts w:hint="default" w:ascii="Times New Roman" w:hAnsi="Times New Roman" w:eastAsia="宋体"/>
          <w:color w:val="auto"/>
          <w:spacing w:val="0"/>
          <w:w w:val="100"/>
          <w:position w:val="0"/>
          <w:highlight w:val="none"/>
          <w:lang w:val="en-US" w:eastAsia="zh-CN"/>
        </w:rPr>
        <w:t>资源综合利用指标（权重0.05）</w:t>
      </w:r>
    </w:p>
    <w:p w14:paraId="515B4158">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水重复利用率（权重1）</w:t>
      </w:r>
    </w:p>
    <w:p w14:paraId="0E701E18">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本项目生产废水</w:t>
      </w:r>
      <w:r>
        <w:rPr>
          <w:rFonts w:hint="eastAsia" w:ascii="Times New Roman" w:hAnsi="Times New Roman" w:eastAsia="宋体"/>
          <w:color w:val="auto"/>
          <w:spacing w:val="0"/>
          <w:w w:val="100"/>
          <w:position w:val="0"/>
          <w:highlight w:val="none"/>
          <w:lang w:val="en-US" w:eastAsia="zh-CN"/>
        </w:rPr>
        <w:t>循环使用不外排</w:t>
      </w:r>
      <w:r>
        <w:rPr>
          <w:rFonts w:hint="default" w:ascii="Times New Roman" w:hAnsi="Times New Roman" w:eastAsia="宋体"/>
          <w:color w:val="auto"/>
          <w:spacing w:val="0"/>
          <w:w w:val="100"/>
          <w:position w:val="0"/>
          <w:highlight w:val="none"/>
          <w:lang w:val="en-US" w:eastAsia="zh-CN"/>
        </w:rPr>
        <w:t>，则水重复利用率为</w:t>
      </w:r>
      <w:r>
        <w:rPr>
          <w:rFonts w:hint="eastAsia" w:ascii="Times New Roman" w:hAnsi="Times New Roman" w:eastAsia="宋体"/>
          <w:color w:val="auto"/>
          <w:spacing w:val="0"/>
          <w:w w:val="100"/>
          <w:position w:val="0"/>
          <w:highlight w:val="none"/>
          <w:lang w:val="en-US" w:eastAsia="zh-CN"/>
        </w:rPr>
        <w:t>100</w:t>
      </w:r>
      <w:r>
        <w:rPr>
          <w:rFonts w:hint="default" w:ascii="Times New Roman" w:hAnsi="Times New Roman" w:eastAsia="宋体"/>
          <w:color w:val="auto"/>
          <w:spacing w:val="0"/>
          <w:w w:val="100"/>
          <w:position w:val="0"/>
          <w:highlight w:val="none"/>
          <w:lang w:val="en-US" w:eastAsia="zh-CN"/>
        </w:rPr>
        <w:t>%。属Ⅰ级。</w:t>
      </w:r>
    </w:p>
    <w:p w14:paraId="032191C4">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项目资源综合利用指标总分值为5分。</w:t>
      </w:r>
    </w:p>
    <w:p w14:paraId="626196A5">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4</w:t>
      </w:r>
      <w:r>
        <w:rPr>
          <w:rFonts w:hint="eastAsia" w:ascii="Times New Roman" w:hAnsi="Times New Roman" w:eastAsia="宋体"/>
          <w:color w:val="auto"/>
          <w:spacing w:val="0"/>
          <w:w w:val="100"/>
          <w:position w:val="0"/>
          <w:highlight w:val="none"/>
          <w:lang w:val="en-US" w:eastAsia="zh-CN"/>
        </w:rPr>
        <w:t>.</w:t>
      </w:r>
      <w:r>
        <w:rPr>
          <w:rFonts w:hint="default" w:ascii="Times New Roman" w:hAnsi="Times New Roman" w:eastAsia="宋体"/>
          <w:color w:val="auto"/>
          <w:spacing w:val="0"/>
          <w:w w:val="100"/>
          <w:position w:val="0"/>
          <w:highlight w:val="none"/>
          <w:lang w:val="en-US" w:eastAsia="zh-CN"/>
        </w:rPr>
        <w:t>污染物产生指标（权重0.15）</w:t>
      </w:r>
    </w:p>
    <w:p w14:paraId="4A2C2A83">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（1）单位产品VOC</w:t>
      </w:r>
      <w:r>
        <w:rPr>
          <w:rFonts w:hint="eastAsia" w:ascii="Times New Roman" w:hAnsi="Times New Roman" w:eastAsia="宋体"/>
          <w:color w:val="auto"/>
          <w:spacing w:val="0"/>
          <w:w w:val="100"/>
          <w:position w:val="0"/>
          <w:highlight w:val="none"/>
          <w:lang w:val="en-US" w:eastAsia="zh-CN"/>
        </w:rPr>
        <w:t>s</w:t>
      </w:r>
      <w:r>
        <w:rPr>
          <w:rFonts w:hint="default" w:ascii="Times New Roman" w:hAnsi="Times New Roman" w:eastAsia="宋体"/>
          <w:color w:val="auto"/>
          <w:spacing w:val="0"/>
          <w:w w:val="100"/>
          <w:position w:val="0"/>
          <w:highlight w:val="none"/>
          <w:lang w:val="en-US" w:eastAsia="zh-CN"/>
        </w:rPr>
        <w:t>排放量（权重0.5）</w:t>
      </w:r>
    </w:p>
    <w:p w14:paraId="6E55CADB">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项目VOCs总</w:t>
      </w:r>
      <w:r>
        <w:rPr>
          <w:rFonts w:hint="eastAsia" w:ascii="Times New Roman" w:hAnsi="Times New Roman" w:eastAsia="宋体"/>
          <w:color w:val="auto"/>
          <w:spacing w:val="0"/>
          <w:w w:val="100"/>
          <w:position w:val="0"/>
          <w:highlight w:val="none"/>
          <w:lang w:val="en-US" w:eastAsia="zh-CN"/>
        </w:rPr>
        <w:t>排放</w:t>
      </w:r>
      <w:r>
        <w:rPr>
          <w:rFonts w:hint="default" w:ascii="Times New Roman" w:hAnsi="Times New Roman" w:eastAsia="宋体"/>
          <w:color w:val="auto"/>
          <w:spacing w:val="0"/>
          <w:w w:val="100"/>
          <w:position w:val="0"/>
          <w:highlight w:val="none"/>
          <w:lang w:val="en-US" w:eastAsia="zh-CN"/>
        </w:rPr>
        <w:t>量为</w:t>
      </w:r>
      <w:r>
        <w:rPr>
          <w:rFonts w:hint="eastAsia"/>
          <w:color w:val="auto"/>
          <w:spacing w:val="0"/>
          <w:w w:val="100"/>
          <w:position w:val="0"/>
          <w:highlight w:val="none"/>
          <w:lang w:val="en-US" w:eastAsia="zh-CN"/>
        </w:rPr>
        <w:t>3.604</w:t>
      </w:r>
      <w:r>
        <w:rPr>
          <w:rFonts w:hint="default" w:ascii="Times New Roman" w:hAnsi="Times New Roman" w:eastAsia="宋体"/>
          <w:color w:val="auto"/>
          <w:spacing w:val="0"/>
          <w:w w:val="100"/>
          <w:position w:val="0"/>
          <w:highlight w:val="none"/>
          <w:lang w:val="en-US" w:eastAsia="zh-CN"/>
        </w:rPr>
        <w:t>t/a，成品铝塑板</w:t>
      </w:r>
      <w:r>
        <w:rPr>
          <w:rFonts w:hint="eastAsia" w:ascii="Times New Roman" w:hAnsi="Times New Roman" w:eastAsia="宋体"/>
          <w:color w:val="auto"/>
          <w:spacing w:val="0"/>
          <w:w w:val="100"/>
          <w:position w:val="0"/>
          <w:highlight w:val="none"/>
          <w:lang w:val="en-US" w:eastAsia="zh-CN"/>
        </w:rPr>
        <w:t>约</w:t>
      </w:r>
      <w:r>
        <w:rPr>
          <w:rFonts w:hint="eastAsia"/>
          <w:color w:val="auto"/>
          <w:spacing w:val="0"/>
          <w:w w:val="100"/>
          <w:position w:val="0"/>
          <w:highlight w:val="none"/>
          <w:lang w:val="en-US" w:eastAsia="zh-CN"/>
        </w:rPr>
        <w:t>7090</w:t>
      </w:r>
      <w:r>
        <w:rPr>
          <w:rFonts w:hint="default" w:ascii="Times New Roman" w:hAnsi="Times New Roman" w:eastAsia="宋体"/>
          <w:color w:val="auto"/>
          <w:spacing w:val="0"/>
          <w:w w:val="100"/>
          <w:position w:val="0"/>
          <w:highlight w:val="none"/>
          <w:lang w:val="en-US" w:eastAsia="zh-CN"/>
        </w:rPr>
        <w:t>t/a，则单位产品VOC</w:t>
      </w:r>
      <w:r>
        <w:rPr>
          <w:rFonts w:hint="eastAsia" w:ascii="Times New Roman" w:hAnsi="Times New Roman" w:eastAsia="宋体"/>
          <w:color w:val="auto"/>
          <w:spacing w:val="0"/>
          <w:w w:val="100"/>
          <w:position w:val="0"/>
          <w:highlight w:val="none"/>
          <w:lang w:val="en-US" w:eastAsia="zh-CN"/>
        </w:rPr>
        <w:t>s</w:t>
      </w:r>
      <w:r>
        <w:rPr>
          <w:rFonts w:hint="default" w:ascii="Times New Roman" w:hAnsi="Times New Roman" w:eastAsia="宋体"/>
          <w:color w:val="auto"/>
          <w:spacing w:val="0"/>
          <w:w w:val="100"/>
          <w:position w:val="0"/>
          <w:highlight w:val="none"/>
          <w:lang w:val="en-US" w:eastAsia="zh-CN"/>
        </w:rPr>
        <w:t>排放量为</w:t>
      </w:r>
      <w:r>
        <w:rPr>
          <w:rFonts w:hint="eastAsia" w:ascii="Times New Roman" w:hAnsi="Times New Roman" w:eastAsia="宋体"/>
          <w:color w:val="auto"/>
          <w:spacing w:val="0"/>
          <w:w w:val="100"/>
          <w:position w:val="0"/>
          <w:highlight w:val="none"/>
          <w:lang w:val="en-US" w:eastAsia="zh-CN"/>
        </w:rPr>
        <w:t>0.</w:t>
      </w:r>
      <w:r>
        <w:rPr>
          <w:rFonts w:hint="eastAsia"/>
          <w:color w:val="auto"/>
          <w:spacing w:val="0"/>
          <w:w w:val="100"/>
          <w:position w:val="0"/>
          <w:highlight w:val="none"/>
          <w:lang w:val="en-US" w:eastAsia="zh-CN"/>
        </w:rPr>
        <w:t>508</w:t>
      </w:r>
      <w:r>
        <w:rPr>
          <w:rFonts w:hint="default" w:ascii="Times New Roman" w:hAnsi="Times New Roman" w:eastAsia="宋体"/>
          <w:color w:val="auto"/>
          <w:spacing w:val="0"/>
          <w:w w:val="100"/>
          <w:position w:val="0"/>
          <w:highlight w:val="none"/>
          <w:lang w:val="en-US" w:eastAsia="zh-CN"/>
        </w:rPr>
        <w:t>kg/t≤0.6kg/t。属Ⅰ级。</w:t>
      </w:r>
    </w:p>
    <w:p w14:paraId="7EE92557">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（2）单位产品危险废物产生量（权重0.5）</w:t>
      </w:r>
    </w:p>
    <w:p w14:paraId="06608041">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根据固废源强核算可知，项目危险废物产生量为</w:t>
      </w:r>
      <w:r>
        <w:rPr>
          <w:rFonts w:hint="eastAsia" w:ascii="Times New Roman" w:hAnsi="Times New Roman" w:eastAsia="宋体"/>
          <w:color w:val="auto"/>
          <w:spacing w:val="0"/>
          <w:w w:val="100"/>
          <w:position w:val="0"/>
          <w:highlight w:val="none"/>
          <w:lang w:val="en-US" w:eastAsia="zh-CN"/>
        </w:rPr>
        <w:t>11.095</w:t>
      </w:r>
      <w:r>
        <w:rPr>
          <w:rFonts w:hint="default" w:ascii="Times New Roman" w:hAnsi="Times New Roman" w:eastAsia="宋体"/>
          <w:color w:val="auto"/>
          <w:spacing w:val="0"/>
          <w:w w:val="100"/>
          <w:position w:val="0"/>
          <w:highlight w:val="none"/>
          <w:lang w:val="en-US" w:eastAsia="zh-CN"/>
        </w:rPr>
        <w:t>t/a，成品铝塑板</w:t>
      </w:r>
      <w:r>
        <w:rPr>
          <w:rFonts w:hint="eastAsia"/>
          <w:color w:val="auto"/>
          <w:spacing w:val="0"/>
          <w:w w:val="100"/>
          <w:position w:val="0"/>
          <w:highlight w:val="none"/>
          <w:lang w:val="en-US" w:eastAsia="zh-CN"/>
        </w:rPr>
        <w:t>7090</w:t>
      </w:r>
      <w:r>
        <w:rPr>
          <w:rFonts w:hint="default" w:ascii="Times New Roman" w:hAnsi="Times New Roman" w:eastAsia="宋体"/>
          <w:color w:val="auto"/>
          <w:spacing w:val="0"/>
          <w:w w:val="100"/>
          <w:position w:val="0"/>
          <w:highlight w:val="none"/>
          <w:lang w:val="en-US" w:eastAsia="zh-CN"/>
        </w:rPr>
        <w:t>t/a，则单位产品危险废物产生量为</w:t>
      </w:r>
      <w:r>
        <w:rPr>
          <w:rFonts w:hint="eastAsia"/>
          <w:color w:val="auto"/>
          <w:spacing w:val="0"/>
          <w:w w:val="100"/>
          <w:position w:val="0"/>
          <w:highlight w:val="none"/>
          <w:lang w:val="en-US" w:eastAsia="zh-CN"/>
        </w:rPr>
        <w:t>1.565</w:t>
      </w:r>
      <w:r>
        <w:rPr>
          <w:rFonts w:hint="default" w:ascii="Times New Roman" w:hAnsi="Times New Roman" w:eastAsia="宋体"/>
          <w:color w:val="auto"/>
          <w:spacing w:val="0"/>
          <w:w w:val="100"/>
          <w:position w:val="0"/>
          <w:highlight w:val="none"/>
          <w:lang w:val="en-US" w:eastAsia="zh-CN"/>
        </w:rPr>
        <w:t>kg/t≤</w:t>
      </w:r>
      <w:r>
        <w:rPr>
          <w:rFonts w:hint="eastAsia" w:ascii="Times New Roman" w:hAnsi="Times New Roman" w:eastAsia="宋体"/>
          <w:color w:val="auto"/>
          <w:spacing w:val="0"/>
          <w:w w:val="100"/>
          <w:position w:val="0"/>
          <w:highlight w:val="none"/>
          <w:lang w:val="en-US" w:eastAsia="zh-CN"/>
        </w:rPr>
        <w:t>2</w:t>
      </w:r>
      <w:r>
        <w:rPr>
          <w:rFonts w:hint="default" w:ascii="Times New Roman" w:hAnsi="Times New Roman" w:eastAsia="宋体"/>
          <w:color w:val="auto"/>
          <w:spacing w:val="0"/>
          <w:w w:val="100"/>
          <w:position w:val="0"/>
          <w:highlight w:val="none"/>
          <w:lang w:val="en-US" w:eastAsia="zh-CN"/>
        </w:rPr>
        <w:t>kg/t。属Ⅲ级。</w:t>
      </w:r>
    </w:p>
    <w:p w14:paraId="72D773F3">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综上，项目污染物产生指标分值为15分。</w:t>
      </w:r>
    </w:p>
    <w:p w14:paraId="68A8718D">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5</w:t>
      </w:r>
      <w:r>
        <w:rPr>
          <w:rFonts w:hint="eastAsia" w:ascii="Times New Roman" w:hAnsi="Times New Roman" w:eastAsia="宋体"/>
          <w:color w:val="auto"/>
          <w:spacing w:val="0"/>
          <w:w w:val="100"/>
          <w:position w:val="0"/>
          <w:highlight w:val="none"/>
          <w:lang w:val="en-US" w:eastAsia="zh-CN"/>
        </w:rPr>
        <w:t>.</w:t>
      </w:r>
      <w:r>
        <w:rPr>
          <w:rFonts w:hint="default" w:ascii="Times New Roman" w:hAnsi="Times New Roman" w:eastAsia="宋体"/>
          <w:color w:val="auto"/>
          <w:spacing w:val="0"/>
          <w:w w:val="100"/>
          <w:position w:val="0"/>
          <w:highlight w:val="none"/>
          <w:lang w:val="en-US" w:eastAsia="zh-CN"/>
        </w:rPr>
        <w:t>产品特征指标（权重0.05）</w:t>
      </w:r>
    </w:p>
    <w:p w14:paraId="0F531B25">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（1）产品认证（权重0.5）</w:t>
      </w:r>
    </w:p>
    <w:p w14:paraId="29B7063B">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本项目产品执行企业内部产品要求。属Ⅲ级。</w:t>
      </w:r>
    </w:p>
    <w:p w14:paraId="4A9DD1E0">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（2）产品一次交检合格率（权重0.5）</w:t>
      </w:r>
    </w:p>
    <w:p w14:paraId="65F11C89">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根据建设单位提供的资料，项目产品合格率可达99.9%。Ⅰ级。综上，项目产品特征指标分值为5分。</w:t>
      </w:r>
    </w:p>
    <w:p w14:paraId="61C995D9">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6</w:t>
      </w:r>
      <w:r>
        <w:rPr>
          <w:rFonts w:hint="eastAsia" w:ascii="Times New Roman" w:hAnsi="Times New Roman" w:eastAsia="宋体"/>
          <w:color w:val="auto"/>
          <w:spacing w:val="0"/>
          <w:w w:val="100"/>
          <w:position w:val="0"/>
          <w:highlight w:val="none"/>
          <w:lang w:val="en-US" w:eastAsia="zh-CN"/>
        </w:rPr>
        <w:t>.</w:t>
      </w:r>
      <w:r>
        <w:rPr>
          <w:rFonts w:hint="default" w:ascii="Times New Roman" w:hAnsi="Times New Roman" w:eastAsia="宋体"/>
          <w:color w:val="auto"/>
          <w:spacing w:val="0"/>
          <w:w w:val="100"/>
          <w:position w:val="0"/>
          <w:highlight w:val="none"/>
          <w:lang w:val="en-US" w:eastAsia="zh-CN"/>
        </w:rPr>
        <w:t>清洁生产管理指标（权重0.3）</w:t>
      </w:r>
    </w:p>
    <w:p w14:paraId="7C4C23F8">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（1）环境法律法规标准执行情况（权重0.1）</w:t>
      </w:r>
    </w:p>
    <w:p w14:paraId="7B31C00F">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本项目符合国家和地方有关法律、法规要求，正在进行环境影响评价工作，企业严格执行环境保护“三同时”制度、总量控制和排污许可证管理要求。</w:t>
      </w:r>
    </w:p>
    <w:p w14:paraId="679B7ED0">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（2）污染物排放要求（权重0.1）</w:t>
      </w:r>
    </w:p>
    <w:p w14:paraId="0EF11DD0">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本项目污染物排放符合排污许可证管理要求。水、废气、噪声等污染物排放符合国家、地方、行业排放标准。</w:t>
      </w:r>
    </w:p>
    <w:p w14:paraId="7FDAAC2C">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（3）污染物处理设施运行管理（权重0.1）</w:t>
      </w:r>
    </w:p>
    <w:p w14:paraId="30EAA99C">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本项目投产后，将建立污染物处理设施运行管理台账制度，按照设施类别分别记录设施的实际运行相关参数和维护记录。有组织废气治理设施记录设施运行时间、运行参数、污染排放情况等。废水处理设施应记录废水类别、处理能力、运行状态、污染排放情况、药剂名称及使用量、投放时间、电耗、污泥产生量及污泥处理处置去向等。</w:t>
      </w:r>
    </w:p>
    <w:p w14:paraId="7743E0AF">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（4）固体废物的处置（权重0.1）</w:t>
      </w:r>
    </w:p>
    <w:p w14:paraId="4F999193">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本项目一般工业固体废物仓库执行《一般工业固体废物贮存和填埋污染控制标准》（GB18599-2020）中相关要求。危险废物仓库执行《危险废物识别标志设置技术规范》（HJ1276-2022）、《危险废物贮存污染控制标准》（GB18597-2023）中相关要求。</w:t>
      </w:r>
    </w:p>
    <w:p w14:paraId="2C75E567">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（5）环境应急（权重0.1）</w:t>
      </w:r>
    </w:p>
    <w:p w14:paraId="61B667E2">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本项目建成投产前，将制定企业突发环境事件应急预案、按要求设置配备设施、物资，并定期培训和演练，符合（备案）管理要求。</w:t>
      </w:r>
    </w:p>
    <w:p w14:paraId="0409068A">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（6）清洁生产审核情况（权重0.1）</w:t>
      </w:r>
    </w:p>
    <w:p w14:paraId="1C33E330">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本项目建成投产后，将按照国家和地方要求，开展清洁生产审核。</w:t>
      </w:r>
    </w:p>
    <w:p w14:paraId="07E1D378">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（7）管理体系建设（权重0.1）</w:t>
      </w:r>
    </w:p>
    <w:p w14:paraId="0E878595">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本项目建成投产后，将建设内部管理体系。属Ⅲ类。</w:t>
      </w:r>
    </w:p>
    <w:p w14:paraId="1E707567">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（8）能源消耗计算管理（权重0.1）</w:t>
      </w:r>
    </w:p>
    <w:p w14:paraId="2F39DA67">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本项目已配备能源计量器具，并符合GB17167配备要求。</w:t>
      </w:r>
    </w:p>
    <w:p w14:paraId="49E3D430">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（9）用水管理（权重0.1）</w:t>
      </w:r>
    </w:p>
    <w:p w14:paraId="30B8E087">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本项目已配备水计量器具，并符GB24789配备要求。</w:t>
      </w:r>
    </w:p>
    <w:p w14:paraId="33A69115">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（10）生产现场管理（权重0.1）</w:t>
      </w:r>
    </w:p>
    <w:p w14:paraId="513CCFB2">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本项目建成投产后，将建立生产管理制度，各岗位人员责任制，对生产现场进行严格管理。</w:t>
      </w:r>
    </w:p>
    <w:p w14:paraId="1F577A88">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综上，项目清洁生产管理指标分值为30分。</w:t>
      </w:r>
    </w:p>
    <w:p w14:paraId="497418DD">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对照《塑料制品行业清洁生产评价指标体系》（T/GDES56-2021）表2，本项目清洁生产综合评价指数总分值为96分，限定指标全部满足</w:t>
      </w:r>
      <w:r>
        <w:rPr>
          <w:rFonts w:hint="eastAsia" w:ascii="宋体" w:hAnsi="宋体" w:eastAsia="宋体" w:cs="宋体"/>
          <w:color w:val="auto"/>
          <w:spacing w:val="0"/>
          <w:w w:val="100"/>
          <w:position w:val="0"/>
          <w:highlight w:val="none"/>
          <w:lang w:val="en-US" w:eastAsia="zh-CN"/>
        </w:rPr>
        <w:t>Ⅲ</w:t>
      </w:r>
      <w:r>
        <w:rPr>
          <w:rFonts w:hint="default" w:ascii="Times New Roman" w:hAnsi="Times New Roman" w:eastAsia="宋体"/>
          <w:color w:val="auto"/>
          <w:spacing w:val="0"/>
          <w:w w:val="100"/>
          <w:position w:val="0"/>
          <w:highlight w:val="none"/>
          <w:lang w:val="en-US" w:eastAsia="zh-CN"/>
        </w:rPr>
        <w:t>级基准值要求，故本项目清洁生产水平为国内清洁生产</w:t>
      </w:r>
      <w:r>
        <w:rPr>
          <w:rFonts w:hint="eastAsia" w:ascii="Times New Roman" w:hAnsi="Times New Roman" w:eastAsia="宋体"/>
          <w:color w:val="auto"/>
          <w:spacing w:val="0"/>
          <w:w w:val="100"/>
          <w:position w:val="0"/>
          <w:highlight w:val="none"/>
          <w:lang w:val="en-US" w:eastAsia="zh-CN"/>
        </w:rPr>
        <w:t>基本</w:t>
      </w:r>
      <w:r>
        <w:rPr>
          <w:rFonts w:hint="default" w:ascii="Times New Roman" w:hAnsi="Times New Roman" w:eastAsia="宋体"/>
          <w:color w:val="auto"/>
          <w:spacing w:val="0"/>
          <w:w w:val="100"/>
          <w:position w:val="0"/>
          <w:highlight w:val="none"/>
          <w:lang w:val="en-US" w:eastAsia="zh-CN"/>
        </w:rPr>
        <w:t>水平。</w:t>
      </w:r>
    </w:p>
    <w:bookmarkEnd w:id="247"/>
    <w:p w14:paraId="48C17A81">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248" w:name="_Toc26771"/>
      <w:r>
        <w:rPr>
          <w:rFonts w:hint="default"/>
          <w:color w:val="auto"/>
          <w:spacing w:val="0"/>
          <w:w w:val="100"/>
          <w:position w:val="0"/>
          <w:highlight w:val="none"/>
          <w:lang w:val="en-US" w:eastAsia="zh-CN"/>
        </w:rPr>
        <w:t>3.</w:t>
      </w:r>
      <w:r>
        <w:rPr>
          <w:rFonts w:hint="eastAsia"/>
          <w:color w:val="auto"/>
          <w:spacing w:val="0"/>
          <w:w w:val="100"/>
          <w:position w:val="0"/>
          <w:highlight w:val="none"/>
          <w:lang w:val="en-US" w:eastAsia="zh-CN"/>
        </w:rPr>
        <w:t>6</w:t>
      </w:r>
      <w:r>
        <w:rPr>
          <w:rFonts w:hint="default"/>
          <w:color w:val="auto"/>
          <w:spacing w:val="0"/>
          <w:w w:val="100"/>
          <w:position w:val="0"/>
          <w:highlight w:val="none"/>
          <w:lang w:val="en-US" w:eastAsia="zh-CN"/>
        </w:rPr>
        <w:t>.</w:t>
      </w:r>
      <w:r>
        <w:rPr>
          <w:rFonts w:hint="eastAsia"/>
          <w:color w:val="auto"/>
          <w:spacing w:val="0"/>
          <w:w w:val="100"/>
          <w:position w:val="0"/>
          <w:highlight w:val="none"/>
          <w:lang w:val="en-US" w:eastAsia="zh-CN"/>
        </w:rPr>
        <w:t>2</w:t>
      </w:r>
      <w:r>
        <w:rPr>
          <w:rFonts w:hint="default"/>
          <w:color w:val="auto"/>
          <w:spacing w:val="0"/>
          <w:w w:val="100"/>
          <w:position w:val="0"/>
          <w:highlight w:val="none"/>
          <w:lang w:val="en-US" w:eastAsia="zh-CN"/>
        </w:rPr>
        <w:t>节能降耗</w:t>
      </w:r>
      <w:bookmarkEnd w:id="248"/>
    </w:p>
    <w:p w14:paraId="155884AF">
      <w:pPr>
        <w:keepNext w:val="0"/>
        <w:keepLines w:val="0"/>
        <w:pageBreakBefore w:val="0"/>
        <w:widowControl w:val="0"/>
        <w:suppressLineNumbers w:val="0"/>
        <w:kinsoku/>
        <w:wordWrap/>
        <w:overflowPunct/>
        <w:topLinePunct w:val="0"/>
        <w:autoSpaceDE/>
        <w:autoSpaceDN/>
        <w:bidi w:val="0"/>
        <w:adjustRightInd/>
        <w:snapToGrid/>
        <w:spacing w:line="490" w:lineRule="exact"/>
        <w:ind w:firstLine="480" w:firstLineChars="200"/>
        <w:jc w:val="left"/>
        <w:textAlignment w:val="baseline"/>
        <w:rPr>
          <w:rFonts w:hint="default" w:ascii="Times New Roman" w:hAnsi="Times New Roman" w:cs="Times New Roman"/>
          <w:color w:val="auto"/>
          <w:spacing w:val="0"/>
          <w:w w:val="100"/>
          <w:position w:val="0"/>
          <w:highlight w:val="none"/>
        </w:rPr>
      </w:pPr>
      <w:r>
        <w:rPr>
          <w:rFonts w:hint="default" w:ascii="Times New Roman" w:hAnsi="Times New Roman" w:eastAsia="宋体" w:cs="Times New Roman"/>
          <w:snapToGrid w:val="0"/>
          <w:color w:val="auto"/>
          <w:spacing w:val="0"/>
          <w:w w:val="100"/>
          <w:kern w:val="0"/>
          <w:position w:val="0"/>
          <w:sz w:val="24"/>
          <w:szCs w:val="24"/>
          <w:highlight w:val="none"/>
          <w:lang w:val="en-US" w:eastAsia="zh-CN" w:bidi="ar"/>
        </w:rPr>
        <w:t>本项目本着尽可能采用先进的技术和科学的管理方法来提高能源的利用率，尽可能采取各项有效节能措施并进行综合利用，以减少能耗，提高经济效益。在设计中采用一系列节能措施，使原材料和能源消耗达到国内先进水平。</w:t>
      </w:r>
    </w:p>
    <w:p w14:paraId="47681D6B">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249" w:name="_Toc24676"/>
      <w:r>
        <w:rPr>
          <w:rFonts w:hint="default"/>
          <w:color w:val="auto"/>
          <w:spacing w:val="0"/>
          <w:w w:val="100"/>
          <w:position w:val="0"/>
          <w:highlight w:val="none"/>
          <w:lang w:val="en-US" w:eastAsia="zh-CN"/>
        </w:rPr>
        <w:t>3.</w:t>
      </w:r>
      <w:r>
        <w:rPr>
          <w:rFonts w:hint="eastAsia"/>
          <w:color w:val="auto"/>
          <w:spacing w:val="0"/>
          <w:w w:val="100"/>
          <w:position w:val="0"/>
          <w:highlight w:val="none"/>
          <w:lang w:val="en-US" w:eastAsia="zh-CN"/>
        </w:rPr>
        <w:t>6</w:t>
      </w:r>
      <w:r>
        <w:rPr>
          <w:rFonts w:hint="default"/>
          <w:color w:val="auto"/>
          <w:spacing w:val="0"/>
          <w:w w:val="100"/>
          <w:position w:val="0"/>
          <w:highlight w:val="none"/>
          <w:lang w:val="en-US" w:eastAsia="zh-CN"/>
        </w:rPr>
        <w:t>.</w:t>
      </w:r>
      <w:r>
        <w:rPr>
          <w:rFonts w:hint="eastAsia"/>
          <w:color w:val="auto"/>
          <w:spacing w:val="0"/>
          <w:w w:val="100"/>
          <w:position w:val="0"/>
          <w:highlight w:val="none"/>
          <w:lang w:val="en-US" w:eastAsia="zh-CN"/>
        </w:rPr>
        <w:t>3</w:t>
      </w:r>
      <w:r>
        <w:rPr>
          <w:rFonts w:hint="default"/>
          <w:color w:val="auto"/>
          <w:spacing w:val="0"/>
          <w:w w:val="100"/>
          <w:position w:val="0"/>
          <w:highlight w:val="none"/>
          <w:lang w:val="en-US" w:eastAsia="zh-CN"/>
        </w:rPr>
        <w:t>工艺技术的先进性分析</w:t>
      </w:r>
      <w:bookmarkEnd w:id="249"/>
    </w:p>
    <w:p w14:paraId="1A7FBBBB">
      <w:pPr>
        <w:keepNext w:val="0"/>
        <w:keepLines w:val="0"/>
        <w:pageBreakBefore w:val="0"/>
        <w:widowControl w:val="0"/>
        <w:suppressLineNumbers w:val="0"/>
        <w:kinsoku/>
        <w:wordWrap/>
        <w:overflowPunct/>
        <w:topLinePunct w:val="0"/>
        <w:autoSpaceDE/>
        <w:autoSpaceDN/>
        <w:bidi w:val="0"/>
        <w:adjustRightInd/>
        <w:snapToGrid/>
        <w:spacing w:line="490" w:lineRule="exact"/>
        <w:ind w:firstLine="480" w:firstLineChars="200"/>
        <w:jc w:val="left"/>
        <w:textAlignment w:val="baseline"/>
        <w:rPr>
          <w:rFonts w:hint="default" w:ascii="Times New Roman" w:hAnsi="Times New Roman" w:eastAsia="宋体" w:cs="Times New Roman"/>
          <w:snapToGrid w:val="0"/>
          <w:color w:val="auto"/>
          <w:spacing w:val="0"/>
          <w:w w:val="100"/>
          <w:kern w:val="0"/>
          <w:position w:val="0"/>
          <w:sz w:val="24"/>
          <w:szCs w:val="24"/>
          <w:highlight w:val="none"/>
          <w:lang w:val="en-US" w:eastAsia="zh-CN" w:bidi="ar"/>
        </w:rPr>
      </w:pPr>
      <w:r>
        <w:rPr>
          <w:rFonts w:hint="default" w:ascii="Times New Roman" w:hAnsi="Times New Roman" w:eastAsia="宋体" w:cs="Times New Roman"/>
          <w:snapToGrid w:val="0"/>
          <w:color w:val="auto"/>
          <w:spacing w:val="0"/>
          <w:w w:val="100"/>
          <w:kern w:val="0"/>
          <w:position w:val="0"/>
          <w:sz w:val="24"/>
          <w:szCs w:val="24"/>
          <w:highlight w:val="none"/>
          <w:lang w:val="en-US" w:eastAsia="zh-CN" w:bidi="ar"/>
        </w:rPr>
        <w:t>复合技术：</w:t>
      </w:r>
      <w:r>
        <w:rPr>
          <w:rFonts w:hint="eastAsia" w:cs="Times New Roman"/>
          <w:snapToGrid w:val="0"/>
          <w:color w:val="auto"/>
          <w:spacing w:val="0"/>
          <w:w w:val="100"/>
          <w:kern w:val="0"/>
          <w:position w:val="0"/>
          <w:sz w:val="24"/>
          <w:szCs w:val="24"/>
          <w:highlight w:val="none"/>
          <w:lang w:val="en-US" w:eastAsia="zh-CN" w:bidi="ar"/>
        </w:rPr>
        <w:t>铝塑复合板</w:t>
      </w:r>
      <w:r>
        <w:rPr>
          <w:rFonts w:hint="default" w:ascii="Times New Roman" w:hAnsi="Times New Roman" w:eastAsia="宋体" w:cs="Times New Roman"/>
          <w:snapToGrid w:val="0"/>
          <w:color w:val="auto"/>
          <w:spacing w:val="0"/>
          <w:w w:val="100"/>
          <w:kern w:val="0"/>
          <w:position w:val="0"/>
          <w:sz w:val="24"/>
          <w:szCs w:val="24"/>
          <w:highlight w:val="none"/>
          <w:lang w:val="en-US" w:eastAsia="zh-CN" w:bidi="ar"/>
        </w:rPr>
        <w:t>采用高分子粘结膜将铝卷与PE芯材复合而成，这种复合技术使得</w:t>
      </w:r>
      <w:r>
        <w:rPr>
          <w:rFonts w:hint="eastAsia" w:cs="Times New Roman"/>
          <w:snapToGrid w:val="0"/>
          <w:color w:val="auto"/>
          <w:spacing w:val="0"/>
          <w:w w:val="100"/>
          <w:kern w:val="0"/>
          <w:position w:val="0"/>
          <w:sz w:val="24"/>
          <w:szCs w:val="24"/>
          <w:highlight w:val="none"/>
          <w:lang w:val="en-US" w:eastAsia="zh-CN" w:bidi="ar"/>
        </w:rPr>
        <w:t>铝塑复合板</w:t>
      </w:r>
      <w:r>
        <w:rPr>
          <w:rFonts w:hint="default" w:ascii="Times New Roman" w:hAnsi="Times New Roman" w:eastAsia="宋体" w:cs="Times New Roman"/>
          <w:snapToGrid w:val="0"/>
          <w:color w:val="auto"/>
          <w:spacing w:val="0"/>
          <w:w w:val="100"/>
          <w:kern w:val="0"/>
          <w:position w:val="0"/>
          <w:sz w:val="24"/>
          <w:szCs w:val="24"/>
          <w:highlight w:val="none"/>
          <w:lang w:val="en-US" w:eastAsia="zh-CN" w:bidi="ar"/>
        </w:rPr>
        <w:t>既具有金属的强度和刚性，又具有塑料的柔韧性和耐腐蚀性。</w:t>
      </w:r>
    </w:p>
    <w:p w14:paraId="1524448E">
      <w:pPr>
        <w:keepNext w:val="0"/>
        <w:keepLines w:val="0"/>
        <w:pageBreakBefore w:val="0"/>
        <w:widowControl w:val="0"/>
        <w:suppressLineNumbers w:val="0"/>
        <w:kinsoku/>
        <w:wordWrap/>
        <w:overflowPunct/>
        <w:topLinePunct w:val="0"/>
        <w:autoSpaceDE/>
        <w:autoSpaceDN/>
        <w:bidi w:val="0"/>
        <w:adjustRightInd/>
        <w:snapToGrid/>
        <w:spacing w:line="490" w:lineRule="exact"/>
        <w:ind w:firstLine="480" w:firstLineChars="200"/>
        <w:jc w:val="left"/>
        <w:textAlignment w:val="baseline"/>
        <w:rPr>
          <w:rFonts w:hint="default" w:ascii="Times New Roman" w:hAnsi="Times New Roman" w:eastAsia="宋体" w:cs="Times New Roman"/>
          <w:snapToGrid w:val="0"/>
          <w:color w:val="auto"/>
          <w:spacing w:val="0"/>
          <w:w w:val="100"/>
          <w:kern w:val="0"/>
          <w:position w:val="0"/>
          <w:sz w:val="24"/>
          <w:szCs w:val="24"/>
          <w:highlight w:val="none"/>
          <w:lang w:val="en-US" w:eastAsia="zh-CN" w:bidi="ar"/>
        </w:rPr>
      </w:pPr>
      <w:r>
        <w:rPr>
          <w:rFonts w:hint="default" w:ascii="Times New Roman" w:hAnsi="Times New Roman" w:eastAsia="宋体" w:cs="Times New Roman"/>
          <w:snapToGrid w:val="0"/>
          <w:color w:val="auto"/>
          <w:spacing w:val="0"/>
          <w:w w:val="100"/>
          <w:kern w:val="0"/>
          <w:position w:val="0"/>
          <w:sz w:val="24"/>
          <w:szCs w:val="24"/>
          <w:highlight w:val="none"/>
          <w:lang w:val="en-US" w:eastAsia="zh-CN" w:bidi="ar"/>
        </w:rPr>
        <w:t>多样化设计：</w:t>
      </w:r>
      <w:r>
        <w:rPr>
          <w:rFonts w:hint="eastAsia" w:cs="Times New Roman"/>
          <w:snapToGrid w:val="0"/>
          <w:color w:val="auto"/>
          <w:spacing w:val="0"/>
          <w:w w:val="100"/>
          <w:kern w:val="0"/>
          <w:position w:val="0"/>
          <w:sz w:val="24"/>
          <w:szCs w:val="24"/>
          <w:highlight w:val="none"/>
          <w:lang w:val="en-US" w:eastAsia="zh-CN" w:bidi="ar"/>
        </w:rPr>
        <w:t>铝塑复合板</w:t>
      </w:r>
      <w:r>
        <w:rPr>
          <w:rFonts w:hint="default" w:ascii="Times New Roman" w:hAnsi="Times New Roman" w:eastAsia="宋体" w:cs="Times New Roman"/>
          <w:snapToGrid w:val="0"/>
          <w:color w:val="auto"/>
          <w:spacing w:val="0"/>
          <w:w w:val="100"/>
          <w:kern w:val="0"/>
          <w:position w:val="0"/>
          <w:sz w:val="24"/>
          <w:szCs w:val="24"/>
          <w:highlight w:val="none"/>
          <w:lang w:val="en-US" w:eastAsia="zh-CN" w:bidi="ar"/>
        </w:rPr>
        <w:t>可根据客户需求进行定制化生产，包括颜色、图案、厚度等，满足不同建筑风格的需求。</w:t>
      </w:r>
    </w:p>
    <w:p w14:paraId="2B0AEF90">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250" w:name="_Toc22734"/>
      <w:r>
        <w:rPr>
          <w:rFonts w:hint="default"/>
          <w:color w:val="auto"/>
          <w:spacing w:val="0"/>
          <w:w w:val="100"/>
          <w:position w:val="0"/>
          <w:highlight w:val="none"/>
          <w:lang w:val="en-US" w:eastAsia="zh-CN"/>
        </w:rPr>
        <w:t>3.</w:t>
      </w:r>
      <w:r>
        <w:rPr>
          <w:rFonts w:hint="eastAsia"/>
          <w:color w:val="auto"/>
          <w:spacing w:val="0"/>
          <w:w w:val="100"/>
          <w:position w:val="0"/>
          <w:highlight w:val="none"/>
          <w:lang w:val="en-US" w:eastAsia="zh-CN"/>
        </w:rPr>
        <w:t>6</w:t>
      </w:r>
      <w:r>
        <w:rPr>
          <w:rFonts w:hint="default"/>
          <w:color w:val="auto"/>
          <w:spacing w:val="0"/>
          <w:w w:val="100"/>
          <w:position w:val="0"/>
          <w:highlight w:val="none"/>
          <w:lang w:val="en-US" w:eastAsia="zh-CN"/>
        </w:rPr>
        <w:t>.</w:t>
      </w:r>
      <w:r>
        <w:rPr>
          <w:rFonts w:hint="eastAsia"/>
          <w:color w:val="auto"/>
          <w:spacing w:val="0"/>
          <w:w w:val="100"/>
          <w:position w:val="0"/>
          <w:highlight w:val="none"/>
          <w:lang w:val="en-US" w:eastAsia="zh-CN"/>
        </w:rPr>
        <w:t>4</w:t>
      </w:r>
      <w:r>
        <w:rPr>
          <w:rFonts w:hint="default"/>
          <w:color w:val="auto"/>
          <w:spacing w:val="0"/>
          <w:w w:val="100"/>
          <w:position w:val="0"/>
          <w:highlight w:val="none"/>
          <w:lang w:val="en-US" w:eastAsia="zh-CN"/>
        </w:rPr>
        <w:t>设备选型</w:t>
      </w:r>
      <w:bookmarkEnd w:id="250"/>
    </w:p>
    <w:p w14:paraId="3C23F9B5">
      <w:pPr>
        <w:keepNext w:val="0"/>
        <w:keepLines w:val="0"/>
        <w:pageBreakBefore w:val="0"/>
        <w:widowControl w:val="0"/>
        <w:suppressLineNumbers w:val="0"/>
        <w:kinsoku/>
        <w:wordWrap/>
        <w:overflowPunct/>
        <w:topLinePunct w:val="0"/>
        <w:autoSpaceDE/>
        <w:autoSpaceDN/>
        <w:bidi w:val="0"/>
        <w:adjustRightInd/>
        <w:snapToGrid/>
        <w:spacing w:line="490" w:lineRule="exact"/>
        <w:ind w:firstLine="480" w:firstLineChars="200"/>
        <w:jc w:val="left"/>
        <w:textAlignment w:val="baseline"/>
        <w:rPr>
          <w:rFonts w:hint="default" w:ascii="Times New Roman" w:hAnsi="Times New Roman" w:cs="Times New Roman"/>
          <w:color w:val="auto"/>
          <w:spacing w:val="0"/>
          <w:w w:val="100"/>
          <w:position w:val="0"/>
          <w:highlight w:val="none"/>
        </w:rPr>
      </w:pPr>
      <w:r>
        <w:rPr>
          <w:rFonts w:hint="default" w:ascii="Times New Roman" w:hAnsi="Times New Roman" w:eastAsia="宋体" w:cs="Times New Roman"/>
          <w:snapToGrid w:val="0"/>
          <w:color w:val="auto"/>
          <w:spacing w:val="0"/>
          <w:w w:val="100"/>
          <w:kern w:val="0"/>
          <w:position w:val="0"/>
          <w:sz w:val="24"/>
          <w:szCs w:val="24"/>
          <w:highlight w:val="none"/>
          <w:lang w:val="en-US" w:eastAsia="zh-CN" w:bidi="ar"/>
        </w:rPr>
        <w:t>企业选用的设备应具备以下原则：大型化，选型本着可靠、先进、适用的原则，尽量考虑设备的大型化，尽可能减少同类设备的台数。设备国产化，选择国内可设计制造且能满足生产的需要，立足国内采购、制作。根据国内生产厂家的实践经验，在满足工艺要求的前提下全部选用已在同行业生产中有成熟使用经验的设备材料。</w:t>
      </w:r>
    </w:p>
    <w:p w14:paraId="3C4F5810">
      <w:pPr>
        <w:keepNext w:val="0"/>
        <w:keepLines w:val="0"/>
        <w:pageBreakBefore w:val="0"/>
        <w:widowControl w:val="0"/>
        <w:suppressLineNumbers w:val="0"/>
        <w:kinsoku/>
        <w:wordWrap/>
        <w:overflowPunct/>
        <w:topLinePunct w:val="0"/>
        <w:autoSpaceDE/>
        <w:autoSpaceDN/>
        <w:bidi w:val="0"/>
        <w:adjustRightInd/>
        <w:snapToGrid/>
        <w:spacing w:line="490" w:lineRule="exact"/>
        <w:ind w:firstLine="480" w:firstLineChars="200"/>
        <w:jc w:val="left"/>
        <w:textAlignment w:val="baseline"/>
        <w:rPr>
          <w:rFonts w:hint="default" w:ascii="Times New Roman" w:hAnsi="Times New Roman" w:cs="Times New Roman"/>
          <w:color w:val="auto"/>
          <w:spacing w:val="0"/>
          <w:w w:val="100"/>
          <w:position w:val="0"/>
          <w:highlight w:val="none"/>
        </w:rPr>
      </w:pPr>
      <w:r>
        <w:rPr>
          <w:rFonts w:hint="default" w:ascii="Times New Roman" w:hAnsi="Times New Roman" w:eastAsia="宋体" w:cs="Times New Roman"/>
          <w:snapToGrid w:val="0"/>
          <w:color w:val="auto"/>
          <w:spacing w:val="0"/>
          <w:w w:val="100"/>
          <w:kern w:val="0"/>
          <w:position w:val="0"/>
          <w:sz w:val="24"/>
          <w:szCs w:val="24"/>
          <w:highlight w:val="none"/>
          <w:lang w:val="en-US" w:eastAsia="zh-CN" w:bidi="ar"/>
        </w:rPr>
        <w:t>设备选型在保证产品质量、生产能力以及研究发展的前提下，选择性能价格比高的工艺设备。选用成熟可靠的生产反应设备和仪器、仪表装置，合理布置物料输送管线，减少物料输送设备，提高本项目的装备水平和装备的可靠性。</w:t>
      </w:r>
    </w:p>
    <w:p w14:paraId="5279AD76">
      <w:pPr>
        <w:keepNext w:val="0"/>
        <w:keepLines w:val="0"/>
        <w:pageBreakBefore w:val="0"/>
        <w:widowControl w:val="0"/>
        <w:suppressLineNumbers w:val="0"/>
        <w:kinsoku/>
        <w:wordWrap/>
        <w:overflowPunct/>
        <w:topLinePunct w:val="0"/>
        <w:autoSpaceDE/>
        <w:autoSpaceDN/>
        <w:bidi w:val="0"/>
        <w:adjustRightInd/>
        <w:snapToGrid/>
        <w:spacing w:line="490" w:lineRule="exact"/>
        <w:ind w:firstLine="480" w:firstLineChars="200"/>
        <w:jc w:val="left"/>
        <w:textAlignment w:val="baseline"/>
        <w:rPr>
          <w:rFonts w:hint="default" w:ascii="Times New Roman" w:hAnsi="Times New Roman" w:cs="Times New Roman"/>
          <w:color w:val="auto"/>
          <w:spacing w:val="0"/>
          <w:w w:val="100"/>
          <w:position w:val="0"/>
          <w:highlight w:val="none"/>
        </w:rPr>
      </w:pPr>
      <w:r>
        <w:rPr>
          <w:rFonts w:hint="default" w:ascii="Times New Roman" w:hAnsi="Times New Roman" w:eastAsia="宋体" w:cs="Times New Roman"/>
          <w:snapToGrid w:val="0"/>
          <w:color w:val="auto"/>
          <w:spacing w:val="0"/>
          <w:w w:val="100"/>
          <w:kern w:val="0"/>
          <w:position w:val="0"/>
          <w:sz w:val="24"/>
          <w:szCs w:val="24"/>
          <w:highlight w:val="none"/>
          <w:lang w:val="en-US" w:eastAsia="zh-CN" w:bidi="ar"/>
        </w:rPr>
        <w:t>采用密闭生产系统，物料进、出用密封泵输送，减少物料进出过程物料的损失。为满足工艺要求，生产设备设置温度、压力、流量等监控仪表，以便能及时、有效、精确地控制工艺参数，提高设备运行的可靠性、产品品质。</w:t>
      </w:r>
    </w:p>
    <w:p w14:paraId="4D418701">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251" w:name="_Toc21740"/>
      <w:r>
        <w:rPr>
          <w:rFonts w:hint="default"/>
          <w:color w:val="auto"/>
          <w:spacing w:val="0"/>
          <w:w w:val="100"/>
          <w:position w:val="0"/>
          <w:highlight w:val="none"/>
          <w:lang w:val="en-US" w:eastAsia="zh-CN"/>
        </w:rPr>
        <w:t>3.</w:t>
      </w:r>
      <w:r>
        <w:rPr>
          <w:rFonts w:hint="eastAsia"/>
          <w:color w:val="auto"/>
          <w:spacing w:val="0"/>
          <w:w w:val="100"/>
          <w:position w:val="0"/>
          <w:highlight w:val="none"/>
          <w:lang w:val="en-US" w:eastAsia="zh-CN"/>
        </w:rPr>
        <w:t>6</w:t>
      </w:r>
      <w:r>
        <w:rPr>
          <w:rFonts w:hint="default"/>
          <w:color w:val="auto"/>
          <w:spacing w:val="0"/>
          <w:w w:val="100"/>
          <w:position w:val="0"/>
          <w:highlight w:val="none"/>
          <w:lang w:val="en-US" w:eastAsia="zh-CN"/>
        </w:rPr>
        <w:t>.</w:t>
      </w:r>
      <w:r>
        <w:rPr>
          <w:rFonts w:hint="eastAsia"/>
          <w:color w:val="auto"/>
          <w:spacing w:val="0"/>
          <w:w w:val="100"/>
          <w:position w:val="0"/>
          <w:highlight w:val="none"/>
          <w:lang w:val="en-US" w:eastAsia="zh-CN"/>
        </w:rPr>
        <w:t>5</w:t>
      </w:r>
      <w:r>
        <w:rPr>
          <w:rFonts w:hint="default"/>
          <w:color w:val="auto"/>
          <w:spacing w:val="0"/>
          <w:w w:val="100"/>
          <w:position w:val="0"/>
          <w:highlight w:val="none"/>
          <w:lang w:val="en-US" w:eastAsia="zh-CN"/>
        </w:rPr>
        <w:t>污染物控制</w:t>
      </w:r>
      <w:bookmarkEnd w:id="251"/>
    </w:p>
    <w:p w14:paraId="6A402CA9">
      <w:pPr>
        <w:keepNext w:val="0"/>
        <w:keepLines w:val="0"/>
        <w:pageBreakBefore w:val="0"/>
        <w:widowControl w:val="0"/>
        <w:suppressLineNumbers w:val="0"/>
        <w:kinsoku/>
        <w:wordWrap/>
        <w:overflowPunct/>
        <w:topLinePunct w:val="0"/>
        <w:autoSpaceDE/>
        <w:autoSpaceDN/>
        <w:bidi w:val="0"/>
        <w:adjustRightInd/>
        <w:snapToGrid/>
        <w:spacing w:line="490" w:lineRule="exact"/>
        <w:ind w:firstLine="480" w:firstLineChars="200"/>
        <w:jc w:val="left"/>
        <w:textAlignment w:val="baseline"/>
        <w:rPr>
          <w:rFonts w:hint="default" w:ascii="Times New Roman" w:hAnsi="Times New Roman" w:cs="Times New Roman"/>
          <w:color w:val="auto"/>
          <w:spacing w:val="0"/>
          <w:w w:val="100"/>
          <w:position w:val="0"/>
          <w:highlight w:val="none"/>
        </w:rPr>
      </w:pPr>
      <w:r>
        <w:rPr>
          <w:rFonts w:hint="default" w:ascii="Times New Roman" w:hAnsi="Times New Roman" w:eastAsia="宋体" w:cs="Times New Roman"/>
          <w:snapToGrid w:val="0"/>
          <w:color w:val="auto"/>
          <w:spacing w:val="0"/>
          <w:w w:val="100"/>
          <w:kern w:val="0"/>
          <w:position w:val="0"/>
          <w:sz w:val="24"/>
          <w:szCs w:val="24"/>
          <w:highlight w:val="none"/>
          <w:lang w:val="en-US" w:eastAsia="zh-CN" w:bidi="ar"/>
        </w:rPr>
        <w:t>本项目产生主要为废气、废水、噪声、固废。废气采用现阶段推荐使用的环保治理措施，处理效率高，确保污染物的达标排放；</w:t>
      </w:r>
      <w:r>
        <w:rPr>
          <w:rFonts w:hint="eastAsia" w:cs="Times New Roman"/>
          <w:snapToGrid w:val="0"/>
          <w:color w:val="auto"/>
          <w:spacing w:val="0"/>
          <w:w w:val="100"/>
          <w:kern w:val="0"/>
          <w:position w:val="0"/>
          <w:sz w:val="24"/>
          <w:szCs w:val="24"/>
          <w:highlight w:val="none"/>
          <w:lang w:val="en-US" w:eastAsia="zh-CN" w:bidi="ar"/>
        </w:rPr>
        <w:t>冷却用水循环使用不外排，</w:t>
      </w:r>
      <w:r>
        <w:rPr>
          <w:rFonts w:hint="default" w:ascii="Times New Roman" w:hAnsi="Times New Roman" w:eastAsia="宋体" w:cs="Times New Roman"/>
          <w:snapToGrid w:val="0"/>
          <w:color w:val="auto"/>
          <w:spacing w:val="0"/>
          <w:w w:val="100"/>
          <w:kern w:val="0"/>
          <w:position w:val="0"/>
          <w:sz w:val="24"/>
          <w:szCs w:val="24"/>
          <w:highlight w:val="none"/>
          <w:lang w:val="en-US" w:eastAsia="zh-CN" w:bidi="ar"/>
        </w:rPr>
        <w:t>生产设备产生的噪声经隔声、消声、减振后能实现达标排放，产生的固体废物均得到有效处置。</w:t>
      </w:r>
    </w:p>
    <w:p w14:paraId="610CD04E">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252" w:name="_Toc25708"/>
      <w:r>
        <w:rPr>
          <w:rFonts w:hint="default"/>
          <w:color w:val="auto"/>
          <w:spacing w:val="0"/>
          <w:w w:val="100"/>
          <w:position w:val="0"/>
          <w:highlight w:val="none"/>
          <w:lang w:val="en-US" w:eastAsia="zh-CN"/>
        </w:rPr>
        <w:t>3.</w:t>
      </w:r>
      <w:r>
        <w:rPr>
          <w:rFonts w:hint="eastAsia"/>
          <w:color w:val="auto"/>
          <w:spacing w:val="0"/>
          <w:w w:val="100"/>
          <w:position w:val="0"/>
          <w:highlight w:val="none"/>
          <w:lang w:val="en-US" w:eastAsia="zh-CN"/>
        </w:rPr>
        <w:t>6</w:t>
      </w:r>
      <w:r>
        <w:rPr>
          <w:rFonts w:hint="default"/>
          <w:color w:val="auto"/>
          <w:spacing w:val="0"/>
          <w:w w:val="100"/>
          <w:position w:val="0"/>
          <w:highlight w:val="none"/>
          <w:lang w:val="en-US" w:eastAsia="zh-CN"/>
        </w:rPr>
        <w:t>.</w:t>
      </w:r>
      <w:r>
        <w:rPr>
          <w:rFonts w:hint="eastAsia"/>
          <w:color w:val="auto"/>
          <w:spacing w:val="0"/>
          <w:w w:val="100"/>
          <w:position w:val="0"/>
          <w:highlight w:val="none"/>
          <w:lang w:val="en-US" w:eastAsia="zh-CN"/>
        </w:rPr>
        <w:t>6</w:t>
      </w:r>
      <w:r>
        <w:rPr>
          <w:rFonts w:hint="default"/>
          <w:color w:val="auto"/>
          <w:spacing w:val="0"/>
          <w:w w:val="100"/>
          <w:position w:val="0"/>
          <w:highlight w:val="none"/>
          <w:lang w:val="en-US" w:eastAsia="zh-CN"/>
        </w:rPr>
        <w:t>清洁生产评价结论</w:t>
      </w:r>
      <w:bookmarkEnd w:id="252"/>
    </w:p>
    <w:p w14:paraId="30611453">
      <w:pPr>
        <w:pStyle w:val="32"/>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r>
        <w:rPr>
          <w:rFonts w:hint="default" w:ascii="Times New Roman" w:hAnsi="Times New Roman" w:eastAsia="宋体" w:cs="Times New Roman"/>
          <w:snapToGrid w:val="0"/>
          <w:color w:val="auto"/>
          <w:spacing w:val="0"/>
          <w:w w:val="100"/>
          <w:kern w:val="0"/>
          <w:position w:val="0"/>
          <w:sz w:val="24"/>
          <w:szCs w:val="24"/>
          <w:highlight w:val="none"/>
          <w:lang w:val="en-US" w:eastAsia="zh-CN" w:bidi="ar"/>
        </w:rPr>
        <w:t>综上所述，本项目从原辅材料和能源选择、工艺水平、技术路线、资源能源利用指标、污染物产生指标、环境管理指标来讲基本达到国内领先水平，符合清洁生产要求。</w:t>
      </w:r>
    </w:p>
    <w:p w14:paraId="4D404E12">
      <w:pPr>
        <w:pStyle w:val="32"/>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p>
    <w:p w14:paraId="6F78C1D7">
      <w:pPr>
        <w:pStyle w:val="32"/>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sectPr>
          <w:headerReference r:id="rId8" w:type="default"/>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4CBD180B">
      <w:pPr>
        <w:pStyle w:val="2"/>
        <w:keepNext w:val="0"/>
        <w:keepLines w:val="0"/>
        <w:pageBreakBefore w:val="0"/>
        <w:widowControl w:val="0"/>
        <w:kinsoku/>
        <w:wordWrap/>
        <w:overflowPunct/>
        <w:topLinePunct w:val="0"/>
        <w:autoSpaceDE/>
        <w:autoSpaceDN/>
        <w:bidi w:val="0"/>
        <w:adjustRightInd/>
        <w:snapToGrid/>
        <w:rPr>
          <w:color w:val="auto"/>
          <w:spacing w:val="0"/>
          <w:w w:val="100"/>
          <w:position w:val="0"/>
          <w:highlight w:val="none"/>
        </w:rPr>
      </w:pPr>
      <w:bookmarkStart w:id="253" w:name="_Toc138589827"/>
      <w:bookmarkStart w:id="254" w:name="_Toc7108"/>
      <w:bookmarkStart w:id="255" w:name="_Toc13404"/>
      <w:bookmarkStart w:id="256" w:name="_Toc398842946"/>
      <w:r>
        <w:rPr>
          <w:rFonts w:hint="eastAsia"/>
          <w:color w:val="auto"/>
          <w:spacing w:val="0"/>
          <w:w w:val="100"/>
          <w:position w:val="0"/>
          <w:highlight w:val="none"/>
          <w:lang w:val="en-US" w:eastAsia="zh-CN"/>
        </w:rPr>
        <w:t>4</w:t>
      </w:r>
      <w:r>
        <w:rPr>
          <w:color w:val="auto"/>
          <w:spacing w:val="0"/>
          <w:w w:val="100"/>
          <w:position w:val="0"/>
          <w:highlight w:val="none"/>
        </w:rPr>
        <w:t>区域环境概况</w:t>
      </w:r>
      <w:bookmarkEnd w:id="253"/>
      <w:bookmarkEnd w:id="254"/>
      <w:bookmarkEnd w:id="255"/>
      <w:bookmarkEnd w:id="256"/>
    </w:p>
    <w:p w14:paraId="21D5516F">
      <w:pPr>
        <w:pStyle w:val="3"/>
        <w:keepNext w:val="0"/>
        <w:keepLines w:val="0"/>
        <w:pageBreakBefore w:val="0"/>
        <w:widowControl w:val="0"/>
        <w:kinsoku/>
        <w:wordWrap/>
        <w:overflowPunct/>
        <w:topLinePunct w:val="0"/>
        <w:autoSpaceDE/>
        <w:autoSpaceDN/>
        <w:bidi w:val="0"/>
        <w:adjustRightInd/>
        <w:snapToGrid/>
        <w:rPr>
          <w:color w:val="auto"/>
          <w:spacing w:val="0"/>
          <w:w w:val="100"/>
          <w:position w:val="0"/>
          <w:highlight w:val="none"/>
        </w:rPr>
      </w:pPr>
      <w:bookmarkStart w:id="257" w:name="_Toc138589828"/>
      <w:bookmarkStart w:id="258" w:name="_Toc398842947"/>
      <w:bookmarkStart w:id="259" w:name="_Toc380417893"/>
      <w:bookmarkStart w:id="260" w:name="_Toc14287"/>
      <w:bookmarkStart w:id="261" w:name="_Toc18211"/>
      <w:r>
        <w:rPr>
          <w:color w:val="auto"/>
          <w:spacing w:val="0"/>
          <w:w w:val="100"/>
          <w:position w:val="0"/>
          <w:highlight w:val="none"/>
        </w:rPr>
        <w:t>4.1自然环境概况</w:t>
      </w:r>
      <w:bookmarkEnd w:id="257"/>
      <w:bookmarkEnd w:id="258"/>
      <w:bookmarkEnd w:id="259"/>
      <w:bookmarkEnd w:id="260"/>
      <w:bookmarkEnd w:id="261"/>
    </w:p>
    <w:p w14:paraId="5FA10E60">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bookmarkStart w:id="262" w:name="_Toc24834"/>
      <w:r>
        <w:rPr>
          <w:rFonts w:hint="default"/>
          <w:color w:val="auto"/>
          <w:spacing w:val="0"/>
          <w:w w:val="100"/>
          <w:position w:val="0"/>
          <w:highlight w:val="none"/>
        </w:rPr>
        <w:t>4.1.1地理位置及交通状况</w:t>
      </w:r>
      <w:bookmarkEnd w:id="262"/>
    </w:p>
    <w:p w14:paraId="5A711626">
      <w:pPr>
        <w:keepNext w:val="0"/>
        <w:keepLines w:val="0"/>
        <w:pageBreakBefore w:val="0"/>
        <w:widowControl w:val="0"/>
        <w:kinsoku/>
        <w:wordWrap/>
        <w:overflowPunct/>
        <w:topLinePunct w:val="0"/>
        <w:autoSpaceDE/>
        <w:autoSpaceDN/>
        <w:bidi w:val="0"/>
        <w:adjustRightInd/>
        <w:snapToGrid/>
        <w:ind w:firstLine="480"/>
        <w:rPr>
          <w:rFonts w:hint="default" w:ascii="Times New Roman" w:hAnsi="Times New Roman" w:cs="Times New Roman"/>
          <w:color w:val="auto"/>
          <w:spacing w:val="0"/>
          <w:w w:val="100"/>
          <w:position w:val="0"/>
          <w:highlight w:val="none"/>
        </w:rPr>
      </w:pPr>
      <w:r>
        <w:rPr>
          <w:rFonts w:hint="default" w:ascii="Times New Roman" w:hAnsi="Times New Roman" w:cs="Times New Roman"/>
          <w:color w:val="auto"/>
          <w:spacing w:val="0"/>
          <w:w w:val="100"/>
          <w:position w:val="0"/>
          <w:highlight w:val="none"/>
        </w:rPr>
        <w:t>阜康市，新疆维吾尔自治区昌吉回族自治州辖县级市，位于新疆中北部，阜康市地处天山东段（博格达山）北麓、准噶尔盆地南缘，东邻吉木萨尔县，西与米东区接壤，南与乌鲁木齐县相望，北与阿勒泰地区富蕴县相连。介于东经87°46′—88°44′，北纬43°45′—45°30′之间，东西最宽处76千米，南北最长处198千米，总面积8545平方千米。西距自治区首府乌鲁木齐市57千米，西距昌吉回族自治州首府昌吉市93千米。</w:t>
      </w:r>
    </w:p>
    <w:p w14:paraId="006EF2D7">
      <w:pPr>
        <w:keepNext w:val="0"/>
        <w:keepLines w:val="0"/>
        <w:pageBreakBefore w:val="0"/>
        <w:widowControl w:val="0"/>
        <w:kinsoku/>
        <w:wordWrap/>
        <w:overflowPunct/>
        <w:topLinePunct w:val="0"/>
        <w:autoSpaceDE/>
        <w:autoSpaceDN/>
        <w:bidi w:val="0"/>
        <w:adjustRightInd/>
        <w:snapToGrid/>
        <w:ind w:firstLine="480"/>
        <w:rPr>
          <w:color w:val="auto"/>
          <w:spacing w:val="0"/>
          <w:w w:val="100"/>
          <w:position w:val="0"/>
          <w:highlight w:val="none"/>
        </w:rPr>
      </w:pPr>
      <w:r>
        <w:rPr>
          <w:color w:val="auto"/>
          <w:spacing w:val="0"/>
          <w:w w:val="100"/>
          <w:position w:val="0"/>
          <w:highlight w:val="none"/>
        </w:rPr>
        <w:t>本项目</w:t>
      </w:r>
      <w:r>
        <w:rPr>
          <w:rFonts w:hint="eastAsia"/>
          <w:color w:val="auto"/>
          <w:spacing w:val="0"/>
          <w:w w:val="100"/>
          <w:position w:val="0"/>
          <w:highlight w:val="none"/>
          <w:lang w:val="en-US" w:eastAsia="zh-CN"/>
        </w:rPr>
        <w:t>位于甘泉堡工业园区中小微企业创新区，项目厂区厂区东侧、南侧、西侧均为园区生产厂房，北侧为阜锦路，地理位置坐标为：</w:t>
      </w:r>
      <w:r>
        <w:rPr>
          <w:rFonts w:hint="default" w:ascii="Times New Roman" w:hAnsi="Times New Roman" w:cs="Times New Roman"/>
          <w:color w:val="auto"/>
          <w:spacing w:val="0"/>
          <w:w w:val="100"/>
          <w:position w:val="0"/>
          <w:highlight w:val="none"/>
          <w:lang w:val="en-US" w:eastAsia="zh-CN"/>
        </w:rPr>
        <w:t>东经87°50'39.048"，北纬44°09'44.799"</w:t>
      </w:r>
      <w:r>
        <w:rPr>
          <w:rFonts w:hint="eastAsia" w:cs="Times New Roman"/>
          <w:color w:val="auto"/>
          <w:spacing w:val="0"/>
          <w:w w:val="100"/>
          <w:position w:val="0"/>
          <w:highlight w:val="none"/>
          <w:lang w:val="en-US" w:eastAsia="zh-CN"/>
        </w:rPr>
        <w:t>。</w:t>
      </w:r>
    </w:p>
    <w:p w14:paraId="51DD34F8">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bookmarkStart w:id="263" w:name="_Toc20189"/>
      <w:r>
        <w:rPr>
          <w:rFonts w:hint="default"/>
          <w:color w:val="auto"/>
          <w:spacing w:val="0"/>
          <w:w w:val="100"/>
          <w:position w:val="0"/>
          <w:highlight w:val="none"/>
        </w:rPr>
        <w:t>4.1.2地形、地貌</w:t>
      </w:r>
      <w:bookmarkEnd w:id="263"/>
    </w:p>
    <w:p w14:paraId="09724F73">
      <w:pPr>
        <w:keepNext w:val="0"/>
        <w:keepLines w:val="0"/>
        <w:pageBreakBefore w:val="0"/>
        <w:widowControl w:val="0"/>
        <w:kinsoku/>
        <w:wordWrap/>
        <w:overflowPunct/>
        <w:topLinePunct w:val="0"/>
        <w:autoSpaceDE/>
        <w:autoSpaceDN/>
        <w:bidi w:val="0"/>
        <w:adjustRightInd/>
        <w:snapToGrid/>
        <w:ind w:firstLine="480"/>
        <w:rPr>
          <w:rFonts w:hint="eastAsia" w:ascii="Times New Roman" w:hAnsi="Times New Roman" w:eastAsia="宋体" w:cs="Times New Roman"/>
          <w:color w:val="auto"/>
          <w:spacing w:val="0"/>
          <w:w w:val="100"/>
          <w:position w:val="0"/>
          <w:highlight w:val="none"/>
        </w:rPr>
      </w:pPr>
      <w:r>
        <w:rPr>
          <w:rFonts w:hint="eastAsia" w:ascii="Times New Roman" w:hAnsi="Times New Roman" w:eastAsia="宋体" w:cs="Times New Roman"/>
          <w:color w:val="auto"/>
          <w:spacing w:val="0"/>
          <w:w w:val="100"/>
          <w:position w:val="0"/>
          <w:highlight w:val="none"/>
        </w:rPr>
        <w:t>阜康市地貌特征由南向北可划分为南部山区、中部平原、北部沙漠三个单元。</w:t>
      </w:r>
    </w:p>
    <w:p w14:paraId="01B20B8C">
      <w:pPr>
        <w:keepNext w:val="0"/>
        <w:keepLines w:val="0"/>
        <w:pageBreakBefore w:val="0"/>
        <w:widowControl w:val="0"/>
        <w:kinsoku/>
        <w:wordWrap/>
        <w:overflowPunct/>
        <w:topLinePunct w:val="0"/>
        <w:autoSpaceDE/>
        <w:autoSpaceDN/>
        <w:bidi w:val="0"/>
        <w:adjustRightInd/>
        <w:snapToGrid/>
        <w:ind w:firstLine="480"/>
        <w:rPr>
          <w:rFonts w:hint="eastAsia" w:ascii="Times New Roman" w:hAnsi="Times New Roman" w:eastAsia="宋体" w:cs="Times New Roman"/>
          <w:color w:val="auto"/>
          <w:spacing w:val="0"/>
          <w:w w:val="100"/>
          <w:position w:val="0"/>
          <w:highlight w:val="none"/>
        </w:rPr>
      </w:pPr>
      <w:r>
        <w:rPr>
          <w:rFonts w:hint="eastAsia" w:ascii="Times New Roman" w:hAnsi="Times New Roman" w:eastAsia="宋体" w:cs="Times New Roman"/>
          <w:color w:val="auto"/>
          <w:spacing w:val="0"/>
          <w:w w:val="100"/>
          <w:position w:val="0"/>
          <w:highlight w:val="none"/>
        </w:rPr>
        <w:t>南部山区：面积为1793.8平方千米，占全市土地总面积的15.5%；海拔700—5445米，属天山山脉，主脉东西走向，海拔5445米的博格达峰屹立于群峰南侧；海拔2800米以上为高山区，终年积雪，孕育着发达的现代冰川，是阜康市各条河流的发源地；海拔2800—1700米为中山带，是阜康市天然林区及主要夏牧场。海拔1700—700米为前山丘陵地带，富含矿藏，是阜康市牧林农矿结合，开展多种经营的重要区域。</w:t>
      </w:r>
    </w:p>
    <w:p w14:paraId="02799DBE">
      <w:pPr>
        <w:keepNext w:val="0"/>
        <w:keepLines w:val="0"/>
        <w:pageBreakBefore w:val="0"/>
        <w:widowControl w:val="0"/>
        <w:kinsoku/>
        <w:wordWrap/>
        <w:overflowPunct/>
        <w:topLinePunct w:val="0"/>
        <w:autoSpaceDE/>
        <w:autoSpaceDN/>
        <w:bidi w:val="0"/>
        <w:adjustRightInd/>
        <w:snapToGrid/>
        <w:ind w:firstLine="480"/>
        <w:rPr>
          <w:rFonts w:hint="eastAsia" w:ascii="Times New Roman" w:hAnsi="Times New Roman" w:eastAsia="宋体" w:cs="Times New Roman"/>
          <w:color w:val="auto"/>
          <w:spacing w:val="0"/>
          <w:w w:val="100"/>
          <w:position w:val="0"/>
          <w:highlight w:val="none"/>
        </w:rPr>
      </w:pPr>
      <w:r>
        <w:rPr>
          <w:rFonts w:hint="eastAsia" w:ascii="Times New Roman" w:hAnsi="Times New Roman" w:eastAsia="宋体" w:cs="Times New Roman"/>
          <w:color w:val="auto"/>
          <w:spacing w:val="0"/>
          <w:w w:val="100"/>
          <w:position w:val="0"/>
          <w:highlight w:val="none"/>
        </w:rPr>
        <w:t>中部平原：面积为2233.6平方千米，占全市土地总面积的19.3%；海拔700—450米，由各河流冲积、洪积而成，地势由东南向西北倾斜，平均坡度2.5%，是全市社会经济发展最为活跃的区域，该区地势平坦，土层较厚，是粮油主产区，也是基本农田的集中分布区。</w:t>
      </w:r>
    </w:p>
    <w:p w14:paraId="4640143F">
      <w:pPr>
        <w:keepNext w:val="0"/>
        <w:keepLines w:val="0"/>
        <w:pageBreakBefore w:val="0"/>
        <w:widowControl w:val="0"/>
        <w:kinsoku/>
        <w:wordWrap/>
        <w:overflowPunct/>
        <w:topLinePunct w:val="0"/>
        <w:autoSpaceDE/>
        <w:autoSpaceDN/>
        <w:bidi w:val="0"/>
        <w:adjustRightInd/>
        <w:snapToGrid/>
        <w:ind w:firstLine="480"/>
        <w:rPr>
          <w:rFonts w:hint="default" w:ascii="Times New Roman" w:hAnsi="Times New Roman" w:eastAsia="宋体" w:cs="Times New Roman"/>
          <w:color w:val="auto"/>
          <w:spacing w:val="0"/>
          <w:w w:val="100"/>
          <w:position w:val="0"/>
          <w:highlight w:val="none"/>
        </w:rPr>
      </w:pPr>
      <w:r>
        <w:rPr>
          <w:rFonts w:hint="eastAsia" w:ascii="Times New Roman" w:hAnsi="Times New Roman" w:eastAsia="宋体" w:cs="Times New Roman"/>
          <w:color w:val="auto"/>
          <w:spacing w:val="0"/>
          <w:w w:val="100"/>
          <w:position w:val="0"/>
          <w:highlight w:val="none"/>
        </w:rPr>
        <w:t>北部沙漠：为古尔班通古特大沙漠的一部分，海拔高度450—800米，植被为梭梭、柽柳等灌木及稀疏的沙生植物，是本市的辅助冬牧场。</w:t>
      </w:r>
    </w:p>
    <w:p w14:paraId="18670740">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bookmarkStart w:id="264" w:name="_Toc25747"/>
      <w:r>
        <w:rPr>
          <w:rFonts w:hint="default"/>
          <w:color w:val="auto"/>
          <w:spacing w:val="0"/>
          <w:w w:val="100"/>
          <w:position w:val="0"/>
          <w:highlight w:val="none"/>
        </w:rPr>
        <w:t>4.1.3气候特征</w:t>
      </w:r>
      <w:bookmarkEnd w:id="264"/>
    </w:p>
    <w:p w14:paraId="3CA1F38A">
      <w:pPr>
        <w:keepNext w:val="0"/>
        <w:keepLines w:val="0"/>
        <w:pageBreakBefore w:val="0"/>
        <w:widowControl w:val="0"/>
        <w:kinsoku/>
        <w:wordWrap/>
        <w:overflowPunct/>
        <w:topLinePunct w:val="0"/>
        <w:autoSpaceDE/>
        <w:autoSpaceDN/>
        <w:bidi w:val="0"/>
        <w:adjustRightInd/>
        <w:snapToGrid/>
        <w:ind w:firstLine="480"/>
        <w:rPr>
          <w:rFonts w:hint="eastAsia" w:ascii="Times New Roman" w:hAnsi="Times New Roman" w:eastAsia="宋体" w:cs="Times New Roman"/>
          <w:color w:val="auto"/>
          <w:spacing w:val="0"/>
          <w:w w:val="100"/>
          <w:position w:val="0"/>
          <w:highlight w:val="none"/>
        </w:rPr>
      </w:pPr>
      <w:r>
        <w:rPr>
          <w:rFonts w:hint="eastAsia" w:ascii="Times New Roman" w:hAnsi="Times New Roman" w:eastAsia="宋体" w:cs="Times New Roman"/>
          <w:color w:val="auto"/>
          <w:spacing w:val="0"/>
          <w:w w:val="100"/>
          <w:position w:val="0"/>
          <w:highlight w:val="none"/>
        </w:rPr>
        <w:t>阜康地处中温带大陆性干旱气候区，四季分明，光照充足，热量丰富。境内随地貌单元的变化，温度差异明显，大致分为三个气候区：</w:t>
      </w:r>
    </w:p>
    <w:p w14:paraId="4F464E91">
      <w:pPr>
        <w:keepNext w:val="0"/>
        <w:keepLines w:val="0"/>
        <w:pageBreakBefore w:val="0"/>
        <w:widowControl w:val="0"/>
        <w:kinsoku/>
        <w:wordWrap/>
        <w:overflowPunct/>
        <w:topLinePunct w:val="0"/>
        <w:autoSpaceDE/>
        <w:autoSpaceDN/>
        <w:bidi w:val="0"/>
        <w:adjustRightInd/>
        <w:snapToGrid/>
        <w:ind w:firstLine="480"/>
        <w:rPr>
          <w:rFonts w:hint="eastAsia" w:ascii="Times New Roman" w:hAnsi="Times New Roman" w:eastAsia="宋体" w:cs="Times New Roman"/>
          <w:color w:val="auto"/>
          <w:spacing w:val="0"/>
          <w:w w:val="100"/>
          <w:position w:val="0"/>
          <w:highlight w:val="none"/>
        </w:rPr>
      </w:pPr>
      <w:r>
        <w:rPr>
          <w:rFonts w:hint="eastAsia" w:ascii="Times New Roman" w:hAnsi="Times New Roman" w:eastAsia="宋体" w:cs="Times New Roman"/>
          <w:color w:val="auto"/>
          <w:spacing w:val="0"/>
          <w:w w:val="100"/>
          <w:position w:val="0"/>
          <w:highlight w:val="none"/>
        </w:rPr>
        <w:t>南部山区：年平均气温2.54℃，降雨量323—530毫米之间，年均无霜期为140天左右，≥10℃年积温为2634℃。</w:t>
      </w:r>
    </w:p>
    <w:p w14:paraId="13BBEC8B">
      <w:pPr>
        <w:keepNext w:val="0"/>
        <w:keepLines w:val="0"/>
        <w:pageBreakBefore w:val="0"/>
        <w:widowControl w:val="0"/>
        <w:kinsoku/>
        <w:wordWrap/>
        <w:overflowPunct/>
        <w:topLinePunct w:val="0"/>
        <w:autoSpaceDE/>
        <w:autoSpaceDN/>
        <w:bidi w:val="0"/>
        <w:adjustRightInd/>
        <w:snapToGrid/>
        <w:ind w:firstLine="480"/>
        <w:rPr>
          <w:rFonts w:hint="eastAsia" w:ascii="Times New Roman" w:hAnsi="Times New Roman" w:eastAsia="宋体" w:cs="Times New Roman"/>
          <w:color w:val="auto"/>
          <w:spacing w:val="0"/>
          <w:w w:val="100"/>
          <w:position w:val="0"/>
          <w:highlight w:val="none"/>
        </w:rPr>
      </w:pPr>
      <w:r>
        <w:rPr>
          <w:rFonts w:hint="eastAsia" w:ascii="Times New Roman" w:hAnsi="Times New Roman" w:eastAsia="宋体" w:cs="Times New Roman"/>
          <w:color w:val="auto"/>
          <w:spacing w:val="0"/>
          <w:w w:val="100"/>
          <w:position w:val="0"/>
          <w:highlight w:val="none"/>
        </w:rPr>
        <w:t>中部平原：年平均气温6.6℃，年极端最低气温有44%的年份出现于1月，历年极端最低气温—37℃；年极端最高气温有48%的年份出现于8月上、中旬，日最高气温≥35℃；平均日较差12.7℃，平均年较差42.2℃；≥5℃的期日数为204天，年积温为3631℃，≥10℃的期日数为232天，年积温为3788℃，多年平均无霜期为174天，年均降水量186毫米，年均蒸发量2064毫米，日照百分率为70%，年总辐射量为133.8千卡/平方厘米，年生理辐射为64.3千卡/平方厘米，全年以西风、偏西风为主，年平均风速2.4米/秒。</w:t>
      </w:r>
    </w:p>
    <w:p w14:paraId="6F728398">
      <w:pPr>
        <w:keepNext w:val="0"/>
        <w:keepLines w:val="0"/>
        <w:pageBreakBefore w:val="0"/>
        <w:widowControl w:val="0"/>
        <w:kinsoku/>
        <w:wordWrap/>
        <w:overflowPunct/>
        <w:topLinePunct w:val="0"/>
        <w:autoSpaceDE/>
        <w:autoSpaceDN/>
        <w:bidi w:val="0"/>
        <w:adjustRightInd/>
        <w:snapToGrid/>
        <w:ind w:firstLine="480"/>
        <w:rPr>
          <w:rFonts w:hint="eastAsia" w:ascii="Times New Roman" w:hAnsi="Times New Roman" w:eastAsia="宋体" w:cs="Times New Roman"/>
          <w:color w:val="auto"/>
          <w:spacing w:val="0"/>
          <w:w w:val="100"/>
          <w:position w:val="0"/>
          <w:highlight w:val="none"/>
        </w:rPr>
      </w:pPr>
      <w:r>
        <w:rPr>
          <w:rFonts w:hint="eastAsia" w:ascii="Times New Roman" w:hAnsi="Times New Roman" w:eastAsia="宋体" w:cs="Times New Roman"/>
          <w:color w:val="auto"/>
          <w:spacing w:val="0"/>
          <w:w w:val="100"/>
          <w:position w:val="0"/>
          <w:highlight w:val="none"/>
        </w:rPr>
        <w:t>北部沙漠：年平均气温5.9℃，≥10℃的年积温3519℃，年均无霜期155天，年均降水量145毫米，年均蒸发量2292毫米。 [21]</w:t>
      </w:r>
    </w:p>
    <w:p w14:paraId="072E6BB3">
      <w:pPr>
        <w:keepNext w:val="0"/>
        <w:keepLines w:val="0"/>
        <w:pageBreakBefore w:val="0"/>
        <w:widowControl w:val="0"/>
        <w:kinsoku/>
        <w:wordWrap/>
        <w:overflowPunct/>
        <w:topLinePunct w:val="0"/>
        <w:autoSpaceDE/>
        <w:autoSpaceDN/>
        <w:bidi w:val="0"/>
        <w:adjustRightInd/>
        <w:snapToGrid/>
        <w:ind w:firstLine="480"/>
        <w:rPr>
          <w:rFonts w:hint="eastAsia" w:ascii="Times New Roman" w:hAnsi="Times New Roman" w:eastAsia="宋体" w:cs="Times New Roman"/>
          <w:color w:val="auto"/>
          <w:spacing w:val="0"/>
          <w:w w:val="100"/>
          <w:position w:val="0"/>
          <w:highlight w:val="none"/>
        </w:rPr>
      </w:pPr>
      <w:r>
        <w:rPr>
          <w:rFonts w:hint="eastAsia" w:ascii="Times New Roman" w:hAnsi="Times New Roman" w:eastAsia="宋体" w:cs="Times New Roman"/>
          <w:color w:val="auto"/>
          <w:spacing w:val="0"/>
          <w:w w:val="100"/>
          <w:position w:val="0"/>
          <w:highlight w:val="none"/>
        </w:rPr>
        <w:t>阜康春秋季节多大风，每年风期大约为67—96天，最大风速40米/秒，年平均风速2.4米/秒，每年7级以上大风天气58天，8级以上大风天气21天。</w:t>
      </w:r>
    </w:p>
    <w:p w14:paraId="228C6740">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bookmarkStart w:id="265" w:name="_Toc4240"/>
      <w:r>
        <w:rPr>
          <w:rFonts w:hint="default"/>
          <w:color w:val="auto"/>
          <w:spacing w:val="0"/>
          <w:w w:val="100"/>
          <w:position w:val="0"/>
          <w:highlight w:val="none"/>
        </w:rPr>
        <w:t>4.1.4</w:t>
      </w:r>
      <w:bookmarkEnd w:id="265"/>
      <w:r>
        <w:rPr>
          <w:rFonts w:hint="eastAsia"/>
          <w:color w:val="auto"/>
          <w:spacing w:val="0"/>
          <w:w w:val="100"/>
          <w:position w:val="0"/>
          <w:highlight w:val="none"/>
          <w:lang w:val="en-US" w:eastAsia="zh-CN"/>
        </w:rPr>
        <w:t>水资源</w:t>
      </w:r>
    </w:p>
    <w:p w14:paraId="36AE5705">
      <w:pPr>
        <w:keepNext w:val="0"/>
        <w:keepLines w:val="0"/>
        <w:pageBreakBefore w:val="0"/>
        <w:widowControl w:val="0"/>
        <w:kinsoku/>
        <w:wordWrap/>
        <w:overflowPunct/>
        <w:topLinePunct w:val="0"/>
        <w:autoSpaceDE/>
        <w:autoSpaceDN/>
        <w:bidi w:val="0"/>
        <w:adjustRightInd/>
        <w:snapToGrid/>
        <w:ind w:firstLine="480"/>
        <w:rPr>
          <w:color w:val="auto"/>
          <w:spacing w:val="0"/>
          <w:w w:val="100"/>
          <w:kern w:val="2"/>
          <w:position w:val="0"/>
          <w:szCs w:val="22"/>
          <w:highlight w:val="none"/>
        </w:rPr>
      </w:pPr>
      <w:bookmarkStart w:id="266" w:name="_Toc134167176"/>
      <w:bookmarkStart w:id="267" w:name="_Toc278712121"/>
      <w:bookmarkStart w:id="268" w:name="_Toc244541241"/>
      <w:bookmarkStart w:id="269" w:name="_Toc129664947"/>
      <w:bookmarkStart w:id="270" w:name="_Toc278707088"/>
      <w:bookmarkStart w:id="271" w:name="_Toc130664560"/>
      <w:bookmarkStart w:id="272" w:name="_Toc446926522"/>
      <w:r>
        <w:rPr>
          <w:rFonts w:hint="eastAsia"/>
          <w:color w:val="auto"/>
          <w:spacing w:val="0"/>
          <w:w w:val="100"/>
          <w:position w:val="0"/>
          <w:highlight w:val="none"/>
        </w:rPr>
        <w:t>据昌吉州</w:t>
      </w:r>
      <w:r>
        <w:rPr>
          <w:rFonts w:hint="eastAsia"/>
          <w:color w:val="auto"/>
          <w:spacing w:val="0"/>
          <w:w w:val="100"/>
          <w:position w:val="0"/>
          <w:highlight w:val="none"/>
          <w:lang w:eastAsia="zh-CN"/>
        </w:rPr>
        <w:t>水文水资源局</w:t>
      </w:r>
      <w:r>
        <w:rPr>
          <w:rFonts w:hint="eastAsia"/>
          <w:color w:val="auto"/>
          <w:spacing w:val="0"/>
          <w:w w:val="100"/>
          <w:position w:val="0"/>
          <w:highlight w:val="none"/>
        </w:rPr>
        <w:t>做的《阜康市地表水资源调查评价》，阜康市多年平均可控制径流量为2.017×10</w:t>
      </w:r>
      <w:r>
        <w:rPr>
          <w:rFonts w:hint="eastAsia"/>
          <w:color w:val="auto"/>
          <w:spacing w:val="0"/>
          <w:w w:val="100"/>
          <w:position w:val="0"/>
          <w:highlight w:val="none"/>
          <w:vertAlign w:val="superscript"/>
          <w:lang w:val="en-US" w:eastAsia="zh-CN"/>
        </w:rPr>
        <w:t>8</w:t>
      </w:r>
      <w:r>
        <w:rPr>
          <w:rFonts w:hint="eastAsia"/>
          <w:color w:val="auto"/>
          <w:spacing w:val="0"/>
          <w:w w:val="100"/>
          <w:position w:val="0"/>
          <w:highlight w:val="none"/>
          <w:lang w:val="en-US" w:eastAsia="zh-CN"/>
        </w:rPr>
        <w:t>m</w:t>
      </w:r>
      <w:r>
        <w:rPr>
          <w:rFonts w:hint="eastAsia"/>
          <w:color w:val="auto"/>
          <w:spacing w:val="0"/>
          <w:w w:val="100"/>
          <w:position w:val="0"/>
          <w:highlight w:val="none"/>
          <w:vertAlign w:val="superscript"/>
          <w:lang w:val="en-US" w:eastAsia="zh-CN"/>
        </w:rPr>
        <w:t>3</w:t>
      </w:r>
      <w:r>
        <w:rPr>
          <w:rFonts w:hint="eastAsia"/>
          <w:color w:val="auto"/>
          <w:spacing w:val="0"/>
          <w:w w:val="100"/>
          <w:position w:val="0"/>
          <w:highlight w:val="none"/>
        </w:rPr>
        <w:t>，地表水资源量为2.510×</w:t>
      </w:r>
      <w:r>
        <w:rPr>
          <w:rFonts w:hint="eastAsia"/>
          <w:color w:val="auto"/>
          <w:spacing w:val="0"/>
          <w:w w:val="100"/>
          <w:position w:val="0"/>
          <w:highlight w:val="none"/>
          <w:lang w:val="en-US" w:eastAsia="zh-CN"/>
        </w:rPr>
        <w:t>1</w:t>
      </w:r>
      <w:r>
        <w:rPr>
          <w:rFonts w:hint="eastAsia"/>
          <w:color w:val="auto"/>
          <w:spacing w:val="0"/>
          <w:w w:val="100"/>
          <w:position w:val="0"/>
          <w:highlight w:val="none"/>
        </w:rPr>
        <w:t>0</w:t>
      </w:r>
      <w:r>
        <w:rPr>
          <w:rFonts w:hint="eastAsia"/>
          <w:color w:val="auto"/>
          <w:spacing w:val="0"/>
          <w:w w:val="100"/>
          <w:position w:val="0"/>
          <w:highlight w:val="none"/>
          <w:vertAlign w:val="superscript"/>
          <w:lang w:val="en-US" w:eastAsia="zh-CN"/>
        </w:rPr>
        <w:t>8</w:t>
      </w:r>
      <w:r>
        <w:rPr>
          <w:rFonts w:hint="eastAsia"/>
          <w:color w:val="auto"/>
          <w:spacing w:val="0"/>
          <w:w w:val="100"/>
          <w:position w:val="0"/>
          <w:highlight w:val="none"/>
          <w:lang w:val="en-US" w:eastAsia="zh-CN"/>
        </w:rPr>
        <w:t>m</w:t>
      </w:r>
      <w:r>
        <w:rPr>
          <w:rFonts w:hint="eastAsia"/>
          <w:color w:val="auto"/>
          <w:spacing w:val="0"/>
          <w:w w:val="100"/>
          <w:position w:val="0"/>
          <w:highlight w:val="none"/>
          <w:vertAlign w:val="superscript"/>
          <w:lang w:val="en-US" w:eastAsia="zh-CN"/>
        </w:rPr>
        <w:t>3</w:t>
      </w:r>
      <w:r>
        <w:rPr>
          <w:rFonts w:hint="eastAsia"/>
          <w:color w:val="auto"/>
          <w:spacing w:val="0"/>
          <w:w w:val="100"/>
          <w:position w:val="0"/>
          <w:highlight w:val="none"/>
        </w:rPr>
        <w:t>。据昌吉州水利科学技术研究所做的《新疆阜康市地下水资源开发利用规划报告》，地下水资源量为0.35×</w:t>
      </w:r>
      <w:r>
        <w:rPr>
          <w:rFonts w:hint="eastAsia"/>
          <w:color w:val="auto"/>
          <w:spacing w:val="0"/>
          <w:w w:val="100"/>
          <w:position w:val="0"/>
          <w:highlight w:val="none"/>
          <w:lang w:val="en-US" w:eastAsia="zh-CN"/>
        </w:rPr>
        <w:t>1</w:t>
      </w:r>
      <w:r>
        <w:rPr>
          <w:rFonts w:hint="eastAsia"/>
          <w:color w:val="auto"/>
          <w:spacing w:val="0"/>
          <w:w w:val="100"/>
          <w:position w:val="0"/>
          <w:highlight w:val="none"/>
        </w:rPr>
        <w:t>0</w:t>
      </w:r>
      <w:r>
        <w:rPr>
          <w:rFonts w:hint="eastAsia"/>
          <w:color w:val="auto"/>
          <w:spacing w:val="0"/>
          <w:w w:val="100"/>
          <w:position w:val="0"/>
          <w:highlight w:val="none"/>
          <w:vertAlign w:val="superscript"/>
          <w:lang w:val="en-US" w:eastAsia="zh-CN"/>
        </w:rPr>
        <w:t>8</w:t>
      </w:r>
      <w:r>
        <w:rPr>
          <w:rFonts w:hint="eastAsia"/>
          <w:color w:val="auto"/>
          <w:spacing w:val="0"/>
          <w:w w:val="100"/>
          <w:position w:val="0"/>
          <w:highlight w:val="none"/>
          <w:lang w:val="en-US" w:eastAsia="zh-CN"/>
        </w:rPr>
        <w:t>m</w:t>
      </w:r>
      <w:r>
        <w:rPr>
          <w:rFonts w:hint="eastAsia"/>
          <w:color w:val="auto"/>
          <w:spacing w:val="0"/>
          <w:w w:val="100"/>
          <w:position w:val="0"/>
          <w:highlight w:val="none"/>
          <w:vertAlign w:val="superscript"/>
          <w:lang w:val="en-US" w:eastAsia="zh-CN"/>
        </w:rPr>
        <w:t>3</w:t>
      </w:r>
      <w:r>
        <w:rPr>
          <w:rFonts w:hint="eastAsia"/>
          <w:color w:val="auto"/>
          <w:spacing w:val="0"/>
          <w:w w:val="100"/>
          <w:position w:val="0"/>
          <w:highlight w:val="none"/>
        </w:rPr>
        <w:t>。水资源总量为2.510+0.35=2.86（</w:t>
      </w:r>
      <w:r>
        <w:rPr>
          <w:rFonts w:hint="eastAsia"/>
          <w:color w:val="auto"/>
          <w:spacing w:val="0"/>
          <w:w w:val="100"/>
          <w:position w:val="0"/>
          <w:highlight w:val="none"/>
          <w:lang w:val="en-US" w:eastAsia="zh-CN"/>
        </w:rPr>
        <w:t>1</w:t>
      </w:r>
      <w:r>
        <w:rPr>
          <w:rFonts w:hint="eastAsia"/>
          <w:color w:val="auto"/>
          <w:spacing w:val="0"/>
          <w:w w:val="100"/>
          <w:position w:val="0"/>
          <w:highlight w:val="none"/>
        </w:rPr>
        <w:t>0</w:t>
      </w:r>
      <w:r>
        <w:rPr>
          <w:rFonts w:hint="eastAsia"/>
          <w:color w:val="auto"/>
          <w:spacing w:val="0"/>
          <w:w w:val="100"/>
          <w:position w:val="0"/>
          <w:highlight w:val="none"/>
          <w:vertAlign w:val="superscript"/>
          <w:lang w:val="en-US" w:eastAsia="zh-CN"/>
        </w:rPr>
        <w:t>8</w:t>
      </w:r>
      <w:r>
        <w:rPr>
          <w:rFonts w:hint="eastAsia"/>
          <w:color w:val="auto"/>
          <w:spacing w:val="0"/>
          <w:w w:val="100"/>
          <w:position w:val="0"/>
          <w:highlight w:val="none"/>
          <w:lang w:val="en-US" w:eastAsia="zh-CN"/>
        </w:rPr>
        <w:t>m</w:t>
      </w:r>
      <w:r>
        <w:rPr>
          <w:rFonts w:hint="eastAsia"/>
          <w:color w:val="auto"/>
          <w:spacing w:val="0"/>
          <w:w w:val="100"/>
          <w:position w:val="0"/>
          <w:highlight w:val="none"/>
          <w:vertAlign w:val="superscript"/>
          <w:lang w:val="en-US" w:eastAsia="zh-CN"/>
        </w:rPr>
        <w:t>3</w:t>
      </w:r>
      <w:r>
        <w:rPr>
          <w:rFonts w:hint="eastAsia"/>
          <w:color w:val="auto"/>
          <w:spacing w:val="0"/>
          <w:w w:val="100"/>
          <w:position w:val="0"/>
          <w:highlight w:val="none"/>
        </w:rPr>
        <w:t>）。</w:t>
      </w:r>
    </w:p>
    <w:p w14:paraId="0E330237">
      <w:pPr>
        <w:pStyle w:val="5"/>
        <w:keepNext w:val="0"/>
        <w:keepLines w:val="0"/>
        <w:pageBreakBefore w:val="0"/>
        <w:widowControl w:val="0"/>
        <w:kinsoku/>
        <w:wordWrap/>
        <w:overflowPunct/>
        <w:topLinePunct w:val="0"/>
        <w:autoSpaceDE/>
        <w:autoSpaceDN/>
        <w:bidi w:val="0"/>
        <w:adjustRightInd/>
        <w:snapToGrid/>
        <w:rPr>
          <w:rFonts w:hint="default" w:ascii="Times New Roman" w:hAnsi="Times New Roman"/>
          <w:color w:val="auto"/>
          <w:spacing w:val="0"/>
          <w:w w:val="100"/>
          <w:position w:val="0"/>
          <w:highlight w:val="none"/>
          <w:lang w:val="en-US" w:eastAsia="zh-CN"/>
        </w:rPr>
      </w:pPr>
      <w:bookmarkStart w:id="273" w:name="_Toc25711"/>
      <w:r>
        <w:rPr>
          <w:rFonts w:hint="default" w:ascii="Times New Roman" w:hAnsi="Times New Roman"/>
          <w:color w:val="auto"/>
          <w:spacing w:val="0"/>
          <w:w w:val="100"/>
          <w:position w:val="0"/>
          <w:highlight w:val="none"/>
          <w:lang w:val="en-US" w:eastAsia="zh-CN"/>
        </w:rPr>
        <w:t>4.1.</w:t>
      </w:r>
      <w:r>
        <w:rPr>
          <w:rFonts w:hint="eastAsia" w:ascii="Times New Roman" w:hAnsi="Times New Roman"/>
          <w:color w:val="auto"/>
          <w:spacing w:val="0"/>
          <w:w w:val="100"/>
          <w:position w:val="0"/>
          <w:highlight w:val="none"/>
          <w:lang w:val="en-US" w:eastAsia="zh-CN"/>
        </w:rPr>
        <w:t>4.1地表水</w:t>
      </w:r>
    </w:p>
    <w:p w14:paraId="3F51E861">
      <w:pPr>
        <w:keepNext w:val="0"/>
        <w:keepLines w:val="0"/>
        <w:pageBreakBefore w:val="0"/>
        <w:widowControl w:val="0"/>
        <w:kinsoku/>
        <w:wordWrap/>
        <w:overflowPunct/>
        <w:topLinePunct w:val="0"/>
        <w:autoSpaceDE/>
        <w:autoSpaceDN/>
        <w:bidi w:val="0"/>
        <w:adjustRightInd/>
        <w:snapToGrid/>
        <w:ind w:firstLine="480"/>
        <w:rPr>
          <w:rFonts w:hint="eastAsia" w:ascii="Times New Roman" w:hAnsi="Times New Roman"/>
          <w:color w:val="auto"/>
          <w:spacing w:val="0"/>
          <w:w w:val="100"/>
          <w:position w:val="0"/>
          <w:highlight w:val="none"/>
          <w:lang w:val="en-US" w:eastAsia="zh-CN"/>
        </w:rPr>
      </w:pPr>
      <w:r>
        <w:rPr>
          <w:rFonts w:hint="eastAsia" w:ascii="Times New Roman" w:hAnsi="Times New Roman"/>
          <w:color w:val="auto"/>
          <w:spacing w:val="0"/>
          <w:w w:val="100"/>
          <w:position w:val="0"/>
          <w:highlight w:val="none"/>
          <w:lang w:val="en-US" w:eastAsia="zh-CN"/>
        </w:rPr>
        <w:t>阜康市有七条河流，自西向东为：水磨河、三工河、四工河、甘河子河、白杨河、西沟河、黄山河，各河流均发源于市境内天山北坡。水源主要依赖高山冰川和积雪融化及大气降水补给。</w:t>
      </w:r>
    </w:p>
    <w:p w14:paraId="54E0B068">
      <w:pPr>
        <w:pStyle w:val="5"/>
        <w:keepNext w:val="0"/>
        <w:keepLines w:val="0"/>
        <w:pageBreakBefore w:val="0"/>
        <w:widowControl w:val="0"/>
        <w:kinsoku/>
        <w:wordWrap/>
        <w:overflowPunct/>
        <w:topLinePunct w:val="0"/>
        <w:autoSpaceDE/>
        <w:autoSpaceDN/>
        <w:bidi w:val="0"/>
        <w:adjustRightInd/>
        <w:snapToGrid/>
        <w:rPr>
          <w:rFonts w:hint="eastAsia" w:ascii="Times New Roman" w:hAnsi="Times New Roman"/>
          <w:color w:val="auto"/>
          <w:spacing w:val="0"/>
          <w:w w:val="100"/>
          <w:position w:val="0"/>
          <w:highlight w:val="none"/>
          <w:lang w:val="en-US" w:eastAsia="zh-CN"/>
        </w:rPr>
      </w:pPr>
      <w:r>
        <w:rPr>
          <w:rFonts w:hint="eastAsia" w:ascii="Times New Roman" w:hAnsi="Times New Roman"/>
          <w:color w:val="auto"/>
          <w:spacing w:val="0"/>
          <w:w w:val="100"/>
          <w:position w:val="0"/>
          <w:highlight w:val="none"/>
          <w:lang w:val="en-US" w:eastAsia="zh-CN"/>
        </w:rPr>
        <w:t>4.1.4.2地下水</w:t>
      </w:r>
      <w:bookmarkEnd w:id="273"/>
    </w:p>
    <w:p w14:paraId="6FC24511">
      <w:pPr>
        <w:keepNext w:val="0"/>
        <w:keepLines w:val="0"/>
        <w:pageBreakBefore w:val="0"/>
        <w:widowControl w:val="0"/>
        <w:kinsoku/>
        <w:wordWrap/>
        <w:overflowPunct/>
        <w:topLinePunct w:val="0"/>
        <w:autoSpaceDE/>
        <w:autoSpaceDN/>
        <w:bidi w:val="0"/>
        <w:adjustRightInd/>
        <w:snapToGrid/>
        <w:ind w:firstLine="480"/>
        <w:rPr>
          <w:rFonts w:hint="default" w:ascii="Times New Roman" w:hAnsi="Times New Roman" w:eastAsia="宋体" w:cs="Times New Roman"/>
          <w:color w:val="auto"/>
          <w:spacing w:val="0"/>
          <w:w w:val="100"/>
          <w:position w:val="0"/>
          <w:sz w:val="24"/>
          <w:szCs w:val="24"/>
          <w:highlight w:val="none"/>
          <w:u w:val="none" w:color="auto"/>
        </w:rPr>
      </w:pPr>
      <w:r>
        <w:rPr>
          <w:rFonts w:hint="default" w:ascii="Times New Roman" w:hAnsi="Times New Roman" w:eastAsia="宋体" w:cs="Times New Roman"/>
          <w:color w:val="auto"/>
          <w:spacing w:val="0"/>
          <w:w w:val="100"/>
          <w:position w:val="0"/>
          <w:sz w:val="24"/>
          <w:szCs w:val="24"/>
          <w:highlight w:val="none"/>
          <w:u w:val="none" w:color="auto"/>
        </w:rPr>
        <w:t>阜康地区跨越两个不同的大地构造单元，即山区和平原区。因自然分带显著，决定阜康地区的地下水由南至北呈带状分布。</w:t>
      </w:r>
    </w:p>
    <w:p w14:paraId="0BDDB5CD">
      <w:pPr>
        <w:keepNext w:val="0"/>
        <w:keepLines w:val="0"/>
        <w:pageBreakBefore w:val="0"/>
        <w:widowControl w:val="0"/>
        <w:kinsoku/>
        <w:wordWrap/>
        <w:overflowPunct/>
        <w:topLinePunct w:val="0"/>
        <w:autoSpaceDE/>
        <w:autoSpaceDN/>
        <w:bidi w:val="0"/>
        <w:adjustRightInd/>
        <w:snapToGrid/>
        <w:ind w:firstLine="480"/>
        <w:rPr>
          <w:rFonts w:hint="default" w:ascii="Times New Roman" w:hAnsi="Times New Roman" w:eastAsia="宋体" w:cs="Times New Roman"/>
          <w:color w:val="auto"/>
          <w:spacing w:val="0"/>
          <w:w w:val="100"/>
          <w:position w:val="0"/>
          <w:sz w:val="24"/>
          <w:szCs w:val="24"/>
          <w:highlight w:val="none"/>
          <w:u w:val="none" w:color="auto"/>
        </w:rPr>
      </w:pPr>
      <w:r>
        <w:rPr>
          <w:rFonts w:hint="default" w:ascii="Times New Roman" w:hAnsi="Times New Roman" w:eastAsia="宋体" w:cs="Times New Roman"/>
          <w:color w:val="auto"/>
          <w:spacing w:val="0"/>
          <w:w w:val="100"/>
          <w:position w:val="0"/>
          <w:sz w:val="24"/>
          <w:szCs w:val="24"/>
          <w:highlight w:val="none"/>
          <w:u w:val="none" w:color="auto"/>
        </w:rPr>
        <w:t>海拔3000米以上的高山区，常年冰雪覆盖，该区岩石裂隙发育，冰雪消融水直接通过基岩裂隙下渗补给地下水。</w:t>
      </w:r>
    </w:p>
    <w:p w14:paraId="3A359511">
      <w:pPr>
        <w:keepNext w:val="0"/>
        <w:keepLines w:val="0"/>
        <w:pageBreakBefore w:val="0"/>
        <w:widowControl w:val="0"/>
        <w:kinsoku/>
        <w:wordWrap/>
        <w:overflowPunct/>
        <w:topLinePunct w:val="0"/>
        <w:autoSpaceDE/>
        <w:autoSpaceDN/>
        <w:bidi w:val="0"/>
        <w:adjustRightInd/>
        <w:snapToGrid/>
        <w:ind w:firstLine="480"/>
        <w:rPr>
          <w:rFonts w:hint="default" w:ascii="Times New Roman" w:hAnsi="Times New Roman" w:eastAsia="宋体" w:cs="Times New Roman"/>
          <w:color w:val="auto"/>
          <w:spacing w:val="0"/>
          <w:w w:val="100"/>
          <w:position w:val="0"/>
          <w:sz w:val="24"/>
          <w:szCs w:val="24"/>
          <w:highlight w:val="none"/>
          <w:u w:val="none" w:color="auto"/>
        </w:rPr>
      </w:pPr>
      <w:r>
        <w:rPr>
          <w:rFonts w:hint="default" w:ascii="Times New Roman" w:hAnsi="Times New Roman" w:eastAsia="宋体" w:cs="Times New Roman"/>
          <w:color w:val="auto"/>
          <w:spacing w:val="0"/>
          <w:w w:val="100"/>
          <w:position w:val="0"/>
          <w:sz w:val="24"/>
          <w:szCs w:val="24"/>
          <w:highlight w:val="none"/>
          <w:u w:val="none" w:color="auto"/>
        </w:rPr>
        <w:t>海拔1800—3000米的中山带，大气降水较为丰富，加之高山冰融水的补给，常常形成地下水富集带，多呈泉水排泄。</w:t>
      </w:r>
    </w:p>
    <w:p w14:paraId="14708081">
      <w:pPr>
        <w:keepNext w:val="0"/>
        <w:keepLines w:val="0"/>
        <w:pageBreakBefore w:val="0"/>
        <w:widowControl w:val="0"/>
        <w:kinsoku/>
        <w:wordWrap/>
        <w:overflowPunct/>
        <w:topLinePunct w:val="0"/>
        <w:autoSpaceDE/>
        <w:autoSpaceDN/>
        <w:bidi w:val="0"/>
        <w:adjustRightInd/>
        <w:snapToGrid/>
        <w:ind w:firstLine="480"/>
        <w:rPr>
          <w:rFonts w:hint="default" w:ascii="Times New Roman" w:hAnsi="Times New Roman" w:eastAsia="宋体" w:cs="Times New Roman"/>
          <w:color w:val="auto"/>
          <w:spacing w:val="0"/>
          <w:w w:val="100"/>
          <w:position w:val="0"/>
          <w:sz w:val="24"/>
          <w:szCs w:val="24"/>
          <w:highlight w:val="none"/>
          <w:u w:val="none" w:color="auto"/>
        </w:rPr>
      </w:pPr>
      <w:r>
        <w:rPr>
          <w:rFonts w:hint="default" w:ascii="Times New Roman" w:hAnsi="Times New Roman" w:eastAsia="宋体" w:cs="Times New Roman"/>
          <w:color w:val="auto"/>
          <w:spacing w:val="0"/>
          <w:w w:val="100"/>
          <w:position w:val="0"/>
          <w:sz w:val="24"/>
          <w:szCs w:val="24"/>
          <w:highlight w:val="none"/>
          <w:u w:val="none" w:color="auto"/>
        </w:rPr>
        <w:t>海拔800—1800米的低山丘陵带，气候干燥，主要以河水渗漏补给地下水，山间盆地及河床中堆积着较厚的砂卵石是地下水赋存的良好条件，但一般水量不大，埋深大于50米。</w:t>
      </w:r>
    </w:p>
    <w:p w14:paraId="75D09A16">
      <w:pPr>
        <w:keepNext w:val="0"/>
        <w:keepLines w:val="0"/>
        <w:pageBreakBefore w:val="0"/>
        <w:widowControl w:val="0"/>
        <w:kinsoku/>
        <w:wordWrap/>
        <w:overflowPunct/>
        <w:topLinePunct w:val="0"/>
        <w:autoSpaceDE/>
        <w:autoSpaceDN/>
        <w:bidi w:val="0"/>
        <w:adjustRightInd/>
        <w:snapToGrid/>
        <w:ind w:firstLine="480"/>
        <w:rPr>
          <w:color w:val="auto"/>
          <w:spacing w:val="0"/>
          <w:w w:val="100"/>
          <w:kern w:val="2"/>
          <w:position w:val="0"/>
          <w:szCs w:val="22"/>
          <w:highlight w:val="none"/>
        </w:rPr>
      </w:pPr>
      <w:r>
        <w:rPr>
          <w:rFonts w:hint="default" w:ascii="Times New Roman" w:hAnsi="Times New Roman" w:eastAsia="宋体" w:cs="Times New Roman"/>
          <w:color w:val="auto"/>
          <w:spacing w:val="0"/>
          <w:w w:val="100"/>
          <w:position w:val="0"/>
          <w:sz w:val="24"/>
          <w:szCs w:val="24"/>
          <w:highlight w:val="none"/>
          <w:u w:val="none" w:color="auto"/>
        </w:rPr>
        <w:t>海拔600—800米为细土平原区，在洪积扇缘至沙漠边缘一带，构成广泛的承压自流斜地，赋存有丰富的孔隙水及承压自流水。</w:t>
      </w:r>
    </w:p>
    <w:p w14:paraId="764C5A1D">
      <w:pPr>
        <w:pStyle w:val="4"/>
        <w:keepNext w:val="0"/>
        <w:keepLines w:val="0"/>
        <w:pageBreakBefore w:val="0"/>
        <w:widowControl w:val="0"/>
        <w:kinsoku/>
        <w:wordWrap/>
        <w:overflowPunct/>
        <w:topLinePunct w:val="0"/>
        <w:autoSpaceDE/>
        <w:autoSpaceDN/>
        <w:bidi w:val="0"/>
        <w:adjustRightInd/>
        <w:snapToGrid/>
        <w:rPr>
          <w:rFonts w:hint="eastAsia" w:eastAsia="宋体"/>
          <w:color w:val="auto"/>
          <w:spacing w:val="0"/>
          <w:w w:val="100"/>
          <w:position w:val="0"/>
          <w:highlight w:val="none"/>
          <w:lang w:eastAsia="zh-CN"/>
        </w:rPr>
      </w:pPr>
      <w:bookmarkStart w:id="274" w:name="_Toc17344"/>
      <w:r>
        <w:rPr>
          <w:rFonts w:hint="default"/>
          <w:color w:val="auto"/>
          <w:spacing w:val="0"/>
          <w:w w:val="100"/>
          <w:position w:val="0"/>
          <w:highlight w:val="none"/>
        </w:rPr>
        <w:t>4.1.</w:t>
      </w:r>
      <w:r>
        <w:rPr>
          <w:rFonts w:hint="eastAsia"/>
          <w:color w:val="auto"/>
          <w:spacing w:val="0"/>
          <w:w w:val="100"/>
          <w:position w:val="0"/>
          <w:highlight w:val="none"/>
          <w:lang w:val="en-US" w:eastAsia="zh-CN"/>
        </w:rPr>
        <w:t>5土地资源</w:t>
      </w:r>
      <w:bookmarkEnd w:id="274"/>
    </w:p>
    <w:bookmarkEnd w:id="266"/>
    <w:bookmarkEnd w:id="267"/>
    <w:bookmarkEnd w:id="268"/>
    <w:bookmarkEnd w:id="269"/>
    <w:bookmarkEnd w:id="270"/>
    <w:bookmarkEnd w:id="271"/>
    <w:bookmarkEnd w:id="272"/>
    <w:p w14:paraId="24702F01">
      <w:pPr>
        <w:keepNext w:val="0"/>
        <w:keepLines w:val="0"/>
        <w:pageBreakBefore w:val="0"/>
        <w:widowControl w:val="0"/>
        <w:kinsoku/>
        <w:wordWrap/>
        <w:overflowPunct/>
        <w:topLinePunct w:val="0"/>
        <w:autoSpaceDE/>
        <w:autoSpaceDN/>
        <w:bidi w:val="0"/>
        <w:adjustRightInd/>
        <w:snapToGrid/>
        <w:ind w:firstLine="480"/>
        <w:rPr>
          <w:rFonts w:hint="default" w:ascii="Times New Roman" w:hAnsi="Times New Roman" w:eastAsia="宋体" w:cs="Times New Roman"/>
          <w:color w:val="auto"/>
          <w:spacing w:val="0"/>
          <w:w w:val="100"/>
          <w:position w:val="0"/>
          <w:sz w:val="24"/>
          <w:szCs w:val="24"/>
          <w:highlight w:val="none"/>
          <w:u w:val="none" w:color="auto"/>
        </w:rPr>
      </w:pPr>
      <w:r>
        <w:rPr>
          <w:rFonts w:hint="default" w:ascii="Times New Roman" w:hAnsi="Times New Roman" w:eastAsia="宋体" w:cs="Times New Roman"/>
          <w:color w:val="auto"/>
          <w:spacing w:val="0"/>
          <w:w w:val="100"/>
          <w:position w:val="0"/>
          <w:sz w:val="24"/>
          <w:szCs w:val="24"/>
          <w:highlight w:val="none"/>
          <w:u w:val="none" w:color="auto"/>
        </w:rPr>
        <w:t>阜康市境内的土壤在3个不同的地貌区域内类型不同，从南到北有3个土壤区域，即山地土壤、平原土壤、沙漠土壤。</w:t>
      </w:r>
    </w:p>
    <w:p w14:paraId="654F7CAF">
      <w:pPr>
        <w:keepNext w:val="0"/>
        <w:keepLines w:val="0"/>
        <w:pageBreakBefore w:val="0"/>
        <w:widowControl w:val="0"/>
        <w:kinsoku/>
        <w:wordWrap/>
        <w:overflowPunct/>
        <w:topLinePunct w:val="0"/>
        <w:autoSpaceDE/>
        <w:autoSpaceDN/>
        <w:bidi w:val="0"/>
        <w:adjustRightInd/>
        <w:snapToGrid/>
        <w:ind w:firstLine="480"/>
        <w:rPr>
          <w:rFonts w:hint="default" w:ascii="Times New Roman" w:hAnsi="Times New Roman" w:eastAsia="宋体" w:cs="Times New Roman"/>
          <w:color w:val="auto"/>
          <w:spacing w:val="0"/>
          <w:w w:val="100"/>
          <w:position w:val="0"/>
          <w:sz w:val="24"/>
          <w:szCs w:val="24"/>
          <w:highlight w:val="none"/>
          <w:u w:val="none" w:color="auto"/>
        </w:rPr>
      </w:pPr>
      <w:r>
        <w:rPr>
          <w:rFonts w:hint="eastAsia" w:cs="Times New Roman"/>
          <w:color w:val="auto"/>
          <w:spacing w:val="0"/>
          <w:w w:val="100"/>
          <w:position w:val="0"/>
          <w:sz w:val="24"/>
          <w:szCs w:val="24"/>
          <w:highlight w:val="none"/>
          <w:u w:val="none" w:color="auto"/>
          <w:lang w:val="en-US" w:eastAsia="zh-CN"/>
        </w:rPr>
        <w:t>1.</w:t>
      </w:r>
      <w:r>
        <w:rPr>
          <w:rFonts w:hint="default" w:ascii="Times New Roman" w:hAnsi="Times New Roman" w:eastAsia="宋体" w:cs="Times New Roman"/>
          <w:color w:val="auto"/>
          <w:spacing w:val="0"/>
          <w:w w:val="100"/>
          <w:position w:val="0"/>
          <w:sz w:val="24"/>
          <w:szCs w:val="24"/>
          <w:highlight w:val="none"/>
          <w:u w:val="none" w:color="auto"/>
        </w:rPr>
        <w:t>山地土壤</w:t>
      </w:r>
    </w:p>
    <w:p w14:paraId="5A747812">
      <w:pPr>
        <w:keepNext w:val="0"/>
        <w:keepLines w:val="0"/>
        <w:pageBreakBefore w:val="0"/>
        <w:widowControl w:val="0"/>
        <w:kinsoku/>
        <w:wordWrap/>
        <w:overflowPunct/>
        <w:topLinePunct w:val="0"/>
        <w:autoSpaceDE/>
        <w:autoSpaceDN/>
        <w:bidi w:val="0"/>
        <w:adjustRightInd/>
        <w:snapToGrid/>
        <w:ind w:firstLine="480"/>
        <w:rPr>
          <w:rFonts w:hint="default" w:ascii="Times New Roman" w:hAnsi="Times New Roman" w:eastAsia="宋体" w:cs="Times New Roman"/>
          <w:color w:val="auto"/>
          <w:spacing w:val="0"/>
          <w:w w:val="100"/>
          <w:position w:val="0"/>
          <w:sz w:val="24"/>
          <w:szCs w:val="24"/>
          <w:highlight w:val="none"/>
          <w:u w:val="none" w:color="auto"/>
        </w:rPr>
      </w:pPr>
      <w:r>
        <w:rPr>
          <w:rFonts w:hint="default" w:ascii="Times New Roman" w:hAnsi="Times New Roman" w:eastAsia="宋体" w:cs="Times New Roman"/>
          <w:color w:val="auto"/>
          <w:spacing w:val="0"/>
          <w:w w:val="100"/>
          <w:position w:val="0"/>
          <w:sz w:val="24"/>
          <w:szCs w:val="24"/>
          <w:highlight w:val="none"/>
          <w:u w:val="none" w:color="auto"/>
        </w:rPr>
        <w:t>山地土壤分布在南部海拔700米以上的山区，在不同的海拔高度上分布的土壤也不相同。随海拔高度的降低依次分布着高山寒漠土、高山草甸土、亚高山草甸土、中山森林草原土、山地栗钙土、山地棕钙土。</w:t>
      </w:r>
    </w:p>
    <w:p w14:paraId="7928B346">
      <w:pPr>
        <w:keepNext w:val="0"/>
        <w:keepLines w:val="0"/>
        <w:pageBreakBefore w:val="0"/>
        <w:widowControl w:val="0"/>
        <w:kinsoku/>
        <w:wordWrap/>
        <w:overflowPunct/>
        <w:topLinePunct w:val="0"/>
        <w:autoSpaceDE/>
        <w:autoSpaceDN/>
        <w:bidi w:val="0"/>
        <w:adjustRightInd/>
        <w:snapToGrid/>
        <w:ind w:firstLine="480"/>
        <w:rPr>
          <w:rFonts w:hint="default" w:ascii="Times New Roman" w:hAnsi="Times New Roman" w:eastAsia="宋体" w:cs="Times New Roman"/>
          <w:color w:val="auto"/>
          <w:spacing w:val="0"/>
          <w:w w:val="100"/>
          <w:position w:val="0"/>
          <w:sz w:val="24"/>
          <w:szCs w:val="24"/>
          <w:highlight w:val="none"/>
          <w:u w:val="none" w:color="auto"/>
        </w:rPr>
      </w:pPr>
      <w:r>
        <w:rPr>
          <w:rFonts w:hint="eastAsia" w:cs="Times New Roman"/>
          <w:color w:val="auto"/>
          <w:spacing w:val="0"/>
          <w:w w:val="100"/>
          <w:position w:val="0"/>
          <w:sz w:val="24"/>
          <w:szCs w:val="24"/>
          <w:highlight w:val="none"/>
          <w:u w:val="none" w:color="auto"/>
          <w:lang w:val="en-US" w:eastAsia="zh-CN"/>
        </w:rPr>
        <w:t>2.</w:t>
      </w:r>
      <w:r>
        <w:rPr>
          <w:rFonts w:hint="default" w:ascii="Times New Roman" w:hAnsi="Times New Roman" w:eastAsia="宋体" w:cs="Times New Roman"/>
          <w:color w:val="auto"/>
          <w:spacing w:val="0"/>
          <w:w w:val="100"/>
          <w:position w:val="0"/>
          <w:sz w:val="24"/>
          <w:szCs w:val="24"/>
          <w:highlight w:val="none"/>
          <w:u w:val="none" w:color="auto"/>
        </w:rPr>
        <w:t>平原土壤</w:t>
      </w:r>
    </w:p>
    <w:p w14:paraId="3BBE5777">
      <w:pPr>
        <w:keepNext w:val="0"/>
        <w:keepLines w:val="0"/>
        <w:pageBreakBefore w:val="0"/>
        <w:widowControl w:val="0"/>
        <w:kinsoku/>
        <w:wordWrap/>
        <w:overflowPunct/>
        <w:topLinePunct w:val="0"/>
        <w:autoSpaceDE/>
        <w:autoSpaceDN/>
        <w:bidi w:val="0"/>
        <w:adjustRightInd/>
        <w:snapToGrid/>
        <w:ind w:firstLine="480"/>
        <w:rPr>
          <w:rFonts w:hint="default" w:ascii="Times New Roman" w:hAnsi="Times New Roman" w:eastAsia="宋体" w:cs="Times New Roman"/>
          <w:color w:val="auto"/>
          <w:spacing w:val="0"/>
          <w:w w:val="100"/>
          <w:position w:val="0"/>
          <w:sz w:val="24"/>
          <w:szCs w:val="24"/>
          <w:highlight w:val="none"/>
          <w:u w:val="none" w:color="auto"/>
        </w:rPr>
      </w:pPr>
      <w:r>
        <w:rPr>
          <w:rFonts w:hint="default" w:ascii="Times New Roman" w:hAnsi="Times New Roman" w:eastAsia="宋体" w:cs="Times New Roman"/>
          <w:color w:val="auto"/>
          <w:spacing w:val="0"/>
          <w:w w:val="100"/>
          <w:position w:val="0"/>
          <w:sz w:val="24"/>
          <w:szCs w:val="24"/>
          <w:highlight w:val="none"/>
          <w:u w:val="none" w:color="auto"/>
        </w:rPr>
        <w:t>平原土壤分布在海拔450—700米的冲积洪积倾斜平原上。</w:t>
      </w:r>
    </w:p>
    <w:p w14:paraId="1F1F71AF">
      <w:pPr>
        <w:keepNext w:val="0"/>
        <w:keepLines w:val="0"/>
        <w:pageBreakBefore w:val="0"/>
        <w:widowControl w:val="0"/>
        <w:kinsoku/>
        <w:wordWrap/>
        <w:overflowPunct/>
        <w:topLinePunct w:val="0"/>
        <w:autoSpaceDE/>
        <w:autoSpaceDN/>
        <w:bidi w:val="0"/>
        <w:adjustRightInd/>
        <w:snapToGrid/>
        <w:ind w:firstLine="480"/>
        <w:rPr>
          <w:rFonts w:hint="default" w:ascii="Times New Roman" w:hAnsi="Times New Roman" w:eastAsia="宋体" w:cs="Times New Roman"/>
          <w:color w:val="auto"/>
          <w:spacing w:val="0"/>
          <w:w w:val="100"/>
          <w:position w:val="0"/>
          <w:sz w:val="24"/>
          <w:szCs w:val="24"/>
          <w:highlight w:val="none"/>
          <w:u w:val="none" w:color="auto"/>
        </w:rPr>
      </w:pPr>
      <w:r>
        <w:rPr>
          <w:rFonts w:hint="default" w:ascii="Times New Roman" w:hAnsi="Times New Roman" w:eastAsia="宋体" w:cs="Times New Roman"/>
          <w:color w:val="auto"/>
          <w:spacing w:val="0"/>
          <w:w w:val="100"/>
          <w:position w:val="0"/>
          <w:sz w:val="24"/>
          <w:szCs w:val="24"/>
          <w:highlight w:val="none"/>
          <w:u w:val="none" w:color="auto"/>
        </w:rPr>
        <w:t>耕作区土壤类型由南至北依次为灌溉灰漠土、灌耕土、潮土、退潮土、灌淤土、盐渍化土。</w:t>
      </w:r>
    </w:p>
    <w:p w14:paraId="42A2E0FD">
      <w:pPr>
        <w:keepNext w:val="0"/>
        <w:keepLines w:val="0"/>
        <w:pageBreakBefore w:val="0"/>
        <w:widowControl w:val="0"/>
        <w:kinsoku/>
        <w:wordWrap/>
        <w:overflowPunct/>
        <w:topLinePunct w:val="0"/>
        <w:autoSpaceDE/>
        <w:autoSpaceDN/>
        <w:bidi w:val="0"/>
        <w:adjustRightInd/>
        <w:snapToGrid/>
        <w:ind w:firstLine="480"/>
        <w:rPr>
          <w:rFonts w:hint="default" w:ascii="Times New Roman" w:hAnsi="Times New Roman" w:eastAsia="宋体" w:cs="Times New Roman"/>
          <w:color w:val="auto"/>
          <w:spacing w:val="0"/>
          <w:w w:val="100"/>
          <w:position w:val="0"/>
          <w:sz w:val="24"/>
          <w:szCs w:val="24"/>
          <w:highlight w:val="none"/>
          <w:u w:val="none" w:color="auto"/>
        </w:rPr>
      </w:pPr>
      <w:r>
        <w:rPr>
          <w:rFonts w:hint="default" w:ascii="Times New Roman" w:hAnsi="Times New Roman" w:eastAsia="宋体" w:cs="Times New Roman"/>
          <w:color w:val="auto"/>
          <w:spacing w:val="0"/>
          <w:w w:val="100"/>
          <w:position w:val="0"/>
          <w:sz w:val="24"/>
          <w:szCs w:val="24"/>
          <w:highlight w:val="none"/>
          <w:u w:val="none" w:color="auto"/>
        </w:rPr>
        <w:t>（1）灌溉灰漠土、灌耕土</w:t>
      </w:r>
    </w:p>
    <w:p w14:paraId="6C9151D3">
      <w:pPr>
        <w:keepNext w:val="0"/>
        <w:keepLines w:val="0"/>
        <w:pageBreakBefore w:val="0"/>
        <w:widowControl w:val="0"/>
        <w:kinsoku/>
        <w:wordWrap/>
        <w:overflowPunct/>
        <w:topLinePunct w:val="0"/>
        <w:autoSpaceDE/>
        <w:autoSpaceDN/>
        <w:bidi w:val="0"/>
        <w:adjustRightInd/>
        <w:snapToGrid/>
        <w:ind w:firstLine="480"/>
        <w:rPr>
          <w:rFonts w:hint="default" w:ascii="Times New Roman" w:hAnsi="Times New Roman" w:eastAsia="宋体" w:cs="Times New Roman"/>
          <w:color w:val="auto"/>
          <w:spacing w:val="0"/>
          <w:w w:val="100"/>
          <w:position w:val="0"/>
          <w:sz w:val="24"/>
          <w:szCs w:val="24"/>
          <w:highlight w:val="none"/>
          <w:u w:val="none" w:color="auto"/>
        </w:rPr>
      </w:pPr>
      <w:r>
        <w:rPr>
          <w:rFonts w:hint="default" w:ascii="Times New Roman" w:hAnsi="Times New Roman" w:eastAsia="宋体" w:cs="Times New Roman"/>
          <w:color w:val="auto"/>
          <w:spacing w:val="0"/>
          <w:w w:val="100"/>
          <w:position w:val="0"/>
          <w:sz w:val="24"/>
          <w:szCs w:val="24"/>
          <w:highlight w:val="none"/>
          <w:u w:val="none" w:color="auto"/>
        </w:rPr>
        <w:t>分布在冲积洪积平原南部，包括白板土、黄土、黄沙土、灰板土、灰土。土壤易板结，保水性差，遇洪水冲刷时，水土易流失。有机质含量低，为1.2—1.6%，全氮含量0.07—0.09%，全磷含量0.04—0.06%，速效性碱解氮0.03—0.04‰，速磷0.001—0.002‰，速钾0.12—0.16‰。</w:t>
      </w:r>
    </w:p>
    <w:p w14:paraId="103FBCE8">
      <w:pPr>
        <w:keepNext w:val="0"/>
        <w:keepLines w:val="0"/>
        <w:pageBreakBefore w:val="0"/>
        <w:widowControl w:val="0"/>
        <w:kinsoku/>
        <w:wordWrap/>
        <w:overflowPunct/>
        <w:topLinePunct w:val="0"/>
        <w:autoSpaceDE/>
        <w:autoSpaceDN/>
        <w:bidi w:val="0"/>
        <w:adjustRightInd/>
        <w:snapToGrid/>
        <w:ind w:firstLine="480"/>
        <w:rPr>
          <w:rFonts w:hint="default" w:ascii="Times New Roman" w:hAnsi="Times New Roman" w:eastAsia="宋体" w:cs="Times New Roman"/>
          <w:color w:val="auto"/>
          <w:spacing w:val="0"/>
          <w:w w:val="100"/>
          <w:position w:val="0"/>
          <w:sz w:val="24"/>
          <w:szCs w:val="24"/>
          <w:highlight w:val="none"/>
          <w:u w:val="none" w:color="auto"/>
        </w:rPr>
      </w:pPr>
      <w:r>
        <w:rPr>
          <w:rFonts w:hint="default" w:ascii="Times New Roman" w:hAnsi="Times New Roman" w:eastAsia="宋体" w:cs="Times New Roman"/>
          <w:color w:val="auto"/>
          <w:spacing w:val="0"/>
          <w:w w:val="100"/>
          <w:position w:val="0"/>
          <w:sz w:val="24"/>
          <w:szCs w:val="24"/>
          <w:highlight w:val="none"/>
          <w:u w:val="none" w:color="auto"/>
        </w:rPr>
        <w:t>（2）退潮土、灌淤土</w:t>
      </w:r>
    </w:p>
    <w:p w14:paraId="5421C8F7">
      <w:pPr>
        <w:keepNext w:val="0"/>
        <w:keepLines w:val="0"/>
        <w:pageBreakBefore w:val="0"/>
        <w:widowControl w:val="0"/>
        <w:kinsoku/>
        <w:wordWrap/>
        <w:overflowPunct/>
        <w:topLinePunct w:val="0"/>
        <w:autoSpaceDE/>
        <w:autoSpaceDN/>
        <w:bidi w:val="0"/>
        <w:adjustRightInd/>
        <w:snapToGrid/>
        <w:ind w:firstLine="480"/>
        <w:rPr>
          <w:rFonts w:hint="default" w:ascii="Times New Roman" w:hAnsi="Times New Roman" w:eastAsia="宋体" w:cs="Times New Roman"/>
          <w:color w:val="auto"/>
          <w:spacing w:val="0"/>
          <w:w w:val="100"/>
          <w:position w:val="0"/>
          <w:sz w:val="24"/>
          <w:szCs w:val="24"/>
          <w:highlight w:val="none"/>
          <w:u w:val="none" w:color="auto"/>
        </w:rPr>
      </w:pPr>
      <w:r>
        <w:rPr>
          <w:rFonts w:hint="default" w:ascii="Times New Roman" w:hAnsi="Times New Roman" w:eastAsia="宋体" w:cs="Times New Roman"/>
          <w:color w:val="auto"/>
          <w:spacing w:val="0"/>
          <w:w w:val="100"/>
          <w:position w:val="0"/>
          <w:sz w:val="24"/>
          <w:szCs w:val="24"/>
          <w:highlight w:val="none"/>
          <w:u w:val="none" w:color="auto"/>
        </w:rPr>
        <w:t>分布在洪积平原中部，包括黑土、灰土、红土、灰板土。土层深厚，板结，保水保肥力强。有机质含量为1.6—2.7%，全氮含量0.08—0.14%，全磷含量0.06—0.09%，速效性碱解氮0.04—0.05‰，速磷0.001—0.002‰，速钾0.25—0.3‰。</w:t>
      </w:r>
    </w:p>
    <w:p w14:paraId="21734F91">
      <w:pPr>
        <w:keepNext w:val="0"/>
        <w:keepLines w:val="0"/>
        <w:pageBreakBefore w:val="0"/>
        <w:widowControl w:val="0"/>
        <w:kinsoku/>
        <w:wordWrap/>
        <w:overflowPunct/>
        <w:topLinePunct w:val="0"/>
        <w:autoSpaceDE/>
        <w:autoSpaceDN/>
        <w:bidi w:val="0"/>
        <w:adjustRightInd/>
        <w:snapToGrid/>
        <w:ind w:firstLine="480"/>
        <w:rPr>
          <w:rFonts w:hint="default" w:ascii="Times New Roman" w:hAnsi="Times New Roman" w:eastAsia="宋体" w:cs="Times New Roman"/>
          <w:color w:val="auto"/>
          <w:spacing w:val="0"/>
          <w:w w:val="100"/>
          <w:position w:val="0"/>
          <w:sz w:val="24"/>
          <w:szCs w:val="24"/>
          <w:highlight w:val="none"/>
          <w:u w:val="none" w:color="auto"/>
        </w:rPr>
      </w:pPr>
      <w:r>
        <w:rPr>
          <w:rFonts w:hint="default" w:ascii="Times New Roman" w:hAnsi="Times New Roman" w:eastAsia="宋体" w:cs="Times New Roman"/>
          <w:color w:val="auto"/>
          <w:spacing w:val="0"/>
          <w:w w:val="100"/>
          <w:position w:val="0"/>
          <w:sz w:val="24"/>
          <w:szCs w:val="24"/>
          <w:highlight w:val="none"/>
          <w:u w:val="none" w:color="auto"/>
        </w:rPr>
        <w:t>（3）潮土、灌淤土</w:t>
      </w:r>
    </w:p>
    <w:p w14:paraId="314F912D">
      <w:pPr>
        <w:keepNext w:val="0"/>
        <w:keepLines w:val="0"/>
        <w:pageBreakBefore w:val="0"/>
        <w:widowControl w:val="0"/>
        <w:kinsoku/>
        <w:wordWrap/>
        <w:overflowPunct/>
        <w:topLinePunct w:val="0"/>
        <w:autoSpaceDE/>
        <w:autoSpaceDN/>
        <w:bidi w:val="0"/>
        <w:adjustRightInd/>
        <w:snapToGrid/>
        <w:ind w:firstLine="480"/>
        <w:rPr>
          <w:rFonts w:hint="default" w:ascii="Times New Roman" w:hAnsi="Times New Roman" w:eastAsia="宋体" w:cs="Times New Roman"/>
          <w:color w:val="auto"/>
          <w:spacing w:val="0"/>
          <w:w w:val="100"/>
          <w:position w:val="0"/>
          <w:sz w:val="24"/>
          <w:szCs w:val="24"/>
          <w:highlight w:val="none"/>
          <w:u w:val="none" w:color="auto"/>
        </w:rPr>
      </w:pPr>
      <w:r>
        <w:rPr>
          <w:rFonts w:hint="default" w:ascii="Times New Roman" w:hAnsi="Times New Roman" w:eastAsia="宋体" w:cs="Times New Roman"/>
          <w:color w:val="auto"/>
          <w:spacing w:val="0"/>
          <w:w w:val="100"/>
          <w:position w:val="0"/>
          <w:sz w:val="24"/>
          <w:szCs w:val="24"/>
          <w:highlight w:val="none"/>
          <w:u w:val="none" w:color="auto"/>
        </w:rPr>
        <w:t>分布在洪积平原中部，包括黑土、灰土、红土。土层深厚，板结，质地适中。有机质含量为2.5—3.6%，全氮含量0.14—0.26%，全磷含量0.06—0.09%，速效性碱解氮0.052—0.08‰，速磷0.002—0.005‰，速钾0.26—0.32‰。</w:t>
      </w:r>
    </w:p>
    <w:p w14:paraId="3F2955EA">
      <w:pPr>
        <w:keepNext w:val="0"/>
        <w:keepLines w:val="0"/>
        <w:pageBreakBefore w:val="0"/>
        <w:widowControl w:val="0"/>
        <w:kinsoku/>
        <w:wordWrap/>
        <w:overflowPunct/>
        <w:topLinePunct w:val="0"/>
        <w:autoSpaceDE/>
        <w:autoSpaceDN/>
        <w:bidi w:val="0"/>
        <w:adjustRightInd/>
        <w:snapToGrid/>
        <w:ind w:firstLine="480"/>
        <w:rPr>
          <w:rFonts w:hint="default" w:ascii="Times New Roman" w:hAnsi="Times New Roman" w:eastAsia="宋体" w:cs="Times New Roman"/>
          <w:color w:val="auto"/>
          <w:spacing w:val="0"/>
          <w:w w:val="100"/>
          <w:position w:val="0"/>
          <w:sz w:val="24"/>
          <w:szCs w:val="24"/>
          <w:highlight w:val="none"/>
          <w:u w:val="none" w:color="auto"/>
        </w:rPr>
      </w:pPr>
      <w:r>
        <w:rPr>
          <w:rFonts w:hint="default" w:ascii="Times New Roman" w:hAnsi="Times New Roman" w:eastAsia="宋体" w:cs="Times New Roman"/>
          <w:color w:val="auto"/>
          <w:spacing w:val="0"/>
          <w:w w:val="100"/>
          <w:position w:val="0"/>
          <w:sz w:val="24"/>
          <w:szCs w:val="24"/>
          <w:highlight w:val="none"/>
          <w:u w:val="none" w:color="auto"/>
        </w:rPr>
        <w:t>（4）潮土、灌溉灰漠土</w:t>
      </w:r>
    </w:p>
    <w:p w14:paraId="4AB3CBB3">
      <w:pPr>
        <w:keepNext w:val="0"/>
        <w:keepLines w:val="0"/>
        <w:pageBreakBefore w:val="0"/>
        <w:widowControl w:val="0"/>
        <w:kinsoku/>
        <w:wordWrap/>
        <w:overflowPunct/>
        <w:topLinePunct w:val="0"/>
        <w:autoSpaceDE/>
        <w:autoSpaceDN/>
        <w:bidi w:val="0"/>
        <w:adjustRightInd/>
        <w:snapToGrid/>
        <w:ind w:firstLine="480"/>
        <w:rPr>
          <w:rFonts w:hint="default" w:ascii="Times New Roman" w:hAnsi="Times New Roman" w:eastAsia="宋体" w:cs="Times New Roman"/>
          <w:color w:val="auto"/>
          <w:spacing w:val="0"/>
          <w:w w:val="100"/>
          <w:position w:val="0"/>
          <w:sz w:val="24"/>
          <w:szCs w:val="24"/>
          <w:highlight w:val="none"/>
          <w:u w:val="none" w:color="auto"/>
        </w:rPr>
      </w:pPr>
      <w:r>
        <w:rPr>
          <w:rFonts w:hint="default" w:ascii="Times New Roman" w:hAnsi="Times New Roman" w:eastAsia="宋体" w:cs="Times New Roman"/>
          <w:color w:val="auto"/>
          <w:spacing w:val="0"/>
          <w:w w:val="100"/>
          <w:position w:val="0"/>
          <w:sz w:val="24"/>
          <w:szCs w:val="24"/>
          <w:highlight w:val="none"/>
          <w:u w:val="none" w:color="auto"/>
        </w:rPr>
        <w:t>分布在洪积平原北部，包括黑土、黄土、灰黄土、灰土。土壤湿润，易板结，部分地区发生严重的次生盐渍化，质地偏重。有机质含量为2.2—2.7%，全氮含量0.11—0.13%，全磷含量0.07—0.09%，速效性碱解氮0.025—0.04‰，速磷0.002—0.006‰，速钾0.12—0.2‰。</w:t>
      </w:r>
    </w:p>
    <w:p w14:paraId="738BC168">
      <w:pPr>
        <w:keepNext w:val="0"/>
        <w:keepLines w:val="0"/>
        <w:pageBreakBefore w:val="0"/>
        <w:widowControl w:val="0"/>
        <w:kinsoku/>
        <w:wordWrap/>
        <w:overflowPunct/>
        <w:topLinePunct w:val="0"/>
        <w:autoSpaceDE/>
        <w:autoSpaceDN/>
        <w:bidi w:val="0"/>
        <w:adjustRightInd/>
        <w:snapToGrid/>
        <w:ind w:firstLine="480"/>
        <w:rPr>
          <w:rFonts w:hint="default" w:ascii="Times New Roman" w:hAnsi="Times New Roman" w:eastAsia="宋体" w:cs="Times New Roman"/>
          <w:color w:val="auto"/>
          <w:spacing w:val="0"/>
          <w:w w:val="100"/>
          <w:position w:val="0"/>
          <w:sz w:val="24"/>
          <w:szCs w:val="24"/>
          <w:highlight w:val="none"/>
          <w:u w:val="none" w:color="auto"/>
        </w:rPr>
      </w:pPr>
      <w:r>
        <w:rPr>
          <w:rFonts w:hint="default" w:ascii="Times New Roman" w:hAnsi="Times New Roman" w:eastAsia="宋体" w:cs="Times New Roman"/>
          <w:color w:val="auto"/>
          <w:spacing w:val="0"/>
          <w:w w:val="100"/>
          <w:position w:val="0"/>
          <w:sz w:val="24"/>
          <w:szCs w:val="24"/>
          <w:highlight w:val="none"/>
          <w:u w:val="none" w:color="auto"/>
        </w:rPr>
        <w:t>（5）盐渍化土</w:t>
      </w:r>
    </w:p>
    <w:p w14:paraId="655940A4">
      <w:pPr>
        <w:keepNext w:val="0"/>
        <w:keepLines w:val="0"/>
        <w:pageBreakBefore w:val="0"/>
        <w:widowControl w:val="0"/>
        <w:kinsoku/>
        <w:wordWrap/>
        <w:overflowPunct/>
        <w:topLinePunct w:val="0"/>
        <w:autoSpaceDE/>
        <w:autoSpaceDN/>
        <w:bidi w:val="0"/>
        <w:adjustRightInd/>
        <w:snapToGrid/>
        <w:ind w:firstLine="480"/>
        <w:rPr>
          <w:rFonts w:hint="default" w:ascii="Times New Roman" w:hAnsi="Times New Roman" w:eastAsia="宋体" w:cs="Times New Roman"/>
          <w:color w:val="auto"/>
          <w:spacing w:val="0"/>
          <w:w w:val="100"/>
          <w:position w:val="0"/>
          <w:sz w:val="24"/>
          <w:szCs w:val="24"/>
          <w:highlight w:val="none"/>
          <w:u w:val="none" w:color="auto"/>
        </w:rPr>
      </w:pPr>
      <w:r>
        <w:rPr>
          <w:rFonts w:hint="default" w:ascii="Times New Roman" w:hAnsi="Times New Roman" w:eastAsia="宋体" w:cs="Times New Roman"/>
          <w:color w:val="auto"/>
          <w:spacing w:val="0"/>
          <w:w w:val="100"/>
          <w:position w:val="0"/>
          <w:sz w:val="24"/>
          <w:szCs w:val="24"/>
          <w:highlight w:val="none"/>
          <w:u w:val="none" w:color="auto"/>
        </w:rPr>
        <w:t>分布在洪积冲积平原北部泉水溢出带、水库周围，包括盐化潮土、盐化灰漠土。土层深厚，保水保肥力强，湿润，嫌气性还原作用强。有机质含量为1.5—3.0%，全氮含量0.03—0.27%，全磷含量0.09—0.11%，速效性碱解氮0.03—0.05‰，速磷0.003—0.004‰，速钾0.2—0.26‰。</w:t>
      </w:r>
    </w:p>
    <w:p w14:paraId="19E2AE72">
      <w:pPr>
        <w:keepNext w:val="0"/>
        <w:keepLines w:val="0"/>
        <w:pageBreakBefore w:val="0"/>
        <w:widowControl w:val="0"/>
        <w:kinsoku/>
        <w:wordWrap/>
        <w:overflowPunct/>
        <w:topLinePunct w:val="0"/>
        <w:autoSpaceDE/>
        <w:autoSpaceDN/>
        <w:bidi w:val="0"/>
        <w:adjustRightInd/>
        <w:snapToGrid/>
        <w:ind w:firstLine="480"/>
        <w:rPr>
          <w:rFonts w:hint="default" w:ascii="Times New Roman" w:hAnsi="Times New Roman" w:eastAsia="宋体" w:cs="Times New Roman"/>
          <w:color w:val="auto"/>
          <w:spacing w:val="0"/>
          <w:w w:val="100"/>
          <w:position w:val="0"/>
          <w:sz w:val="24"/>
          <w:szCs w:val="24"/>
          <w:highlight w:val="none"/>
          <w:u w:val="none" w:color="auto"/>
        </w:rPr>
      </w:pPr>
      <w:r>
        <w:rPr>
          <w:rFonts w:hint="eastAsia" w:cs="Times New Roman"/>
          <w:color w:val="auto"/>
          <w:spacing w:val="0"/>
          <w:w w:val="100"/>
          <w:position w:val="0"/>
          <w:sz w:val="24"/>
          <w:szCs w:val="24"/>
          <w:highlight w:val="none"/>
          <w:u w:val="none" w:color="auto"/>
          <w:lang w:val="en-US" w:eastAsia="zh-CN"/>
        </w:rPr>
        <w:t>3.</w:t>
      </w:r>
      <w:r>
        <w:rPr>
          <w:rFonts w:hint="default" w:ascii="Times New Roman" w:hAnsi="Times New Roman" w:eastAsia="宋体" w:cs="Times New Roman"/>
          <w:color w:val="auto"/>
          <w:spacing w:val="0"/>
          <w:w w:val="100"/>
          <w:position w:val="0"/>
          <w:sz w:val="24"/>
          <w:szCs w:val="24"/>
          <w:highlight w:val="none"/>
          <w:u w:val="none" w:color="auto"/>
        </w:rPr>
        <w:t>沙漠土壤</w:t>
      </w:r>
    </w:p>
    <w:p w14:paraId="29DB45A9">
      <w:pPr>
        <w:keepNext w:val="0"/>
        <w:keepLines w:val="0"/>
        <w:pageBreakBefore w:val="0"/>
        <w:widowControl w:val="0"/>
        <w:kinsoku/>
        <w:wordWrap/>
        <w:overflowPunct/>
        <w:topLinePunct w:val="0"/>
        <w:autoSpaceDE/>
        <w:autoSpaceDN/>
        <w:bidi w:val="0"/>
        <w:adjustRightInd/>
        <w:snapToGrid/>
        <w:ind w:firstLine="480"/>
        <w:rPr>
          <w:color w:val="auto"/>
          <w:spacing w:val="0"/>
          <w:w w:val="100"/>
          <w:position w:val="0"/>
          <w:szCs w:val="22"/>
          <w:highlight w:val="none"/>
        </w:rPr>
      </w:pPr>
      <w:r>
        <w:rPr>
          <w:rFonts w:hint="default" w:ascii="Times New Roman" w:hAnsi="Times New Roman" w:eastAsia="宋体" w:cs="Times New Roman"/>
          <w:color w:val="auto"/>
          <w:spacing w:val="0"/>
          <w:w w:val="100"/>
          <w:position w:val="0"/>
          <w:sz w:val="24"/>
          <w:szCs w:val="24"/>
          <w:highlight w:val="none"/>
          <w:u w:val="none" w:color="auto"/>
        </w:rPr>
        <w:t>分布在县境北部海拔450—800米的沙漠地区。发育在梭梭、红柳、沙拐枣、三芒草等组成的沙生植被下，有沙质灰漠土、原始灰漠土、龟裂土。在成片生长的梭梭、红柳灌木林下还发育有平原林土。土层紧实、板结，微生物作用微弱，养分含量最低。原始灰漠土有机质含量0.67—1.0%，全氮含量0.02—0.04%，磷易被固定而失效，有效磷含量0.004—0.006‰。石灰性很强，碳酸钙含量5—10%。</w:t>
      </w:r>
    </w:p>
    <w:p w14:paraId="6206C1D0">
      <w:pPr>
        <w:pStyle w:val="4"/>
        <w:keepNext w:val="0"/>
        <w:keepLines w:val="0"/>
        <w:pageBreakBefore w:val="0"/>
        <w:widowControl w:val="0"/>
        <w:kinsoku/>
        <w:wordWrap/>
        <w:overflowPunct/>
        <w:topLinePunct w:val="0"/>
        <w:autoSpaceDE/>
        <w:autoSpaceDN/>
        <w:bidi w:val="0"/>
        <w:adjustRightInd/>
        <w:snapToGrid/>
        <w:rPr>
          <w:rFonts w:hint="eastAsia" w:eastAsia="宋体"/>
          <w:color w:val="auto"/>
          <w:spacing w:val="0"/>
          <w:w w:val="100"/>
          <w:position w:val="0"/>
          <w:highlight w:val="none"/>
          <w:lang w:eastAsia="zh-CN"/>
        </w:rPr>
      </w:pPr>
      <w:bookmarkStart w:id="275" w:name="_Toc11698"/>
      <w:r>
        <w:rPr>
          <w:rFonts w:hint="default"/>
          <w:color w:val="auto"/>
          <w:spacing w:val="0"/>
          <w:w w:val="100"/>
          <w:position w:val="0"/>
          <w:highlight w:val="none"/>
        </w:rPr>
        <w:t>4.1.</w:t>
      </w:r>
      <w:r>
        <w:rPr>
          <w:rFonts w:hint="eastAsia"/>
          <w:color w:val="auto"/>
          <w:spacing w:val="0"/>
          <w:w w:val="100"/>
          <w:position w:val="0"/>
          <w:highlight w:val="none"/>
          <w:lang w:val="en-US" w:eastAsia="zh-CN"/>
        </w:rPr>
        <w:t>6生物资源</w:t>
      </w:r>
      <w:bookmarkEnd w:id="275"/>
    </w:p>
    <w:p w14:paraId="462EA6DE">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rPr>
          <w:rFonts w:hint="default" w:ascii="Times New Roman" w:hAnsi="Times New Roman" w:eastAsia="宋体" w:cs="Times New Roman"/>
          <w:color w:val="auto"/>
          <w:spacing w:val="0"/>
          <w:w w:val="100"/>
          <w:position w:val="0"/>
          <w:sz w:val="24"/>
          <w:szCs w:val="24"/>
          <w:highlight w:val="none"/>
          <w:u w:val="none" w:color="auto"/>
        </w:rPr>
      </w:pPr>
      <w:r>
        <w:rPr>
          <w:rFonts w:hint="default" w:ascii="Times New Roman" w:hAnsi="Times New Roman" w:eastAsia="宋体" w:cs="Times New Roman"/>
          <w:color w:val="auto"/>
          <w:spacing w:val="0"/>
          <w:w w:val="100"/>
          <w:position w:val="0"/>
          <w:sz w:val="24"/>
          <w:szCs w:val="24"/>
          <w:highlight w:val="none"/>
          <w:u w:val="none" w:color="auto"/>
        </w:rPr>
        <w:t>阜康市由于海拔高度的不同，在不同的地貌区域内形成不同的植物群落，主要有高寒冰原植被、湿润山地森林植被和干旱沙漠植被。植物种类以中山森林带最为丰富，向南向北依次减少，至冰雪和沙漠最少，呈现明显的垂直特点，由南至北依次分为8个植物带。分别是冰川积雪带、高山莎草草甸带、亚高山草原草甸带、中山森林带、低山干草原带、蒿草—禾草半荒漠带、冲积平原猪毛菜属—半灌木荒漠带和沙质荒漠带。</w:t>
      </w:r>
    </w:p>
    <w:p w14:paraId="1CEC64D8">
      <w:pPr>
        <w:keepNext w:val="0"/>
        <w:keepLines w:val="0"/>
        <w:pageBreakBefore w:val="0"/>
        <w:widowControl w:val="0"/>
        <w:kinsoku/>
        <w:wordWrap/>
        <w:overflowPunct/>
        <w:topLinePunct w:val="0"/>
        <w:autoSpaceDE/>
        <w:autoSpaceDN/>
        <w:bidi w:val="0"/>
        <w:adjustRightInd/>
        <w:snapToGrid/>
        <w:ind w:firstLine="480"/>
        <w:rPr>
          <w:color w:val="auto"/>
          <w:spacing w:val="0"/>
          <w:w w:val="100"/>
          <w:position w:val="0"/>
          <w:highlight w:val="none"/>
        </w:rPr>
      </w:pPr>
      <w:r>
        <w:rPr>
          <w:rFonts w:hint="default" w:ascii="Times New Roman" w:hAnsi="Times New Roman" w:eastAsia="宋体" w:cs="Times New Roman"/>
          <w:color w:val="auto"/>
          <w:spacing w:val="0"/>
          <w:w w:val="100"/>
          <w:position w:val="0"/>
          <w:sz w:val="24"/>
          <w:szCs w:val="24"/>
          <w:highlight w:val="none"/>
          <w:u w:val="none" w:color="auto"/>
        </w:rPr>
        <w:t>项目所在区域野生动物较少，项目位于园区，厂址区域无重要保护珍稀</w:t>
      </w:r>
      <w:r>
        <w:rPr>
          <w:rFonts w:hint="eastAsia" w:cs="Times New Roman"/>
          <w:color w:val="auto"/>
          <w:spacing w:val="0"/>
          <w:w w:val="100"/>
          <w:position w:val="0"/>
          <w:sz w:val="24"/>
          <w:szCs w:val="24"/>
          <w:highlight w:val="none"/>
          <w:u w:val="none" w:color="auto"/>
          <w:lang w:val="en-US" w:eastAsia="zh-CN"/>
        </w:rPr>
        <w:t>植物、</w:t>
      </w:r>
      <w:r>
        <w:rPr>
          <w:rFonts w:hint="default" w:ascii="Times New Roman" w:hAnsi="Times New Roman" w:eastAsia="宋体" w:cs="Times New Roman"/>
          <w:color w:val="auto"/>
          <w:spacing w:val="0"/>
          <w:w w:val="100"/>
          <w:position w:val="0"/>
          <w:sz w:val="24"/>
          <w:szCs w:val="24"/>
          <w:highlight w:val="none"/>
          <w:u w:val="none" w:color="auto"/>
        </w:rPr>
        <w:t>动物。项目区域活动的野生动物以小型啮齿类、爬行类和鸟类为主。</w:t>
      </w:r>
    </w:p>
    <w:p w14:paraId="65163A64">
      <w:pPr>
        <w:pStyle w:val="3"/>
        <w:keepNext w:val="0"/>
        <w:keepLines w:val="0"/>
        <w:pageBreakBefore w:val="0"/>
        <w:widowControl w:val="0"/>
        <w:kinsoku/>
        <w:wordWrap/>
        <w:overflowPunct/>
        <w:topLinePunct w:val="0"/>
        <w:autoSpaceDE/>
        <w:autoSpaceDN/>
        <w:bidi w:val="0"/>
        <w:adjustRightInd/>
        <w:snapToGrid/>
        <w:rPr>
          <w:color w:val="auto"/>
          <w:spacing w:val="0"/>
          <w:w w:val="100"/>
          <w:position w:val="0"/>
          <w:highlight w:val="none"/>
        </w:rPr>
      </w:pPr>
      <w:bookmarkStart w:id="276" w:name="_Toc30928"/>
      <w:bookmarkStart w:id="277" w:name="_Toc19997"/>
      <w:bookmarkStart w:id="278" w:name="_Toc138589829"/>
      <w:bookmarkStart w:id="279" w:name="_Toc19262_WPSOffice_Level3"/>
      <w:bookmarkStart w:id="280" w:name="_Toc262"/>
      <w:r>
        <w:rPr>
          <w:color w:val="auto"/>
          <w:spacing w:val="0"/>
          <w:w w:val="100"/>
          <w:position w:val="0"/>
          <w:highlight w:val="none"/>
        </w:rPr>
        <w:t>4.2</w:t>
      </w:r>
      <w:bookmarkStart w:id="281" w:name="_Toc457905149"/>
      <w:bookmarkStart w:id="282" w:name="_Toc387073570"/>
      <w:r>
        <w:rPr>
          <w:rFonts w:hint="eastAsia"/>
          <w:color w:val="auto"/>
          <w:spacing w:val="0"/>
          <w:w w:val="100"/>
          <w:position w:val="0"/>
          <w:highlight w:val="none"/>
        </w:rPr>
        <w:t>甘泉堡工业园总体规划</w:t>
      </w:r>
      <w:r>
        <w:rPr>
          <w:color w:val="auto"/>
          <w:spacing w:val="0"/>
          <w:w w:val="100"/>
          <w:position w:val="0"/>
          <w:highlight w:val="none"/>
        </w:rPr>
        <w:t>概况</w:t>
      </w:r>
      <w:bookmarkEnd w:id="276"/>
      <w:bookmarkEnd w:id="277"/>
      <w:bookmarkEnd w:id="278"/>
      <w:bookmarkEnd w:id="279"/>
      <w:bookmarkEnd w:id="281"/>
      <w:bookmarkEnd w:id="282"/>
    </w:p>
    <w:p w14:paraId="67C4FE82">
      <w:pPr>
        <w:pStyle w:val="4"/>
        <w:keepNext w:val="0"/>
        <w:keepLines w:val="0"/>
        <w:pageBreakBefore w:val="0"/>
        <w:widowControl w:val="0"/>
        <w:kinsoku/>
        <w:wordWrap/>
        <w:overflowPunct/>
        <w:topLinePunct w:val="0"/>
        <w:autoSpaceDE/>
        <w:autoSpaceDN/>
        <w:bidi w:val="0"/>
        <w:adjustRightInd/>
        <w:snapToGrid/>
        <w:rPr>
          <w:rFonts w:hint="default" w:eastAsia="宋体"/>
          <w:color w:val="auto"/>
          <w:spacing w:val="0"/>
          <w:w w:val="100"/>
          <w:position w:val="0"/>
          <w:highlight w:val="none"/>
          <w:lang w:val="en-US" w:eastAsia="zh-CN"/>
        </w:rPr>
      </w:pPr>
      <w:bookmarkStart w:id="283" w:name="_Toc12358"/>
      <w:r>
        <w:rPr>
          <w:rFonts w:hint="default"/>
          <w:color w:val="auto"/>
          <w:spacing w:val="0"/>
          <w:w w:val="100"/>
          <w:position w:val="0"/>
          <w:highlight w:val="none"/>
        </w:rPr>
        <w:t>4.2.1</w:t>
      </w:r>
      <w:bookmarkEnd w:id="283"/>
      <w:r>
        <w:rPr>
          <w:rFonts w:hint="eastAsia"/>
          <w:color w:val="auto"/>
          <w:spacing w:val="0"/>
          <w:w w:val="100"/>
          <w:position w:val="0"/>
          <w:highlight w:val="none"/>
          <w:lang w:val="en-US" w:eastAsia="zh-CN"/>
        </w:rPr>
        <w:t>规划范围</w:t>
      </w:r>
    </w:p>
    <w:p w14:paraId="267452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pacing w:val="0"/>
          <w:w w:val="100"/>
          <w:position w:val="0"/>
          <w:highlight w:val="none"/>
        </w:rPr>
      </w:pPr>
      <w:r>
        <w:rPr>
          <w:rFonts w:hint="eastAsia"/>
          <w:color w:val="auto"/>
          <w:spacing w:val="0"/>
          <w:w w:val="100"/>
          <w:position w:val="0"/>
          <w:highlight w:val="none"/>
        </w:rPr>
        <w:t>甘泉堡工业园</w:t>
      </w:r>
      <w:r>
        <w:rPr>
          <w:rFonts w:hint="eastAsia" w:ascii="Times New Roman" w:hAnsi="Times New Roman" w:cs="Times New Roman"/>
          <w:color w:val="auto"/>
          <w:spacing w:val="0"/>
          <w:w w:val="100"/>
          <w:position w:val="0"/>
          <w:sz w:val="24"/>
          <w:szCs w:val="24"/>
        </w:rPr>
        <w:t>规划范围为南起吐乌大高等级公路以北，西至米东区三道坝镇东侧的规划环路，北至准噶尔盆地南缘，距“500”水库16.5公里，东至准东石油生活基地建成区边缘，规划范围360平方公里。</w:t>
      </w:r>
    </w:p>
    <w:p w14:paraId="464E31AB">
      <w:pPr>
        <w:pStyle w:val="4"/>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bookmarkStart w:id="284" w:name="_Toc25852"/>
      <w:r>
        <w:rPr>
          <w:rFonts w:hint="default"/>
          <w:color w:val="auto"/>
          <w:spacing w:val="0"/>
          <w:w w:val="100"/>
          <w:position w:val="0"/>
          <w:highlight w:val="none"/>
        </w:rPr>
        <w:t>4.2.</w:t>
      </w:r>
      <w:r>
        <w:rPr>
          <w:color w:val="auto"/>
          <w:spacing w:val="0"/>
          <w:w w:val="100"/>
          <w:position w:val="0"/>
          <w:highlight w:val="none"/>
        </w:rPr>
        <w:t>2</w:t>
      </w:r>
      <w:r>
        <w:rPr>
          <w:rFonts w:hint="default"/>
          <w:color w:val="auto"/>
          <w:spacing w:val="0"/>
          <w:w w:val="100"/>
          <w:position w:val="0"/>
          <w:highlight w:val="none"/>
        </w:rPr>
        <w:t>规划</w:t>
      </w:r>
      <w:bookmarkEnd w:id="284"/>
      <w:r>
        <w:rPr>
          <w:rFonts w:hint="eastAsia"/>
          <w:color w:val="auto"/>
          <w:spacing w:val="0"/>
          <w:w w:val="100"/>
          <w:position w:val="0"/>
          <w:highlight w:val="none"/>
          <w:lang w:val="en-US" w:eastAsia="zh-CN"/>
        </w:rPr>
        <w:t>时限</w:t>
      </w:r>
    </w:p>
    <w:p w14:paraId="63613A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规划期为2016～2030年，其中：</w:t>
      </w:r>
    </w:p>
    <w:p w14:paraId="30E2EC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olor w:val="auto"/>
          <w:spacing w:val="0"/>
          <w:w w:val="100"/>
          <w:position w:val="0"/>
          <w:highlight w:val="none"/>
          <w:lang w:eastAsia="zh-CN"/>
        </w:rPr>
      </w:pPr>
      <w:r>
        <w:rPr>
          <w:rFonts w:hint="eastAsia" w:ascii="Times New Roman" w:hAnsi="Times New Roman"/>
          <w:color w:val="auto"/>
          <w:spacing w:val="0"/>
          <w:w w:val="100"/>
          <w:position w:val="0"/>
          <w:highlight w:val="none"/>
        </w:rPr>
        <w:t>近期：2016—2020年</w:t>
      </w:r>
      <w:r>
        <w:rPr>
          <w:rFonts w:hint="eastAsia" w:ascii="Times New Roman" w:hAnsi="Times New Roman"/>
          <w:color w:val="auto"/>
          <w:spacing w:val="0"/>
          <w:w w:val="100"/>
          <w:position w:val="0"/>
          <w:highlight w:val="none"/>
          <w:lang w:eastAsia="zh-CN"/>
        </w:rPr>
        <w:t>；</w:t>
      </w:r>
    </w:p>
    <w:p w14:paraId="4D1CC42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olor w:val="auto"/>
          <w:spacing w:val="0"/>
          <w:w w:val="100"/>
          <w:position w:val="0"/>
          <w:highlight w:val="none"/>
          <w:lang w:eastAsia="zh-CN"/>
        </w:rPr>
      </w:pPr>
      <w:r>
        <w:rPr>
          <w:rFonts w:hint="eastAsia" w:ascii="Times New Roman" w:hAnsi="Times New Roman"/>
          <w:color w:val="auto"/>
          <w:spacing w:val="0"/>
          <w:w w:val="100"/>
          <w:position w:val="0"/>
          <w:highlight w:val="none"/>
        </w:rPr>
        <w:t>中期：2020—2030年</w:t>
      </w:r>
      <w:r>
        <w:rPr>
          <w:rFonts w:hint="eastAsia" w:ascii="Times New Roman" w:hAnsi="Times New Roman"/>
          <w:color w:val="auto"/>
          <w:spacing w:val="0"/>
          <w:w w:val="100"/>
          <w:position w:val="0"/>
          <w:highlight w:val="none"/>
          <w:lang w:eastAsia="zh-CN"/>
        </w:rPr>
        <w:t>；</w:t>
      </w:r>
    </w:p>
    <w:p w14:paraId="3BA3560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olor w:val="auto"/>
          <w:spacing w:val="0"/>
          <w:w w:val="100"/>
          <w:position w:val="0"/>
          <w:highlight w:val="none"/>
          <w:lang w:eastAsia="zh-CN"/>
        </w:rPr>
      </w:pPr>
      <w:r>
        <w:rPr>
          <w:rFonts w:hint="eastAsia" w:ascii="Times New Roman" w:hAnsi="Times New Roman"/>
          <w:color w:val="auto"/>
          <w:spacing w:val="0"/>
          <w:w w:val="100"/>
          <w:position w:val="0"/>
          <w:highlight w:val="none"/>
        </w:rPr>
        <w:t>远景：2030年以后</w:t>
      </w:r>
      <w:r>
        <w:rPr>
          <w:rFonts w:hint="eastAsia" w:ascii="Times New Roman" w:hAnsi="Times New Roman"/>
          <w:color w:val="auto"/>
          <w:spacing w:val="0"/>
          <w:w w:val="100"/>
          <w:position w:val="0"/>
          <w:highlight w:val="none"/>
          <w:lang w:eastAsia="zh-CN"/>
        </w:rPr>
        <w:t>。</w:t>
      </w:r>
    </w:p>
    <w:p w14:paraId="18330F94">
      <w:pPr>
        <w:pStyle w:val="4"/>
        <w:keepNext w:val="0"/>
        <w:keepLines w:val="0"/>
        <w:pageBreakBefore w:val="0"/>
        <w:widowControl w:val="0"/>
        <w:kinsoku/>
        <w:wordWrap/>
        <w:overflowPunct/>
        <w:topLinePunct w:val="0"/>
        <w:autoSpaceDE/>
        <w:autoSpaceDN/>
        <w:bidi w:val="0"/>
        <w:adjustRightInd/>
        <w:snapToGrid/>
        <w:rPr>
          <w:rFonts w:hint="default" w:ascii="Times New Roman" w:hAnsi="Times New Roman"/>
          <w:color w:val="auto"/>
          <w:spacing w:val="0"/>
          <w:w w:val="100"/>
          <w:position w:val="0"/>
          <w:highlight w:val="none"/>
        </w:rPr>
      </w:pPr>
      <w:bookmarkStart w:id="285" w:name="_Toc275162158"/>
      <w:bookmarkStart w:id="286" w:name="_Toc8521"/>
      <w:r>
        <w:rPr>
          <w:rFonts w:hint="eastAsia" w:ascii="Times New Roman" w:hAnsi="Times New Roman"/>
          <w:color w:val="auto"/>
          <w:spacing w:val="0"/>
          <w:w w:val="100"/>
          <w:position w:val="0"/>
          <w:highlight w:val="none"/>
          <w:lang w:val="en-US" w:eastAsia="zh-CN"/>
        </w:rPr>
        <w:t>4.2.3</w:t>
      </w:r>
      <w:r>
        <w:rPr>
          <w:rFonts w:hint="default" w:ascii="Times New Roman" w:hAnsi="Times New Roman"/>
          <w:color w:val="auto"/>
          <w:spacing w:val="0"/>
          <w:w w:val="100"/>
          <w:position w:val="0"/>
          <w:highlight w:val="none"/>
        </w:rPr>
        <w:t>产业定位</w:t>
      </w:r>
    </w:p>
    <w:p w14:paraId="315EE9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乌昌地区未来以实施优势资源转化战略为基础，以高新技术创新研发为先导的新兴战略产业基地，以新能源和优势资源深度开发利用为主，具有循环经济特色，面向中亚和东欧市场的出口加工基地，形成重点发展产业、补充发展产业和配套发展产业“7+3+2”的产业体系。</w:t>
      </w:r>
    </w:p>
    <w:p w14:paraId="525169D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（1）重点发展产业：确保现有煤电煤化工产业和精细化工业有序建设，重点发展新能源与新材料工业、先进装备制造业和机电工业（主要是电气设备和通讯设备），积极开拓生物医药、电子信息产业。</w:t>
      </w:r>
    </w:p>
    <w:p w14:paraId="64F6A9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（2）补充发展产业：合理发展新型建材业和有色金属加工业，鼓励发展众创众筹等小微产业。</w:t>
      </w:r>
    </w:p>
    <w:p w14:paraId="1950B74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3）配套发展产业：包括为生产性服务业和消费性服务业。其中，生产性服务业指以铁路、高速公路为主动脉的物流运输产业，金融服务、信息技术、咨询、教育、产业研发、会展业等；生活性服务业指商业、文化、休闲、居住等。</w:t>
      </w:r>
    </w:p>
    <w:p w14:paraId="7ADB72C4">
      <w:pPr>
        <w:pStyle w:val="4"/>
        <w:keepNext w:val="0"/>
        <w:keepLines w:val="0"/>
        <w:pageBreakBefore w:val="0"/>
        <w:widowControl w:val="0"/>
        <w:kinsoku/>
        <w:wordWrap/>
        <w:overflowPunct/>
        <w:topLinePunct w:val="0"/>
        <w:autoSpaceDE/>
        <w:autoSpaceDN/>
        <w:bidi w:val="0"/>
        <w:adjustRightInd/>
        <w:snapToGrid/>
        <w:rPr>
          <w:rFonts w:hint="eastAsia" w:ascii="Times New Roman" w:hAnsi="Times New Roman"/>
          <w:color w:val="auto"/>
          <w:spacing w:val="0"/>
          <w:w w:val="100"/>
          <w:position w:val="0"/>
          <w:highlight w:val="none"/>
          <w:lang w:val="en-US" w:eastAsia="zh-CN"/>
        </w:rPr>
      </w:pPr>
      <w:r>
        <w:rPr>
          <w:rFonts w:hint="eastAsia" w:ascii="Times New Roman" w:hAnsi="Times New Roman"/>
          <w:color w:val="auto"/>
          <w:spacing w:val="0"/>
          <w:w w:val="100"/>
          <w:position w:val="0"/>
          <w:highlight w:val="none"/>
          <w:lang w:val="en-US" w:eastAsia="zh-CN"/>
        </w:rPr>
        <w:t>4.2.4产业发展与用地布局规划</w:t>
      </w:r>
    </w:p>
    <w:p w14:paraId="64C4D7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规划区划分成九个功能区，分别是：</w:t>
      </w:r>
    </w:p>
    <w:p w14:paraId="1EB916A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（1）优势资源转化工业区：五家渠市102团的东北部，面积约52平方公里。</w:t>
      </w:r>
    </w:p>
    <w:p w14:paraId="27AD623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重点发展能源工业、煤炭化工工业、煤制油、精细化工工业及配套仓储物流业。</w:t>
      </w:r>
    </w:p>
    <w:p w14:paraId="62827B9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鼓励发展的产业：</w:t>
      </w:r>
    </w:p>
    <w:p w14:paraId="59E05C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可发展一定规模的煤电产业及其拓展产业，形成煤电能源产业相关产业的生产基地。工业门类以三类为主，一、二类为辅。</w:t>
      </w:r>
    </w:p>
    <w:p w14:paraId="3615C09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入驻企业需符合《现代煤化工建设项目环境准入条件（试行）》要求。</w:t>
      </w:r>
    </w:p>
    <w:p w14:paraId="2208CC9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工业用地建设指标：投资强度不低于5500万元/公顷，容积率不低于0.6，达产税收产出强度不低于700万元/公顷。</w:t>
      </w:r>
    </w:p>
    <w:p w14:paraId="3531678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（2）经济合作与产业孵化区：现状102省道以东、石化污水库以北区域，面积约11.5平方公里。</w:t>
      </w:r>
    </w:p>
    <w:p w14:paraId="1DAC7B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以科技成果转化、先进企业孵化、创新人才培养为目标，建设一个创新氛围良好、产业服务齐全、配套设施完善的国际科技经济合作园区。</w:t>
      </w:r>
    </w:p>
    <w:p w14:paraId="531EB28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鼓励发展的产业：</w:t>
      </w:r>
    </w:p>
    <w:p w14:paraId="028A2FA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新材料、新型建材、医药研发、机电工业、精密机械加工、特种设备制造和新型轻工产品、环保技术开发与设备制造。</w:t>
      </w:r>
    </w:p>
    <w:p w14:paraId="1A60214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工业用地建设指标：投资强度不低于1500万元/公顷，容积率不低于1.5，达产税收产出强度不低于500万元/公顷。</w:t>
      </w:r>
    </w:p>
    <w:p w14:paraId="2D7169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（3）新能源工业区：102团路以西及中央大道以北区域，面积约31.8平方公里。</w:t>
      </w:r>
    </w:p>
    <w:p w14:paraId="14CDDD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鼓励发展的产业：</w:t>
      </w:r>
    </w:p>
    <w:p w14:paraId="1596F5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重点发展新型能源开发利用产业，如煤炭资源的深度开发利用技术；太阳能、风能和地热能的开发利用；大型发电设备制造业；铁路运输设备、装卸设备制造。</w:t>
      </w:r>
    </w:p>
    <w:p w14:paraId="703EBA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工业用地建设指标：投资强度不低于5000万元/公顷，容积率不低于0.7，达产税收产出强度不低于500万元/公顷；</w:t>
      </w:r>
    </w:p>
    <w:p w14:paraId="25AC19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（4）高新技术产业区：西延干渠南北两侧，北到南一路(4号路)，西到102省道，东到准东石油基地，面积约25.6平方公里。</w:t>
      </w:r>
    </w:p>
    <w:p w14:paraId="126B47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鼓励发展的产业：</w:t>
      </w:r>
    </w:p>
    <w:p w14:paraId="6DBC3D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晶片制造；电子</w:t>
      </w:r>
      <w:r>
        <w:rPr>
          <w:rFonts w:hint="eastAsia"/>
          <w:color w:val="auto"/>
          <w:spacing w:val="0"/>
          <w:w w:val="100"/>
          <w:position w:val="0"/>
          <w:highlight w:val="none"/>
          <w:lang w:eastAsia="zh-CN"/>
        </w:rPr>
        <w:t>铝卷</w:t>
      </w:r>
      <w:r>
        <w:rPr>
          <w:rFonts w:hint="eastAsia" w:ascii="Times New Roman" w:hAnsi="Times New Roman"/>
          <w:color w:val="auto"/>
          <w:spacing w:val="0"/>
          <w:w w:val="100"/>
          <w:position w:val="0"/>
          <w:highlight w:val="none"/>
        </w:rPr>
        <w:t>；光纤和数字通讯设备；软件产业；汽车、医疗电子产品和设备制造以及煤电煤化工产业。</w:t>
      </w:r>
    </w:p>
    <w:p w14:paraId="2669A08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工业用地建设指标：投资强度不低于3000万元/公顷，容积率不低于1.0，达产税收产出强度不低于700万元/公顷。</w:t>
      </w:r>
    </w:p>
    <w:p w14:paraId="173110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（5）科教综合服务新区：102省道以东，规划中央大道以北三个地块，中央大道以南一个地块，以及102省道以西部分地块，面积约19.4平方公里。</w:t>
      </w:r>
    </w:p>
    <w:p w14:paraId="47CDE99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主要建设发展方向为科技、教育、行政办公、咨询管理等，以公共服务和配套居住功能为主。</w:t>
      </w:r>
    </w:p>
    <w:p w14:paraId="497505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（6）物流仓储区：甘泉堡工业区南区，西延干渠南侧，米东大道西侧面积约17.1平方公里。</w:t>
      </w:r>
    </w:p>
    <w:p w14:paraId="2EF4D02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区域依托铁路和公路交通设施，作为发展工业所必需的交通运输服务职能。以第三方物流为主的专业仓储物流配送，为加工企业提供全程物流服务和延伸细化物流服务，为乌鲁木齐市甘泉堡工业区服务。为高新技术产业园区和其它工业区提供服务，承担对外交流的功能，并与核心服务区一起提供现代服务。</w:t>
      </w:r>
    </w:p>
    <w:p w14:paraId="6AC575F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仓储物流区主要发展的功能包括高端现代物流功能、商务功能、货运功能、专业市场功能等。</w:t>
      </w:r>
    </w:p>
    <w:p w14:paraId="783B4A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（7）小微企业创新区：与阜康市邻接用地，面积约18平方公里。</w:t>
      </w:r>
    </w:p>
    <w:p w14:paraId="09173C8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以新型建材产业为主导的集研发孵化、生产加工、商贸交易、物流配送为一体的小微新兴产业企业园。</w:t>
      </w:r>
    </w:p>
    <w:p w14:paraId="2F6047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（8）生态保育区：“500”库区及周边1～5公里范围，其它受保护的农田、渠道及林地，面积约124平方公里。</w:t>
      </w:r>
    </w:p>
    <w:p w14:paraId="1E844F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以种植绿化为主，作为当地的植被恢复，涵养土壤水源，可适当布置特色旅游产业。</w:t>
      </w:r>
    </w:p>
    <w:p w14:paraId="7C5401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（9）协调发展区：与五家渠市邻接用地，面积约43.7平方公里。</w:t>
      </w:r>
    </w:p>
    <w:p w14:paraId="27A8F5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是重要的农畜产品资源加工转化基地、绿色食品深加工基地、机械装备制造基地；石油下游产品加工、煤化工及矿产资源加工生产基地；首府工业产业转移的重要承接区，与首府和内地项目配套互补开发区域。</w:t>
      </w:r>
    </w:p>
    <w:p w14:paraId="1226A9B6">
      <w:pPr>
        <w:pStyle w:val="4"/>
        <w:keepNext w:val="0"/>
        <w:keepLines w:val="0"/>
        <w:pageBreakBefore w:val="0"/>
        <w:widowControl w:val="0"/>
        <w:kinsoku/>
        <w:wordWrap/>
        <w:overflowPunct/>
        <w:topLinePunct w:val="0"/>
        <w:autoSpaceDE/>
        <w:autoSpaceDN/>
        <w:bidi w:val="0"/>
        <w:adjustRightInd/>
        <w:snapToGrid/>
        <w:rPr>
          <w:rFonts w:hint="default" w:ascii="Times New Roman" w:hAnsi="Times New Roman"/>
          <w:color w:val="auto"/>
          <w:spacing w:val="0"/>
          <w:w w:val="100"/>
          <w:position w:val="0"/>
          <w:highlight w:val="none"/>
          <w:lang w:val="en-US" w:eastAsia="zh-CN"/>
        </w:rPr>
      </w:pPr>
      <w:r>
        <w:rPr>
          <w:rFonts w:hint="default" w:ascii="Times New Roman" w:hAnsi="Times New Roman"/>
          <w:color w:val="auto"/>
          <w:spacing w:val="0"/>
          <w:w w:val="100"/>
          <w:position w:val="0"/>
          <w:highlight w:val="none"/>
          <w:lang w:val="en-US" w:eastAsia="zh-CN"/>
        </w:rPr>
        <w:t>4.2.5基础设施</w:t>
      </w:r>
      <w:bookmarkEnd w:id="285"/>
      <w:r>
        <w:rPr>
          <w:rFonts w:hint="default" w:ascii="Times New Roman" w:hAnsi="Times New Roman"/>
          <w:color w:val="auto"/>
          <w:spacing w:val="0"/>
          <w:w w:val="100"/>
          <w:position w:val="0"/>
          <w:highlight w:val="none"/>
          <w:lang w:val="en-US" w:eastAsia="zh-CN"/>
        </w:rPr>
        <w:t>现状及规划</w:t>
      </w:r>
      <w:bookmarkEnd w:id="286"/>
    </w:p>
    <w:p w14:paraId="5C846756">
      <w:pPr>
        <w:pStyle w:val="5"/>
        <w:keepNext w:val="0"/>
        <w:keepLines w:val="0"/>
        <w:pageBreakBefore w:val="0"/>
        <w:widowControl w:val="0"/>
        <w:kinsoku/>
        <w:wordWrap/>
        <w:overflowPunct/>
        <w:topLinePunct w:val="0"/>
        <w:autoSpaceDE/>
        <w:autoSpaceDN/>
        <w:bidi w:val="0"/>
        <w:adjustRightInd/>
        <w:snapToGrid/>
        <w:rPr>
          <w:rFonts w:hint="eastAsia" w:ascii="Times New Roman" w:hAnsi="Times New Roman"/>
          <w:color w:val="auto"/>
          <w:spacing w:val="0"/>
          <w:w w:val="100"/>
          <w:position w:val="0"/>
          <w:highlight w:val="none"/>
          <w:lang w:val="en-US" w:eastAsia="zh-CN"/>
        </w:rPr>
      </w:pPr>
      <w:r>
        <w:rPr>
          <w:rFonts w:hint="eastAsia" w:ascii="Times New Roman" w:hAnsi="Times New Roman"/>
          <w:color w:val="auto"/>
          <w:spacing w:val="0"/>
          <w:w w:val="100"/>
          <w:position w:val="0"/>
          <w:highlight w:val="none"/>
          <w:lang w:val="en-US" w:eastAsia="zh-CN"/>
        </w:rPr>
        <w:t>4.2.5.1综合交通规划</w:t>
      </w:r>
    </w:p>
    <w:p w14:paraId="2A382C1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bookmarkStart w:id="287" w:name="_Toc405540520"/>
      <w:r>
        <w:rPr>
          <w:rFonts w:hint="eastAsia" w:ascii="Times New Roman" w:hAnsi="Times New Roman"/>
          <w:color w:val="auto"/>
          <w:spacing w:val="0"/>
          <w:w w:val="100"/>
          <w:position w:val="0"/>
          <w:highlight w:val="none"/>
        </w:rPr>
        <w:t>1</w:t>
      </w:r>
      <w:r>
        <w:rPr>
          <w:rFonts w:hint="eastAsia" w:ascii="Times New Roman" w:hAnsi="Times New Roman"/>
          <w:color w:val="auto"/>
          <w:spacing w:val="0"/>
          <w:w w:val="100"/>
          <w:position w:val="0"/>
          <w:highlight w:val="none"/>
          <w:lang w:val="en-US" w:eastAsia="zh-CN"/>
        </w:rPr>
        <w:t>.</w:t>
      </w:r>
      <w:r>
        <w:rPr>
          <w:rFonts w:hint="eastAsia" w:ascii="Times New Roman" w:hAnsi="Times New Roman"/>
          <w:color w:val="auto"/>
          <w:spacing w:val="0"/>
          <w:w w:val="100"/>
          <w:position w:val="0"/>
          <w:highlight w:val="none"/>
        </w:rPr>
        <w:t>铁路交通规划</w:t>
      </w:r>
      <w:bookmarkEnd w:id="287"/>
    </w:p>
    <w:p w14:paraId="402773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加快实施改扩建乌准铁路、新建园区铁路专用线，铁路等级；工业企业Ⅰ级，正线数目；单线，预留双线条件；牵引种类：内燃，预留电化条件。远期双线电气化后，线路输送能力可达7000万吨/年，可基本满足乌鲁木齐市甘泉堡工业区货物运输需求。</w:t>
      </w:r>
    </w:p>
    <w:p w14:paraId="0DFC0D6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改扩建甘泉堡车站、魏家泉车站，新建甘霖站、梧桐站，增设货运站场，远期预留城市铁路站。</w:t>
      </w:r>
    </w:p>
    <w:p w14:paraId="7AEBFD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bookmarkStart w:id="288" w:name="_Toc405540521"/>
      <w:r>
        <w:rPr>
          <w:rFonts w:hint="eastAsia" w:ascii="Times New Roman" w:hAnsi="Times New Roman"/>
          <w:color w:val="auto"/>
          <w:spacing w:val="0"/>
          <w:w w:val="100"/>
          <w:position w:val="0"/>
          <w:highlight w:val="none"/>
        </w:rPr>
        <w:t>2</w:t>
      </w:r>
      <w:r>
        <w:rPr>
          <w:rFonts w:hint="eastAsia" w:ascii="Times New Roman" w:hAnsi="Times New Roman"/>
          <w:color w:val="auto"/>
          <w:spacing w:val="0"/>
          <w:w w:val="100"/>
          <w:position w:val="0"/>
          <w:highlight w:val="none"/>
          <w:lang w:val="en-US" w:eastAsia="zh-CN"/>
        </w:rPr>
        <w:t>.</w:t>
      </w:r>
      <w:r>
        <w:rPr>
          <w:rFonts w:hint="eastAsia" w:ascii="Times New Roman" w:hAnsi="Times New Roman"/>
          <w:color w:val="auto"/>
          <w:spacing w:val="0"/>
          <w:w w:val="100"/>
          <w:position w:val="0"/>
          <w:highlight w:val="none"/>
        </w:rPr>
        <w:t>公路交通规划</w:t>
      </w:r>
      <w:bookmarkEnd w:id="288"/>
    </w:p>
    <w:p w14:paraId="576365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bookmarkStart w:id="289" w:name="_Toc405540522"/>
      <w:r>
        <w:rPr>
          <w:rFonts w:hint="eastAsia" w:ascii="Times New Roman" w:hAnsi="Times New Roman"/>
          <w:color w:val="auto"/>
          <w:spacing w:val="0"/>
          <w:w w:val="100"/>
          <w:position w:val="0"/>
          <w:highlight w:val="none"/>
        </w:rPr>
        <w:t>建立以大容量公共交通系统（包括重轨、轻轨、快速公交系统BRT）为骨架，地面常规公交系统为网络的乌鲁木齐市甘泉堡工业区公共交通系统。</w:t>
      </w:r>
    </w:p>
    <w:p w14:paraId="6BCC3A6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规划4处长途客运站。</w:t>
      </w:r>
    </w:p>
    <w:p w14:paraId="69673B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园区内干道规划为“一环三横三纵网格”式的布局形式。</w:t>
      </w:r>
    </w:p>
    <w:p w14:paraId="624F006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一环：</w:t>
      </w:r>
    </w:p>
    <w:p w14:paraId="2BB2D8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沿园区西部外围，过至102团公路、国道G216和“500”水库北部规划一条快速路，南与吐乌大高速公路，东与现有阜北公路连接，形成外围环路，作为园区的主入口，同时可与乌昌区域三环连接。与乌奇高速公路和国道G216连接处、与中央大道、与至102团公路连接、与东二路连接、与阜北公路连接处均按互通式立交设置。道路红线宽为60米，其中车行道为一块板双向八车道，宽度30米，人非混行两侧各6米，绿化隔离带各9米，可种植四排树木，配置乔木、灌木、花卉、草坪，高低错落、色彩搭配，道路两侧各控制50米宽绿化防护区，主要种植高大乔木，在新区外围形成一道绿色防护屏障。</w:t>
      </w:r>
    </w:p>
    <w:p w14:paraId="7055FD8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三横：</w:t>
      </w:r>
    </w:p>
    <w:p w14:paraId="5B76F0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园区北部外围西连102团至五家渠、东接222团至吐乌大高速公路。</w:t>
      </w:r>
    </w:p>
    <w:p w14:paraId="7B73AD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中部中央大道西连五家渠、东至“500”水库。</w:t>
      </w:r>
    </w:p>
    <w:p w14:paraId="5EC2B46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利用国道G216向西延伸至米泉三道坝镇，东经准东基地接阜康市。</w:t>
      </w:r>
    </w:p>
    <w:p w14:paraId="0ADEF3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三纵：</w:t>
      </w:r>
    </w:p>
    <w:p w14:paraId="41BA947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利用原有至102团公路，调整作为城内主干道(南北大道)，将外围交通功能疏解于规划外围环路。</w:t>
      </w:r>
    </w:p>
    <w:p w14:paraId="4EF50C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在“500”水库西侧沿库区保护范围边沿平行于南北大道规划一条主干道。</w:t>
      </w:r>
    </w:p>
    <w:p w14:paraId="14FB443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现有阜北公路沟通南北。</w:t>
      </w:r>
    </w:p>
    <w:bookmarkEnd w:id="289"/>
    <w:p w14:paraId="60BA8973">
      <w:pPr>
        <w:pStyle w:val="5"/>
        <w:keepNext w:val="0"/>
        <w:keepLines w:val="0"/>
        <w:pageBreakBefore w:val="0"/>
        <w:widowControl w:val="0"/>
        <w:kinsoku/>
        <w:wordWrap/>
        <w:overflowPunct/>
        <w:topLinePunct w:val="0"/>
        <w:autoSpaceDE/>
        <w:autoSpaceDN/>
        <w:bidi w:val="0"/>
        <w:adjustRightInd/>
        <w:snapToGrid/>
        <w:rPr>
          <w:rFonts w:hint="eastAsia" w:ascii="Times New Roman" w:hAnsi="Times New Roman"/>
          <w:color w:val="auto"/>
          <w:spacing w:val="0"/>
          <w:w w:val="100"/>
          <w:position w:val="0"/>
          <w:highlight w:val="none"/>
          <w:lang w:val="en-US" w:eastAsia="zh-CN"/>
        </w:rPr>
      </w:pPr>
      <w:r>
        <w:rPr>
          <w:rFonts w:hint="eastAsia" w:ascii="Times New Roman" w:hAnsi="Times New Roman"/>
          <w:color w:val="auto"/>
          <w:spacing w:val="0"/>
          <w:w w:val="100"/>
          <w:position w:val="0"/>
          <w:highlight w:val="none"/>
          <w:lang w:val="en-US" w:eastAsia="zh-CN"/>
        </w:rPr>
        <w:t>4.2.5.2给水工程规划</w:t>
      </w:r>
    </w:p>
    <w:p w14:paraId="47F10F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1</w:t>
      </w:r>
      <w:r>
        <w:rPr>
          <w:rFonts w:hint="eastAsia" w:ascii="Times New Roman" w:hAnsi="Times New Roman"/>
          <w:color w:val="auto"/>
          <w:spacing w:val="0"/>
          <w:w w:val="100"/>
          <w:position w:val="0"/>
          <w:highlight w:val="none"/>
          <w:lang w:val="en-US" w:eastAsia="zh-CN"/>
        </w:rPr>
        <w:t>.</w:t>
      </w:r>
      <w:r>
        <w:rPr>
          <w:rFonts w:hint="eastAsia" w:ascii="Times New Roman" w:hAnsi="Times New Roman"/>
          <w:color w:val="auto"/>
          <w:spacing w:val="0"/>
          <w:w w:val="100"/>
          <w:position w:val="0"/>
          <w:highlight w:val="none"/>
        </w:rPr>
        <w:t>水源</w:t>
      </w:r>
    </w:p>
    <w:p w14:paraId="7D42601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甘泉堡工业区内建有“500”水库，目前库区一期工程已建成，“500”水库一期可调节4.2亿m</w:t>
      </w:r>
      <w:r>
        <w:rPr>
          <w:rFonts w:hint="eastAsia" w:ascii="Times New Roman" w:hAnsi="Times New Roman"/>
          <w:color w:val="auto"/>
          <w:spacing w:val="0"/>
          <w:w w:val="100"/>
          <w:position w:val="0"/>
          <w:highlight w:val="none"/>
          <w:vertAlign w:val="superscript"/>
        </w:rPr>
        <w:t>3</w:t>
      </w:r>
      <w:r>
        <w:rPr>
          <w:rFonts w:hint="eastAsia" w:ascii="Times New Roman" w:hAnsi="Times New Roman"/>
          <w:color w:val="auto"/>
          <w:spacing w:val="0"/>
          <w:w w:val="100"/>
          <w:position w:val="0"/>
          <w:highlight w:val="none"/>
        </w:rPr>
        <w:t>用水，二期可调节6.4亿m</w:t>
      </w:r>
      <w:r>
        <w:rPr>
          <w:rFonts w:hint="eastAsia" w:ascii="Times New Roman" w:hAnsi="Times New Roman"/>
          <w:color w:val="auto"/>
          <w:spacing w:val="0"/>
          <w:w w:val="100"/>
          <w:position w:val="0"/>
          <w:highlight w:val="none"/>
          <w:vertAlign w:val="superscript"/>
        </w:rPr>
        <w:t>3</w:t>
      </w:r>
      <w:r>
        <w:rPr>
          <w:rFonts w:hint="eastAsia" w:ascii="Times New Roman" w:hAnsi="Times New Roman"/>
          <w:color w:val="auto"/>
          <w:spacing w:val="0"/>
          <w:w w:val="100"/>
          <w:position w:val="0"/>
          <w:highlight w:val="none"/>
        </w:rPr>
        <w:t>用水，远景可调节10.6亿m</w:t>
      </w:r>
      <w:r>
        <w:rPr>
          <w:rFonts w:hint="eastAsia" w:ascii="Times New Roman" w:hAnsi="Times New Roman"/>
          <w:color w:val="auto"/>
          <w:spacing w:val="0"/>
          <w:w w:val="100"/>
          <w:position w:val="0"/>
          <w:highlight w:val="none"/>
          <w:vertAlign w:val="superscript"/>
        </w:rPr>
        <w:t>3</w:t>
      </w:r>
      <w:r>
        <w:rPr>
          <w:rFonts w:hint="eastAsia" w:ascii="Times New Roman" w:hAnsi="Times New Roman"/>
          <w:color w:val="auto"/>
          <w:spacing w:val="0"/>
          <w:w w:val="100"/>
          <w:position w:val="0"/>
          <w:highlight w:val="none"/>
        </w:rPr>
        <w:t>用水。</w:t>
      </w:r>
    </w:p>
    <w:p w14:paraId="45021F0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依据“500”水库受水区规划，乌鲁木齐市在“500”水库近期的分水量为1.5亿m</w:t>
      </w:r>
      <w:r>
        <w:rPr>
          <w:rFonts w:hint="eastAsia" w:ascii="Times New Roman" w:hAnsi="Times New Roman"/>
          <w:color w:val="auto"/>
          <w:spacing w:val="0"/>
          <w:w w:val="100"/>
          <w:position w:val="0"/>
          <w:highlight w:val="none"/>
          <w:vertAlign w:val="superscript"/>
        </w:rPr>
        <w:t>3</w:t>
      </w:r>
      <w:r>
        <w:rPr>
          <w:rFonts w:hint="eastAsia" w:ascii="Times New Roman" w:hAnsi="Times New Roman"/>
          <w:color w:val="auto"/>
          <w:spacing w:val="0"/>
          <w:w w:val="100"/>
          <w:position w:val="0"/>
          <w:highlight w:val="none"/>
        </w:rPr>
        <w:t>，置换乌鲁木齐河5000万m</w:t>
      </w:r>
      <w:r>
        <w:rPr>
          <w:rFonts w:hint="eastAsia" w:ascii="Times New Roman" w:hAnsi="Times New Roman"/>
          <w:color w:val="auto"/>
          <w:spacing w:val="0"/>
          <w:w w:val="100"/>
          <w:position w:val="0"/>
          <w:highlight w:val="none"/>
          <w:vertAlign w:val="superscript"/>
        </w:rPr>
        <w:t>3</w:t>
      </w:r>
      <w:r>
        <w:rPr>
          <w:rFonts w:hint="eastAsia" w:ascii="Times New Roman" w:hAnsi="Times New Roman"/>
          <w:color w:val="auto"/>
          <w:spacing w:val="0"/>
          <w:w w:val="100"/>
          <w:position w:val="0"/>
          <w:highlight w:val="none"/>
        </w:rPr>
        <w:t>，通过在上游拦河修建大西沟水库等水利设施留在城市上游，用于生态恢复及城市建设发展。置换头屯河3000万m</w:t>
      </w:r>
      <w:r>
        <w:rPr>
          <w:rFonts w:hint="eastAsia" w:ascii="Times New Roman" w:hAnsi="Times New Roman"/>
          <w:color w:val="auto"/>
          <w:spacing w:val="0"/>
          <w:w w:val="100"/>
          <w:position w:val="0"/>
          <w:highlight w:val="none"/>
          <w:vertAlign w:val="superscript"/>
        </w:rPr>
        <w:t>3</w:t>
      </w:r>
      <w:r>
        <w:rPr>
          <w:rFonts w:hint="eastAsia" w:ascii="Times New Roman" w:hAnsi="Times New Roman"/>
          <w:color w:val="auto"/>
          <w:spacing w:val="0"/>
          <w:w w:val="100"/>
          <w:position w:val="0"/>
          <w:highlight w:val="none"/>
        </w:rPr>
        <w:t>，用于头屯河城市副中心建设发展及生态绿化。留在“500”水库的7000万m</w:t>
      </w:r>
      <w:r>
        <w:rPr>
          <w:rFonts w:hint="eastAsia" w:ascii="Times New Roman" w:hAnsi="Times New Roman"/>
          <w:color w:val="auto"/>
          <w:spacing w:val="0"/>
          <w:w w:val="100"/>
          <w:position w:val="0"/>
          <w:highlight w:val="none"/>
          <w:vertAlign w:val="superscript"/>
        </w:rPr>
        <w:t>3</w:t>
      </w:r>
      <w:r>
        <w:rPr>
          <w:rFonts w:hint="eastAsia" w:ascii="Times New Roman" w:hAnsi="Times New Roman"/>
          <w:color w:val="auto"/>
          <w:spacing w:val="0"/>
          <w:w w:val="100"/>
          <w:position w:val="0"/>
          <w:highlight w:val="none"/>
        </w:rPr>
        <w:t>用于乌鲁木齐市甘泉堡工业区建设。</w:t>
      </w:r>
    </w:p>
    <w:p w14:paraId="73FCA6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2</w:t>
      </w:r>
      <w:r>
        <w:rPr>
          <w:rFonts w:hint="eastAsia" w:ascii="Times New Roman" w:hAnsi="Times New Roman"/>
          <w:color w:val="auto"/>
          <w:spacing w:val="0"/>
          <w:w w:val="100"/>
          <w:position w:val="0"/>
          <w:highlight w:val="none"/>
          <w:lang w:val="en-US" w:eastAsia="zh-CN"/>
        </w:rPr>
        <w:t>.</w:t>
      </w:r>
      <w:r>
        <w:rPr>
          <w:rFonts w:hint="eastAsia" w:ascii="Times New Roman" w:hAnsi="Times New Roman"/>
          <w:color w:val="auto"/>
          <w:spacing w:val="0"/>
          <w:w w:val="100"/>
          <w:position w:val="0"/>
          <w:highlight w:val="none"/>
        </w:rPr>
        <w:t>水厂</w:t>
      </w:r>
    </w:p>
    <w:p w14:paraId="264A08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工业区乌鲁木齐范围近期利用已建成的甘泉堡南区净水厂进行生活、生产供水，水厂规模近期10万m</w:t>
      </w:r>
      <w:r>
        <w:rPr>
          <w:rFonts w:hint="eastAsia" w:ascii="Times New Roman" w:hAnsi="Times New Roman"/>
          <w:color w:val="auto"/>
          <w:spacing w:val="0"/>
          <w:w w:val="100"/>
          <w:position w:val="0"/>
          <w:highlight w:val="none"/>
          <w:vertAlign w:val="superscript"/>
        </w:rPr>
        <w:t>3</w:t>
      </w:r>
      <w:r>
        <w:rPr>
          <w:rFonts w:hint="eastAsia" w:ascii="Times New Roman" w:hAnsi="Times New Roman"/>
          <w:color w:val="auto"/>
          <w:spacing w:val="0"/>
          <w:w w:val="100"/>
          <w:position w:val="0"/>
          <w:highlight w:val="none"/>
        </w:rPr>
        <w:t>/d，远期40万m</w:t>
      </w:r>
      <w:r>
        <w:rPr>
          <w:rFonts w:hint="eastAsia" w:ascii="Times New Roman" w:hAnsi="Times New Roman"/>
          <w:color w:val="auto"/>
          <w:spacing w:val="0"/>
          <w:w w:val="100"/>
          <w:position w:val="0"/>
          <w:highlight w:val="none"/>
          <w:vertAlign w:val="superscript"/>
        </w:rPr>
        <w:t>3</w:t>
      </w:r>
      <w:r>
        <w:rPr>
          <w:rFonts w:hint="eastAsia" w:ascii="Times New Roman" w:hAnsi="Times New Roman"/>
          <w:color w:val="auto"/>
          <w:spacing w:val="0"/>
          <w:w w:val="100"/>
          <w:position w:val="0"/>
          <w:highlight w:val="none"/>
        </w:rPr>
        <w:t>/d，水源取自“500”水库水。远期需再建甘泉堡北区净水厂，水厂规模65万m</w:t>
      </w:r>
      <w:r>
        <w:rPr>
          <w:rFonts w:hint="eastAsia" w:ascii="Times New Roman" w:hAnsi="Times New Roman"/>
          <w:color w:val="auto"/>
          <w:spacing w:val="0"/>
          <w:w w:val="100"/>
          <w:position w:val="0"/>
          <w:highlight w:val="none"/>
          <w:vertAlign w:val="superscript"/>
        </w:rPr>
        <w:t>3</w:t>
      </w:r>
      <w:r>
        <w:rPr>
          <w:rFonts w:hint="eastAsia" w:ascii="Times New Roman" w:hAnsi="Times New Roman"/>
          <w:color w:val="auto"/>
          <w:spacing w:val="0"/>
          <w:w w:val="100"/>
          <w:position w:val="0"/>
          <w:highlight w:val="none"/>
        </w:rPr>
        <w:t>/d（其中30万m</w:t>
      </w:r>
      <w:r>
        <w:rPr>
          <w:rFonts w:hint="eastAsia" w:ascii="Times New Roman" w:hAnsi="Times New Roman"/>
          <w:color w:val="auto"/>
          <w:spacing w:val="0"/>
          <w:w w:val="100"/>
          <w:position w:val="0"/>
          <w:highlight w:val="none"/>
          <w:vertAlign w:val="superscript"/>
        </w:rPr>
        <w:t>3</w:t>
      </w:r>
      <w:r>
        <w:rPr>
          <w:rFonts w:hint="eastAsia" w:ascii="Times New Roman" w:hAnsi="Times New Roman"/>
          <w:color w:val="auto"/>
          <w:spacing w:val="0"/>
          <w:w w:val="100"/>
          <w:position w:val="0"/>
          <w:highlight w:val="none"/>
        </w:rPr>
        <w:t>/d作为乌鲁木齐市中心城区的应急水源），水源取自“500”水库水。</w:t>
      </w:r>
    </w:p>
    <w:p w14:paraId="2EC1BA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绿化与道路浇洒用水及对水质要求不高的企业用水，近期直接采用“500”水库水进行供给，远期采用城市中水进行供给。</w:t>
      </w:r>
    </w:p>
    <w:p w14:paraId="1ECE736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3.供水能力</w:t>
      </w:r>
    </w:p>
    <w:p w14:paraId="5213BC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至2030年，园区最高日市政综合用水量为101万m</w:t>
      </w:r>
      <w:r>
        <w:rPr>
          <w:rFonts w:hint="eastAsia" w:ascii="Times New Roman" w:hAnsi="Times New Roman"/>
          <w:color w:val="auto"/>
          <w:spacing w:val="0"/>
          <w:w w:val="100"/>
          <w:position w:val="0"/>
          <w:highlight w:val="none"/>
          <w:vertAlign w:val="superscript"/>
        </w:rPr>
        <w:t>3</w:t>
      </w:r>
      <w:r>
        <w:rPr>
          <w:rFonts w:hint="eastAsia" w:ascii="Times New Roman" w:hAnsi="Times New Roman"/>
          <w:color w:val="auto"/>
          <w:spacing w:val="0"/>
          <w:w w:val="100"/>
          <w:position w:val="0"/>
          <w:highlight w:val="none"/>
        </w:rPr>
        <w:t>/日。</w:t>
      </w:r>
    </w:p>
    <w:p w14:paraId="07B785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4.水厂建设</w:t>
      </w:r>
    </w:p>
    <w:p w14:paraId="0EE7A6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扩建甘泉堡南区净水厂、五家渠东工业园水厂、新建甘泉堡北区净水厂、现状保留中泰化学水厂。</w:t>
      </w:r>
    </w:p>
    <w:p w14:paraId="046D1F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至2030年，园区建成水厂4座，供水能力达到135万m</w:t>
      </w:r>
      <w:r>
        <w:rPr>
          <w:rFonts w:hint="eastAsia" w:ascii="Times New Roman" w:hAnsi="Times New Roman"/>
          <w:color w:val="auto"/>
          <w:spacing w:val="0"/>
          <w:w w:val="100"/>
          <w:position w:val="0"/>
          <w:highlight w:val="none"/>
          <w:vertAlign w:val="superscript"/>
        </w:rPr>
        <w:t>3</w:t>
      </w:r>
      <w:r>
        <w:rPr>
          <w:rFonts w:hint="eastAsia" w:ascii="Times New Roman" w:hAnsi="Times New Roman"/>
          <w:color w:val="auto"/>
          <w:spacing w:val="0"/>
          <w:w w:val="100"/>
          <w:position w:val="0"/>
          <w:highlight w:val="none"/>
        </w:rPr>
        <w:t>/</w:t>
      </w:r>
      <w:r>
        <w:rPr>
          <w:rFonts w:hint="eastAsia" w:ascii="Times New Roman" w:hAnsi="Times New Roman"/>
          <w:color w:val="auto"/>
          <w:spacing w:val="0"/>
          <w:w w:val="100"/>
          <w:position w:val="0"/>
          <w:highlight w:val="none"/>
          <w:lang w:val="en-US" w:eastAsia="zh-CN"/>
        </w:rPr>
        <w:t>d</w:t>
      </w:r>
      <w:r>
        <w:rPr>
          <w:rFonts w:hint="eastAsia" w:ascii="Times New Roman" w:hAnsi="Times New Roman"/>
          <w:color w:val="auto"/>
          <w:spacing w:val="0"/>
          <w:w w:val="100"/>
          <w:position w:val="0"/>
          <w:highlight w:val="none"/>
        </w:rPr>
        <w:t>（其中30万m</w:t>
      </w:r>
      <w:r>
        <w:rPr>
          <w:rFonts w:hint="eastAsia" w:ascii="Times New Roman" w:hAnsi="Times New Roman"/>
          <w:color w:val="auto"/>
          <w:spacing w:val="0"/>
          <w:w w:val="100"/>
          <w:position w:val="0"/>
          <w:highlight w:val="none"/>
          <w:vertAlign w:val="superscript"/>
        </w:rPr>
        <w:t>3</w:t>
      </w:r>
      <w:r>
        <w:rPr>
          <w:rFonts w:hint="eastAsia" w:ascii="Times New Roman" w:hAnsi="Times New Roman"/>
          <w:color w:val="auto"/>
          <w:spacing w:val="0"/>
          <w:w w:val="100"/>
          <w:position w:val="0"/>
          <w:highlight w:val="none"/>
        </w:rPr>
        <w:t>/d作为乌鲁木齐市中心城区的应急水源）。</w:t>
      </w:r>
    </w:p>
    <w:p w14:paraId="2074E3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5.输配水工程</w:t>
      </w:r>
    </w:p>
    <w:p w14:paraId="2709F8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规划区利用甘泉堡水厂供水，自来水输配水系统规模庞大，给水片区内部管道应布置成环状管网（详见给水规划图）</w:t>
      </w:r>
      <w:r>
        <w:rPr>
          <w:rFonts w:hint="eastAsia" w:ascii="Times New Roman" w:hAnsi="Times New Roman"/>
          <w:color w:val="auto"/>
          <w:spacing w:val="0"/>
          <w:w w:val="100"/>
          <w:position w:val="0"/>
          <w:highlight w:val="none"/>
          <w:lang w:eastAsia="zh-CN"/>
        </w:rPr>
        <w:t>，</w:t>
      </w:r>
      <w:r>
        <w:rPr>
          <w:rFonts w:hint="eastAsia" w:ascii="Times New Roman" w:hAnsi="Times New Roman"/>
          <w:color w:val="auto"/>
          <w:spacing w:val="0"/>
          <w:w w:val="100"/>
          <w:position w:val="0"/>
          <w:highlight w:val="none"/>
        </w:rPr>
        <w:t>同时加强各组团之间管网的联网，保证供水的安全性。</w:t>
      </w:r>
    </w:p>
    <w:p w14:paraId="000533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绿化供水系统布置为环状管网加支状管网的形式，并充分预留远期接口。</w:t>
      </w:r>
    </w:p>
    <w:p w14:paraId="2979B21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6.再生水规划</w:t>
      </w:r>
    </w:p>
    <w:p w14:paraId="3C420B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至2030年，园区中水回用率达到50%以上。新建甘泉堡南区、甘泉堡北区再生水厂。总规模达到45万立方米/日。</w:t>
      </w:r>
    </w:p>
    <w:p w14:paraId="465DA2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再生水必须作为重要的水资源开发利用，积极稳妥地推广污水处理厂二级出水用于农业灌溉，一部分出水经过深度处理后通过园区中水系统用作园区河湖景观、绿化、道路浇洒及降尘、建筑冲厕、工业低质等用水水源。</w:t>
      </w:r>
    </w:p>
    <w:p w14:paraId="4FB0252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auto"/>
          <w:spacing w:val="0"/>
          <w:w w:val="100"/>
          <w:position w:val="0"/>
          <w:highlight w:val="none"/>
        </w:rPr>
      </w:pPr>
      <w:r>
        <w:rPr>
          <w:rFonts w:hint="eastAsia" w:ascii="Times New Roman" w:hAnsi="Times New Roman"/>
          <w:color w:val="auto"/>
          <w:spacing w:val="0"/>
          <w:w w:val="100"/>
          <w:position w:val="0"/>
          <w:highlight w:val="none"/>
        </w:rPr>
        <w:t>8.节水规划</w:t>
      </w:r>
    </w:p>
    <w:p w14:paraId="3E21981F">
      <w:pPr>
        <w:keepNext w:val="0"/>
        <w:keepLines w:val="0"/>
        <w:pageBreakBefore w:val="0"/>
        <w:widowControl w:val="0"/>
        <w:kinsoku/>
        <w:wordWrap/>
        <w:overflowPunct/>
        <w:topLinePunct w:val="0"/>
        <w:autoSpaceDE/>
        <w:autoSpaceDN/>
        <w:bidi w:val="0"/>
        <w:spacing w:line="360" w:lineRule="auto"/>
        <w:ind w:firstLine="480" w:firstLineChars="200"/>
        <w:rPr>
          <w:rFonts w:hint="eastAsia" w:ascii="Times New Roman" w:hAnsi="Times New Roman" w:cs="Times New Roman"/>
          <w:color w:val="auto"/>
          <w:spacing w:val="0"/>
          <w:w w:val="100"/>
          <w:position w:val="0"/>
          <w:sz w:val="24"/>
        </w:rPr>
      </w:pPr>
      <w:r>
        <w:rPr>
          <w:rFonts w:hint="eastAsia" w:ascii="Times New Roman" w:hAnsi="Times New Roman" w:cs="Times New Roman"/>
          <w:color w:val="auto"/>
          <w:spacing w:val="0"/>
          <w:w w:val="100"/>
          <w:position w:val="0"/>
          <w:sz w:val="24"/>
        </w:rPr>
        <w:t>严格限制高耗水型工业项目建设和农业粗放型用水。提高生活用水效率，节约水资源。</w:t>
      </w:r>
    </w:p>
    <w:p w14:paraId="12336EB9">
      <w:pPr>
        <w:keepNext w:val="0"/>
        <w:keepLines w:val="0"/>
        <w:pageBreakBefore w:val="0"/>
        <w:widowControl w:val="0"/>
        <w:kinsoku/>
        <w:wordWrap/>
        <w:overflowPunct/>
        <w:topLinePunct w:val="0"/>
        <w:autoSpaceDE/>
        <w:autoSpaceDN/>
        <w:bidi w:val="0"/>
        <w:spacing w:line="360" w:lineRule="auto"/>
        <w:ind w:firstLine="480" w:firstLineChars="200"/>
        <w:rPr>
          <w:rFonts w:hint="eastAsia" w:ascii="Times New Roman" w:hAnsi="Times New Roman" w:cs="Times New Roman"/>
          <w:color w:val="auto"/>
          <w:spacing w:val="0"/>
          <w:w w:val="100"/>
          <w:position w:val="0"/>
          <w:sz w:val="24"/>
        </w:rPr>
      </w:pPr>
      <w:r>
        <w:rPr>
          <w:rFonts w:hint="eastAsia" w:ascii="Times New Roman" w:hAnsi="Times New Roman" w:cs="Times New Roman"/>
          <w:color w:val="auto"/>
          <w:spacing w:val="0"/>
          <w:w w:val="100"/>
          <w:position w:val="0"/>
          <w:sz w:val="24"/>
        </w:rPr>
        <w:t>园区节约用水要做到“三同时，四到位”，超计划用水的单位，应按有关规定缴纳超计划用水加价水费。</w:t>
      </w:r>
    </w:p>
    <w:p w14:paraId="6FA25E93">
      <w:pPr>
        <w:pStyle w:val="5"/>
        <w:keepNext w:val="0"/>
        <w:keepLines w:val="0"/>
        <w:pageBreakBefore w:val="0"/>
        <w:widowControl w:val="0"/>
        <w:kinsoku/>
        <w:wordWrap/>
        <w:overflowPunct/>
        <w:topLinePunct w:val="0"/>
        <w:autoSpaceDE/>
        <w:autoSpaceDN/>
        <w:bidi w:val="0"/>
        <w:adjustRightInd/>
        <w:snapToGrid/>
        <w:rPr>
          <w:rFonts w:hint="eastAsia" w:ascii="Times New Roman" w:hAnsi="Times New Roman"/>
          <w:color w:val="auto"/>
          <w:spacing w:val="0"/>
          <w:w w:val="100"/>
          <w:position w:val="0"/>
          <w:highlight w:val="none"/>
          <w:lang w:val="en-US" w:eastAsia="zh-CN"/>
        </w:rPr>
      </w:pPr>
      <w:r>
        <w:rPr>
          <w:rFonts w:hint="eastAsia" w:ascii="Times New Roman" w:hAnsi="Times New Roman"/>
          <w:color w:val="auto"/>
          <w:spacing w:val="0"/>
          <w:w w:val="100"/>
          <w:position w:val="0"/>
          <w:highlight w:val="none"/>
          <w:lang w:val="en-US" w:eastAsia="zh-CN"/>
        </w:rPr>
        <w:t>4.2.5.</w:t>
      </w:r>
      <w:r>
        <w:rPr>
          <w:rFonts w:hint="eastAsia"/>
          <w:color w:val="auto"/>
          <w:spacing w:val="0"/>
          <w:w w:val="100"/>
          <w:position w:val="0"/>
          <w:highlight w:val="none"/>
          <w:lang w:val="en-US" w:eastAsia="zh-CN"/>
        </w:rPr>
        <w:t>3</w:t>
      </w:r>
      <w:r>
        <w:rPr>
          <w:rFonts w:hint="eastAsia" w:ascii="Times New Roman" w:hAnsi="Times New Roman"/>
          <w:color w:val="auto"/>
          <w:spacing w:val="0"/>
          <w:w w:val="100"/>
          <w:position w:val="0"/>
          <w:highlight w:val="none"/>
          <w:lang w:val="en-US" w:eastAsia="zh-CN"/>
        </w:rPr>
        <w:t>排水工程规划</w:t>
      </w:r>
    </w:p>
    <w:p w14:paraId="6711CE64">
      <w:pPr>
        <w:keepNext w:val="0"/>
        <w:keepLines w:val="0"/>
        <w:pageBreakBefore w:val="0"/>
        <w:widowControl w:val="0"/>
        <w:kinsoku/>
        <w:wordWrap/>
        <w:overflowPunct/>
        <w:topLinePunct w:val="0"/>
        <w:autoSpaceDE/>
        <w:autoSpaceDN/>
        <w:bidi w:val="0"/>
        <w:spacing w:line="360" w:lineRule="auto"/>
        <w:ind w:firstLine="480" w:firstLineChars="200"/>
        <w:rPr>
          <w:rFonts w:hint="eastAsia" w:ascii="Times New Roman" w:hAnsi="Times New Roman" w:cs="Times New Roman"/>
          <w:color w:val="auto"/>
          <w:spacing w:val="0"/>
          <w:w w:val="100"/>
          <w:position w:val="0"/>
          <w:sz w:val="24"/>
        </w:rPr>
      </w:pPr>
      <w:r>
        <w:rPr>
          <w:rFonts w:hint="eastAsia" w:ascii="Times New Roman" w:hAnsi="Times New Roman" w:cs="Times New Roman"/>
          <w:color w:val="auto"/>
          <w:spacing w:val="0"/>
          <w:w w:val="100"/>
          <w:position w:val="0"/>
          <w:sz w:val="24"/>
        </w:rPr>
        <w:t>1.排水体制</w:t>
      </w:r>
    </w:p>
    <w:p w14:paraId="6A32EB8D">
      <w:pPr>
        <w:keepNext w:val="0"/>
        <w:keepLines w:val="0"/>
        <w:pageBreakBefore w:val="0"/>
        <w:widowControl w:val="0"/>
        <w:kinsoku/>
        <w:wordWrap/>
        <w:overflowPunct/>
        <w:topLinePunct w:val="0"/>
        <w:autoSpaceDE/>
        <w:autoSpaceDN/>
        <w:bidi w:val="0"/>
        <w:spacing w:line="360" w:lineRule="auto"/>
        <w:ind w:firstLine="480" w:firstLineChars="200"/>
        <w:rPr>
          <w:rFonts w:hint="eastAsia" w:ascii="Times New Roman" w:hAnsi="Times New Roman" w:cs="Times New Roman"/>
          <w:color w:val="auto"/>
          <w:spacing w:val="0"/>
          <w:w w:val="100"/>
          <w:position w:val="0"/>
          <w:sz w:val="24"/>
        </w:rPr>
      </w:pPr>
      <w:r>
        <w:rPr>
          <w:rFonts w:hint="eastAsia" w:ascii="Times New Roman" w:hAnsi="Times New Roman" w:cs="Times New Roman"/>
          <w:color w:val="auto"/>
          <w:spacing w:val="0"/>
          <w:w w:val="100"/>
          <w:position w:val="0"/>
          <w:sz w:val="24"/>
        </w:rPr>
        <w:t>园区排水体制采用雨污分流制，在开发建设同时安排雨水利用排放工程。</w:t>
      </w:r>
    </w:p>
    <w:p w14:paraId="7CA7B55C">
      <w:pPr>
        <w:keepNext w:val="0"/>
        <w:keepLines w:val="0"/>
        <w:pageBreakBefore w:val="0"/>
        <w:widowControl w:val="0"/>
        <w:kinsoku/>
        <w:wordWrap/>
        <w:overflowPunct/>
        <w:topLinePunct w:val="0"/>
        <w:autoSpaceDE/>
        <w:autoSpaceDN/>
        <w:bidi w:val="0"/>
        <w:spacing w:line="360" w:lineRule="auto"/>
        <w:ind w:firstLine="480" w:firstLineChars="200"/>
        <w:rPr>
          <w:rFonts w:hint="eastAsia" w:ascii="Times New Roman" w:hAnsi="Times New Roman" w:cs="Times New Roman"/>
          <w:color w:val="auto"/>
          <w:spacing w:val="0"/>
          <w:w w:val="100"/>
          <w:position w:val="0"/>
          <w:sz w:val="24"/>
        </w:rPr>
      </w:pPr>
      <w:r>
        <w:rPr>
          <w:rFonts w:hint="eastAsia" w:ascii="Times New Roman" w:hAnsi="Times New Roman" w:cs="Times New Roman"/>
          <w:color w:val="auto"/>
          <w:spacing w:val="0"/>
          <w:w w:val="100"/>
          <w:position w:val="0"/>
          <w:sz w:val="24"/>
        </w:rPr>
        <w:t>2.目标</w:t>
      </w:r>
    </w:p>
    <w:p w14:paraId="3B94FDE4">
      <w:pPr>
        <w:keepNext w:val="0"/>
        <w:keepLines w:val="0"/>
        <w:pageBreakBefore w:val="0"/>
        <w:widowControl w:val="0"/>
        <w:kinsoku/>
        <w:wordWrap/>
        <w:overflowPunct/>
        <w:topLinePunct w:val="0"/>
        <w:autoSpaceDE/>
        <w:autoSpaceDN/>
        <w:bidi w:val="0"/>
        <w:spacing w:line="360" w:lineRule="auto"/>
        <w:ind w:firstLine="480" w:firstLineChars="200"/>
        <w:rPr>
          <w:rFonts w:hint="eastAsia" w:ascii="Times New Roman" w:hAnsi="Times New Roman" w:cs="Times New Roman"/>
          <w:color w:val="auto"/>
          <w:spacing w:val="0"/>
          <w:w w:val="100"/>
          <w:position w:val="0"/>
          <w:sz w:val="24"/>
        </w:rPr>
      </w:pPr>
      <w:r>
        <w:rPr>
          <w:rFonts w:hint="eastAsia" w:ascii="Times New Roman" w:hAnsi="Times New Roman" w:cs="Times New Roman"/>
          <w:color w:val="auto"/>
          <w:spacing w:val="0"/>
          <w:w w:val="100"/>
          <w:position w:val="0"/>
          <w:sz w:val="24"/>
        </w:rPr>
        <w:t>加强污水处理设施、污水再生利用设施、雨水管网建设，完善污水厂污水处理工艺、监测设施，改造不安全管网，优化排水工程布局，确保污水运输、处理和雨水排放系统运行安全、经济。</w:t>
      </w:r>
    </w:p>
    <w:p w14:paraId="2FB2E92C">
      <w:pPr>
        <w:keepNext w:val="0"/>
        <w:keepLines w:val="0"/>
        <w:pageBreakBefore w:val="0"/>
        <w:widowControl w:val="0"/>
        <w:kinsoku/>
        <w:wordWrap/>
        <w:overflowPunct/>
        <w:topLinePunct w:val="0"/>
        <w:autoSpaceDE/>
        <w:autoSpaceDN/>
        <w:bidi w:val="0"/>
        <w:spacing w:line="360" w:lineRule="auto"/>
        <w:ind w:firstLine="480" w:firstLineChars="200"/>
        <w:rPr>
          <w:rFonts w:hint="eastAsia" w:ascii="Times New Roman" w:hAnsi="Times New Roman" w:cs="Times New Roman"/>
          <w:color w:val="auto"/>
          <w:spacing w:val="0"/>
          <w:w w:val="100"/>
          <w:position w:val="0"/>
          <w:sz w:val="24"/>
        </w:rPr>
      </w:pPr>
      <w:r>
        <w:rPr>
          <w:rFonts w:hint="eastAsia" w:ascii="Times New Roman" w:hAnsi="Times New Roman" w:cs="Times New Roman"/>
          <w:color w:val="auto"/>
          <w:spacing w:val="0"/>
          <w:w w:val="100"/>
          <w:position w:val="0"/>
          <w:sz w:val="24"/>
        </w:rPr>
        <w:t>2030年污水处理能力达到90万立方米/日，园区污水处理率为100%，污水再生利用率达到50%以上。</w:t>
      </w:r>
    </w:p>
    <w:p w14:paraId="7B8055F2">
      <w:pPr>
        <w:keepNext w:val="0"/>
        <w:keepLines w:val="0"/>
        <w:pageBreakBefore w:val="0"/>
        <w:widowControl w:val="0"/>
        <w:kinsoku/>
        <w:wordWrap/>
        <w:overflowPunct/>
        <w:topLinePunct w:val="0"/>
        <w:autoSpaceDE/>
        <w:autoSpaceDN/>
        <w:bidi w:val="0"/>
        <w:spacing w:line="360" w:lineRule="auto"/>
        <w:ind w:firstLine="480" w:firstLineChars="200"/>
        <w:rPr>
          <w:rFonts w:hint="eastAsia" w:ascii="Times New Roman" w:hAnsi="Times New Roman" w:cs="Times New Roman"/>
          <w:color w:val="auto"/>
          <w:spacing w:val="0"/>
          <w:w w:val="100"/>
          <w:position w:val="0"/>
          <w:sz w:val="24"/>
        </w:rPr>
      </w:pPr>
      <w:r>
        <w:rPr>
          <w:rFonts w:hint="eastAsia" w:ascii="Times New Roman" w:hAnsi="Times New Roman" w:cs="Times New Roman"/>
          <w:color w:val="auto"/>
          <w:spacing w:val="0"/>
          <w:w w:val="100"/>
          <w:position w:val="0"/>
          <w:sz w:val="24"/>
        </w:rPr>
        <w:t>3.污水量预测</w:t>
      </w:r>
    </w:p>
    <w:p w14:paraId="12244576">
      <w:pPr>
        <w:keepNext w:val="0"/>
        <w:keepLines w:val="0"/>
        <w:pageBreakBefore w:val="0"/>
        <w:widowControl w:val="0"/>
        <w:kinsoku/>
        <w:wordWrap/>
        <w:overflowPunct/>
        <w:topLinePunct w:val="0"/>
        <w:autoSpaceDE/>
        <w:autoSpaceDN/>
        <w:bidi w:val="0"/>
        <w:spacing w:line="360" w:lineRule="auto"/>
        <w:ind w:firstLine="480" w:firstLineChars="200"/>
        <w:rPr>
          <w:rFonts w:hint="eastAsia" w:ascii="Times New Roman" w:hAnsi="Times New Roman" w:cs="Times New Roman"/>
          <w:color w:val="auto"/>
          <w:spacing w:val="0"/>
          <w:w w:val="100"/>
          <w:position w:val="0"/>
          <w:sz w:val="24"/>
        </w:rPr>
      </w:pPr>
      <w:r>
        <w:rPr>
          <w:rFonts w:hint="eastAsia" w:ascii="Times New Roman" w:hAnsi="Times New Roman" w:cs="Times New Roman"/>
          <w:color w:val="auto"/>
          <w:spacing w:val="0"/>
          <w:w w:val="100"/>
          <w:position w:val="0"/>
          <w:sz w:val="24"/>
        </w:rPr>
        <w:t>至2030年，城市市政污水量为85.85万立方米/日。</w:t>
      </w:r>
    </w:p>
    <w:p w14:paraId="55256653">
      <w:pPr>
        <w:keepNext w:val="0"/>
        <w:keepLines w:val="0"/>
        <w:pageBreakBefore w:val="0"/>
        <w:widowControl w:val="0"/>
        <w:kinsoku/>
        <w:wordWrap/>
        <w:overflowPunct/>
        <w:topLinePunct w:val="0"/>
        <w:autoSpaceDE/>
        <w:autoSpaceDN/>
        <w:bidi w:val="0"/>
        <w:spacing w:line="360" w:lineRule="auto"/>
        <w:ind w:firstLine="480" w:firstLineChars="200"/>
        <w:rPr>
          <w:rFonts w:hint="eastAsia" w:ascii="Times New Roman" w:hAnsi="Times New Roman" w:cs="Times New Roman"/>
          <w:color w:val="auto"/>
          <w:spacing w:val="0"/>
          <w:w w:val="100"/>
          <w:position w:val="0"/>
          <w:sz w:val="24"/>
        </w:rPr>
      </w:pPr>
      <w:r>
        <w:rPr>
          <w:rFonts w:hint="eastAsia" w:ascii="Times New Roman" w:hAnsi="Times New Roman" w:cs="Times New Roman"/>
          <w:color w:val="auto"/>
          <w:spacing w:val="0"/>
          <w:w w:val="100"/>
          <w:position w:val="0"/>
          <w:sz w:val="24"/>
        </w:rPr>
        <w:t>4.污水处理设施</w:t>
      </w:r>
    </w:p>
    <w:p w14:paraId="52996090">
      <w:pPr>
        <w:keepNext w:val="0"/>
        <w:keepLines w:val="0"/>
        <w:pageBreakBefore w:val="0"/>
        <w:widowControl w:val="0"/>
        <w:kinsoku/>
        <w:wordWrap/>
        <w:overflowPunct/>
        <w:topLinePunct w:val="0"/>
        <w:autoSpaceDE/>
        <w:autoSpaceDN/>
        <w:bidi w:val="0"/>
        <w:spacing w:line="360" w:lineRule="auto"/>
        <w:ind w:firstLine="480" w:firstLineChars="200"/>
        <w:rPr>
          <w:rFonts w:hint="eastAsia" w:ascii="Times New Roman" w:hAnsi="Times New Roman" w:cs="Times New Roman"/>
          <w:color w:val="auto"/>
          <w:spacing w:val="0"/>
          <w:w w:val="100"/>
          <w:position w:val="0"/>
          <w:sz w:val="24"/>
        </w:rPr>
      </w:pPr>
      <w:r>
        <w:rPr>
          <w:rFonts w:hint="eastAsia" w:ascii="Times New Roman" w:hAnsi="Times New Roman" w:cs="Times New Roman"/>
          <w:color w:val="auto"/>
          <w:spacing w:val="0"/>
          <w:w w:val="100"/>
          <w:position w:val="0"/>
          <w:sz w:val="24"/>
        </w:rPr>
        <w:t>续建甘泉堡南区污水处理厂，现状污水处理厂处理规模为10.5万</w:t>
      </w:r>
      <w:r>
        <w:rPr>
          <w:rFonts w:hint="eastAsia" w:cs="Times New Roman"/>
          <w:color w:val="auto"/>
          <w:spacing w:val="0"/>
          <w:w w:val="100"/>
          <w:position w:val="0"/>
          <w:sz w:val="24"/>
          <w:lang w:val="en-US" w:eastAsia="zh-CN"/>
        </w:rPr>
        <w:t>m</w:t>
      </w:r>
      <w:r>
        <w:rPr>
          <w:rFonts w:hint="eastAsia" w:cs="Times New Roman"/>
          <w:color w:val="auto"/>
          <w:spacing w:val="0"/>
          <w:w w:val="100"/>
          <w:position w:val="0"/>
          <w:sz w:val="24"/>
          <w:vertAlign w:val="superscript"/>
          <w:lang w:val="en-US" w:eastAsia="zh-CN"/>
        </w:rPr>
        <w:t>3</w:t>
      </w:r>
      <w:r>
        <w:rPr>
          <w:rFonts w:hint="eastAsia" w:cs="Times New Roman"/>
          <w:color w:val="auto"/>
          <w:spacing w:val="0"/>
          <w:w w:val="100"/>
          <w:position w:val="0"/>
          <w:sz w:val="24"/>
          <w:lang w:val="en-US" w:eastAsia="zh-CN"/>
        </w:rPr>
        <w:t>/d</w:t>
      </w:r>
      <w:r>
        <w:rPr>
          <w:rFonts w:hint="eastAsia" w:ascii="Times New Roman" w:hAnsi="Times New Roman" w:cs="Times New Roman"/>
          <w:color w:val="auto"/>
          <w:spacing w:val="0"/>
          <w:w w:val="100"/>
          <w:position w:val="0"/>
          <w:sz w:val="24"/>
        </w:rPr>
        <w:t>，远期扩建至42万</w:t>
      </w:r>
      <w:r>
        <w:rPr>
          <w:rFonts w:hint="eastAsia" w:cs="Times New Roman"/>
          <w:color w:val="auto"/>
          <w:spacing w:val="0"/>
          <w:w w:val="100"/>
          <w:position w:val="0"/>
          <w:sz w:val="24"/>
          <w:lang w:val="en-US" w:eastAsia="zh-CN"/>
        </w:rPr>
        <w:t>m</w:t>
      </w:r>
      <w:r>
        <w:rPr>
          <w:rFonts w:hint="eastAsia" w:cs="Times New Roman"/>
          <w:color w:val="auto"/>
          <w:spacing w:val="0"/>
          <w:w w:val="100"/>
          <w:position w:val="0"/>
          <w:sz w:val="24"/>
          <w:vertAlign w:val="superscript"/>
          <w:lang w:val="en-US" w:eastAsia="zh-CN"/>
        </w:rPr>
        <w:t>3</w:t>
      </w:r>
      <w:r>
        <w:rPr>
          <w:rFonts w:hint="eastAsia" w:cs="Times New Roman"/>
          <w:color w:val="auto"/>
          <w:spacing w:val="0"/>
          <w:w w:val="100"/>
          <w:position w:val="0"/>
          <w:sz w:val="24"/>
          <w:lang w:val="en-US" w:eastAsia="zh-CN"/>
        </w:rPr>
        <w:t>/d</w:t>
      </w:r>
      <w:r>
        <w:rPr>
          <w:rFonts w:hint="eastAsia" w:ascii="Times New Roman" w:hAnsi="Times New Roman" w:cs="Times New Roman"/>
          <w:color w:val="auto"/>
          <w:spacing w:val="0"/>
          <w:w w:val="100"/>
          <w:position w:val="0"/>
          <w:sz w:val="24"/>
        </w:rPr>
        <w:t>，现状五家渠东工业园污水处理厂处理规模为4.5万</w:t>
      </w:r>
      <w:r>
        <w:rPr>
          <w:rFonts w:hint="eastAsia" w:cs="Times New Roman"/>
          <w:color w:val="auto"/>
          <w:spacing w:val="0"/>
          <w:w w:val="100"/>
          <w:position w:val="0"/>
          <w:sz w:val="24"/>
          <w:lang w:val="en-US" w:eastAsia="zh-CN"/>
        </w:rPr>
        <w:t>m</w:t>
      </w:r>
      <w:r>
        <w:rPr>
          <w:rFonts w:hint="eastAsia" w:cs="Times New Roman"/>
          <w:color w:val="auto"/>
          <w:spacing w:val="0"/>
          <w:w w:val="100"/>
          <w:position w:val="0"/>
          <w:sz w:val="24"/>
          <w:vertAlign w:val="superscript"/>
          <w:lang w:val="en-US" w:eastAsia="zh-CN"/>
        </w:rPr>
        <w:t>3</w:t>
      </w:r>
      <w:r>
        <w:rPr>
          <w:rFonts w:hint="eastAsia" w:cs="Times New Roman"/>
          <w:color w:val="auto"/>
          <w:spacing w:val="0"/>
          <w:w w:val="100"/>
          <w:position w:val="0"/>
          <w:sz w:val="24"/>
          <w:lang w:val="en-US" w:eastAsia="zh-CN"/>
        </w:rPr>
        <w:t>/d</w:t>
      </w:r>
      <w:r>
        <w:rPr>
          <w:rFonts w:hint="eastAsia" w:ascii="Times New Roman" w:hAnsi="Times New Roman" w:cs="Times New Roman"/>
          <w:color w:val="auto"/>
          <w:spacing w:val="0"/>
          <w:w w:val="100"/>
          <w:position w:val="0"/>
          <w:sz w:val="24"/>
        </w:rPr>
        <w:t>，远期扩建至17万</w:t>
      </w:r>
      <w:r>
        <w:rPr>
          <w:rFonts w:hint="eastAsia" w:cs="Times New Roman"/>
          <w:color w:val="auto"/>
          <w:spacing w:val="0"/>
          <w:w w:val="100"/>
          <w:position w:val="0"/>
          <w:sz w:val="24"/>
          <w:lang w:val="en-US" w:eastAsia="zh-CN"/>
        </w:rPr>
        <w:t>m</w:t>
      </w:r>
      <w:r>
        <w:rPr>
          <w:rFonts w:hint="eastAsia" w:cs="Times New Roman"/>
          <w:color w:val="auto"/>
          <w:spacing w:val="0"/>
          <w:w w:val="100"/>
          <w:position w:val="0"/>
          <w:sz w:val="24"/>
          <w:vertAlign w:val="superscript"/>
          <w:lang w:val="en-US" w:eastAsia="zh-CN"/>
        </w:rPr>
        <w:t>3</w:t>
      </w:r>
      <w:r>
        <w:rPr>
          <w:rFonts w:hint="eastAsia" w:cs="Times New Roman"/>
          <w:color w:val="auto"/>
          <w:spacing w:val="0"/>
          <w:w w:val="100"/>
          <w:position w:val="0"/>
          <w:sz w:val="24"/>
          <w:lang w:val="en-US" w:eastAsia="zh-CN"/>
        </w:rPr>
        <w:t>/d</w:t>
      </w:r>
      <w:r>
        <w:rPr>
          <w:rFonts w:hint="eastAsia" w:ascii="Times New Roman" w:hAnsi="Times New Roman" w:cs="Times New Roman"/>
          <w:color w:val="auto"/>
          <w:spacing w:val="0"/>
          <w:w w:val="100"/>
          <w:position w:val="0"/>
          <w:sz w:val="24"/>
        </w:rPr>
        <w:t>，现状阜康工业园污水处理厂，处理规模为10万</w:t>
      </w:r>
      <w:r>
        <w:rPr>
          <w:rFonts w:hint="eastAsia" w:cs="Times New Roman"/>
          <w:color w:val="auto"/>
          <w:spacing w:val="0"/>
          <w:w w:val="100"/>
          <w:position w:val="0"/>
          <w:sz w:val="24"/>
          <w:lang w:val="en-US" w:eastAsia="zh-CN"/>
        </w:rPr>
        <w:t>m</w:t>
      </w:r>
      <w:r>
        <w:rPr>
          <w:rFonts w:hint="eastAsia" w:cs="Times New Roman"/>
          <w:color w:val="auto"/>
          <w:spacing w:val="0"/>
          <w:w w:val="100"/>
          <w:position w:val="0"/>
          <w:sz w:val="24"/>
          <w:vertAlign w:val="superscript"/>
          <w:lang w:val="en-US" w:eastAsia="zh-CN"/>
        </w:rPr>
        <w:t>3</w:t>
      </w:r>
      <w:r>
        <w:rPr>
          <w:rFonts w:hint="eastAsia" w:cs="Times New Roman"/>
          <w:color w:val="auto"/>
          <w:spacing w:val="0"/>
          <w:w w:val="100"/>
          <w:position w:val="0"/>
          <w:sz w:val="24"/>
          <w:lang w:val="en-US" w:eastAsia="zh-CN"/>
        </w:rPr>
        <w:t>/d</w:t>
      </w:r>
      <w:r>
        <w:rPr>
          <w:rFonts w:hint="eastAsia" w:ascii="Times New Roman" w:hAnsi="Times New Roman" w:cs="Times New Roman"/>
          <w:color w:val="auto"/>
          <w:spacing w:val="0"/>
          <w:w w:val="100"/>
          <w:position w:val="0"/>
          <w:sz w:val="24"/>
        </w:rPr>
        <w:t>，新建甘泉堡北区污水处理厂，污水处理厂处理规模为21万</w:t>
      </w:r>
      <w:r>
        <w:rPr>
          <w:rFonts w:hint="eastAsia" w:cs="Times New Roman"/>
          <w:color w:val="auto"/>
          <w:spacing w:val="0"/>
          <w:w w:val="100"/>
          <w:position w:val="0"/>
          <w:sz w:val="24"/>
          <w:lang w:val="en-US" w:eastAsia="zh-CN"/>
        </w:rPr>
        <w:t>m</w:t>
      </w:r>
      <w:r>
        <w:rPr>
          <w:rFonts w:hint="eastAsia" w:cs="Times New Roman"/>
          <w:color w:val="auto"/>
          <w:spacing w:val="0"/>
          <w:w w:val="100"/>
          <w:position w:val="0"/>
          <w:sz w:val="24"/>
          <w:vertAlign w:val="superscript"/>
          <w:lang w:val="en-US" w:eastAsia="zh-CN"/>
        </w:rPr>
        <w:t>3</w:t>
      </w:r>
      <w:r>
        <w:rPr>
          <w:rFonts w:hint="eastAsia" w:cs="Times New Roman"/>
          <w:color w:val="auto"/>
          <w:spacing w:val="0"/>
          <w:w w:val="100"/>
          <w:position w:val="0"/>
          <w:sz w:val="24"/>
          <w:lang w:val="en-US" w:eastAsia="zh-CN"/>
        </w:rPr>
        <w:t>/d</w:t>
      </w:r>
      <w:r>
        <w:rPr>
          <w:rFonts w:hint="eastAsia" w:ascii="Times New Roman" w:hAnsi="Times New Roman" w:cs="Times New Roman"/>
          <w:color w:val="auto"/>
          <w:spacing w:val="0"/>
          <w:w w:val="100"/>
          <w:position w:val="0"/>
          <w:sz w:val="24"/>
        </w:rPr>
        <w:t>。</w:t>
      </w:r>
    </w:p>
    <w:p w14:paraId="1DDEB324">
      <w:pPr>
        <w:keepNext w:val="0"/>
        <w:keepLines w:val="0"/>
        <w:pageBreakBefore w:val="0"/>
        <w:widowControl w:val="0"/>
        <w:kinsoku/>
        <w:wordWrap/>
        <w:overflowPunct/>
        <w:topLinePunct w:val="0"/>
        <w:autoSpaceDE/>
        <w:autoSpaceDN/>
        <w:bidi w:val="0"/>
        <w:spacing w:line="360" w:lineRule="auto"/>
        <w:ind w:firstLine="480" w:firstLineChars="200"/>
        <w:rPr>
          <w:rFonts w:hint="eastAsia" w:ascii="Times New Roman" w:hAnsi="Times New Roman" w:cs="Times New Roman"/>
          <w:color w:val="auto"/>
          <w:spacing w:val="0"/>
          <w:w w:val="100"/>
          <w:position w:val="0"/>
          <w:sz w:val="24"/>
        </w:rPr>
      </w:pPr>
      <w:r>
        <w:rPr>
          <w:rFonts w:hint="eastAsia" w:ascii="Times New Roman" w:hAnsi="Times New Roman" w:cs="Times New Roman"/>
          <w:color w:val="auto"/>
          <w:spacing w:val="0"/>
          <w:w w:val="100"/>
          <w:position w:val="0"/>
          <w:sz w:val="24"/>
        </w:rPr>
        <w:t>提高污水处理设施设置标准，扩建及新建污水处理厂的尾水排放标准应达到国家一级标准。</w:t>
      </w:r>
    </w:p>
    <w:p w14:paraId="0869369C">
      <w:pPr>
        <w:keepNext w:val="0"/>
        <w:keepLines w:val="0"/>
        <w:pageBreakBefore w:val="0"/>
        <w:widowControl w:val="0"/>
        <w:kinsoku/>
        <w:wordWrap/>
        <w:overflowPunct/>
        <w:topLinePunct w:val="0"/>
        <w:autoSpaceDE/>
        <w:autoSpaceDN/>
        <w:bidi w:val="0"/>
        <w:spacing w:line="360" w:lineRule="auto"/>
        <w:ind w:firstLine="480" w:firstLineChars="200"/>
        <w:rPr>
          <w:rFonts w:hint="eastAsia" w:ascii="Times New Roman" w:hAnsi="Times New Roman" w:cs="Times New Roman"/>
          <w:color w:val="auto"/>
          <w:spacing w:val="0"/>
          <w:w w:val="100"/>
          <w:position w:val="0"/>
          <w:sz w:val="24"/>
        </w:rPr>
      </w:pPr>
      <w:r>
        <w:rPr>
          <w:rFonts w:hint="eastAsia" w:ascii="Times New Roman" w:hAnsi="Times New Roman" w:cs="Times New Roman"/>
          <w:color w:val="auto"/>
          <w:spacing w:val="0"/>
          <w:w w:val="100"/>
          <w:position w:val="0"/>
          <w:sz w:val="24"/>
        </w:rPr>
        <w:t>5.污泥处理</w:t>
      </w:r>
    </w:p>
    <w:p w14:paraId="275927E4">
      <w:pPr>
        <w:keepNext w:val="0"/>
        <w:keepLines w:val="0"/>
        <w:pageBreakBefore w:val="0"/>
        <w:widowControl w:val="0"/>
        <w:kinsoku/>
        <w:wordWrap/>
        <w:overflowPunct/>
        <w:topLinePunct w:val="0"/>
        <w:autoSpaceDE/>
        <w:autoSpaceDN/>
        <w:bidi w:val="0"/>
        <w:spacing w:line="360" w:lineRule="auto"/>
        <w:ind w:firstLine="480" w:firstLineChars="200"/>
        <w:rPr>
          <w:rFonts w:hint="eastAsia" w:ascii="Times New Roman" w:hAnsi="Times New Roman" w:cs="Times New Roman"/>
          <w:color w:val="auto"/>
          <w:spacing w:val="0"/>
          <w:w w:val="100"/>
          <w:position w:val="0"/>
          <w:sz w:val="24"/>
        </w:rPr>
      </w:pPr>
      <w:r>
        <w:rPr>
          <w:rFonts w:hint="eastAsia" w:ascii="Times New Roman" w:hAnsi="Times New Roman" w:cs="Times New Roman"/>
          <w:color w:val="auto"/>
          <w:spacing w:val="0"/>
          <w:w w:val="100"/>
          <w:position w:val="0"/>
          <w:sz w:val="24"/>
        </w:rPr>
        <w:t>污泥应进行稳定化处理。污水厂采用产生污泥稳定性较好的工艺，现状污泥可进行堆肥或卫生填埋处理，远期设置污泥集中干化焚烧厂，污泥经焚烧后再运往垃圾填埋厂填埋。</w:t>
      </w:r>
    </w:p>
    <w:p w14:paraId="0293EB18">
      <w:pPr>
        <w:keepNext w:val="0"/>
        <w:keepLines w:val="0"/>
        <w:pageBreakBefore w:val="0"/>
        <w:widowControl w:val="0"/>
        <w:kinsoku/>
        <w:wordWrap/>
        <w:overflowPunct/>
        <w:topLinePunct w:val="0"/>
        <w:autoSpaceDE/>
        <w:autoSpaceDN/>
        <w:bidi w:val="0"/>
        <w:spacing w:line="360" w:lineRule="auto"/>
        <w:ind w:firstLine="480" w:firstLineChars="200"/>
        <w:rPr>
          <w:rFonts w:hint="eastAsia" w:ascii="Times New Roman" w:hAnsi="Times New Roman" w:cs="Times New Roman"/>
          <w:color w:val="auto"/>
          <w:spacing w:val="0"/>
          <w:w w:val="100"/>
          <w:position w:val="0"/>
          <w:sz w:val="24"/>
        </w:rPr>
      </w:pPr>
      <w:r>
        <w:rPr>
          <w:rFonts w:hint="eastAsia" w:ascii="Times New Roman" w:hAnsi="Times New Roman" w:cs="Times New Roman"/>
          <w:color w:val="auto"/>
          <w:spacing w:val="0"/>
          <w:w w:val="100"/>
          <w:position w:val="0"/>
          <w:sz w:val="24"/>
        </w:rPr>
        <w:t xml:space="preserve">6.污水管网规划 </w:t>
      </w:r>
    </w:p>
    <w:p w14:paraId="54105E35">
      <w:pPr>
        <w:keepNext w:val="0"/>
        <w:keepLines w:val="0"/>
        <w:pageBreakBefore w:val="0"/>
        <w:widowControl w:val="0"/>
        <w:kinsoku/>
        <w:wordWrap/>
        <w:overflowPunct/>
        <w:topLinePunct w:val="0"/>
        <w:autoSpaceDE/>
        <w:autoSpaceDN/>
        <w:bidi w:val="0"/>
        <w:spacing w:line="360" w:lineRule="auto"/>
        <w:ind w:firstLine="480" w:firstLineChars="200"/>
        <w:rPr>
          <w:rFonts w:hint="eastAsia" w:ascii="Times New Roman" w:hAnsi="Times New Roman" w:cs="Times New Roman"/>
          <w:color w:val="auto"/>
          <w:spacing w:val="0"/>
          <w:w w:val="100"/>
          <w:position w:val="0"/>
          <w:sz w:val="24"/>
        </w:rPr>
      </w:pPr>
      <w:r>
        <w:rPr>
          <w:rFonts w:hint="eastAsia" w:ascii="Times New Roman" w:hAnsi="Times New Roman" w:cs="Times New Roman"/>
          <w:color w:val="auto"/>
          <w:spacing w:val="0"/>
          <w:w w:val="100"/>
          <w:position w:val="0"/>
          <w:sz w:val="24"/>
        </w:rPr>
        <w:t>根据地形条件及污水处理厂布局要求，完善区内配套排水管网。</w:t>
      </w:r>
    </w:p>
    <w:p w14:paraId="71C42743">
      <w:pPr>
        <w:keepNext w:val="0"/>
        <w:keepLines w:val="0"/>
        <w:pageBreakBefore w:val="0"/>
        <w:widowControl w:val="0"/>
        <w:kinsoku/>
        <w:wordWrap/>
        <w:overflowPunct/>
        <w:topLinePunct w:val="0"/>
        <w:autoSpaceDE/>
        <w:autoSpaceDN/>
        <w:bidi w:val="0"/>
        <w:spacing w:line="360" w:lineRule="auto"/>
        <w:ind w:firstLine="480" w:firstLineChars="200"/>
        <w:rPr>
          <w:rFonts w:hint="eastAsia" w:ascii="Times New Roman" w:hAnsi="Times New Roman" w:cs="Times New Roman"/>
          <w:color w:val="auto"/>
          <w:spacing w:val="0"/>
          <w:w w:val="100"/>
          <w:position w:val="0"/>
          <w:sz w:val="24"/>
        </w:rPr>
      </w:pPr>
      <w:r>
        <w:rPr>
          <w:rFonts w:hint="eastAsia" w:ascii="Times New Roman" w:hAnsi="Times New Roman" w:cs="Times New Roman"/>
          <w:color w:val="auto"/>
          <w:spacing w:val="0"/>
          <w:w w:val="100"/>
          <w:position w:val="0"/>
          <w:sz w:val="24"/>
        </w:rPr>
        <w:t>7.雨水排放</w:t>
      </w:r>
    </w:p>
    <w:p w14:paraId="5FF08813">
      <w:pPr>
        <w:keepNext w:val="0"/>
        <w:keepLines w:val="0"/>
        <w:pageBreakBefore w:val="0"/>
        <w:widowControl w:val="0"/>
        <w:kinsoku/>
        <w:wordWrap/>
        <w:overflowPunct/>
        <w:topLinePunct w:val="0"/>
        <w:autoSpaceDE/>
        <w:autoSpaceDN/>
        <w:bidi w:val="0"/>
        <w:spacing w:line="360" w:lineRule="auto"/>
        <w:ind w:firstLine="480" w:firstLineChars="200"/>
        <w:rPr>
          <w:rFonts w:hint="eastAsia" w:ascii="Times New Roman" w:hAnsi="Times New Roman" w:cs="Times New Roman"/>
          <w:color w:val="auto"/>
          <w:spacing w:val="0"/>
          <w:w w:val="100"/>
          <w:position w:val="0"/>
          <w:sz w:val="24"/>
        </w:rPr>
      </w:pPr>
      <w:r>
        <w:rPr>
          <w:rFonts w:hint="eastAsia" w:ascii="Times New Roman" w:hAnsi="Times New Roman" w:cs="Times New Roman"/>
          <w:color w:val="auto"/>
          <w:spacing w:val="0"/>
          <w:w w:val="100"/>
          <w:position w:val="0"/>
          <w:sz w:val="24"/>
        </w:rPr>
        <w:t>园区雨水就近分散排入各类地表水体和排洪系统，利用河流接纳雨水。雨水重现期一般地区采用1年，低洼、易淹地区采用2-3年，立交桥及重要地区采用3-5年。设计重现期内确保雨水排水畅通、不积水，超过重现期时能做到积水时间短、退水快。根据雨水最终出路，将园区雨水系统进一步划分为魏家泉沟、二道沟和碱泉子沟、“500”退水渠和八一水库退水渠雨水系统。</w:t>
      </w:r>
    </w:p>
    <w:p w14:paraId="07408794">
      <w:pPr>
        <w:keepNext w:val="0"/>
        <w:keepLines w:val="0"/>
        <w:pageBreakBefore w:val="0"/>
        <w:widowControl w:val="0"/>
        <w:kinsoku/>
        <w:wordWrap/>
        <w:overflowPunct/>
        <w:topLinePunct w:val="0"/>
        <w:autoSpaceDE/>
        <w:autoSpaceDN/>
        <w:bidi w:val="0"/>
        <w:spacing w:line="360" w:lineRule="auto"/>
        <w:ind w:firstLine="480" w:firstLineChars="200"/>
        <w:rPr>
          <w:rFonts w:hint="eastAsia" w:ascii="Times New Roman" w:hAnsi="Times New Roman" w:cs="Times New Roman"/>
          <w:color w:val="auto"/>
          <w:spacing w:val="0"/>
          <w:w w:val="100"/>
          <w:position w:val="0"/>
          <w:sz w:val="24"/>
        </w:rPr>
      </w:pPr>
      <w:r>
        <w:rPr>
          <w:rFonts w:hint="eastAsia" w:ascii="Times New Roman" w:hAnsi="Times New Roman" w:cs="Times New Roman"/>
          <w:color w:val="auto"/>
          <w:spacing w:val="0"/>
          <w:w w:val="100"/>
          <w:position w:val="0"/>
          <w:sz w:val="24"/>
        </w:rPr>
        <w:t>8.暴雨内涝防治</w:t>
      </w:r>
    </w:p>
    <w:p w14:paraId="22D3EB25">
      <w:pPr>
        <w:keepNext w:val="0"/>
        <w:keepLines w:val="0"/>
        <w:pageBreakBefore w:val="0"/>
        <w:widowControl w:val="0"/>
        <w:kinsoku/>
        <w:wordWrap/>
        <w:overflowPunct/>
        <w:topLinePunct w:val="0"/>
        <w:autoSpaceDE/>
        <w:autoSpaceDN/>
        <w:bidi w:val="0"/>
        <w:spacing w:line="360" w:lineRule="auto"/>
        <w:ind w:firstLine="480" w:firstLineChars="200"/>
        <w:rPr>
          <w:rFonts w:hint="eastAsia" w:ascii="Times New Roman" w:hAnsi="Times New Roman" w:cs="Times New Roman"/>
          <w:color w:val="auto"/>
          <w:spacing w:val="0"/>
          <w:w w:val="100"/>
          <w:position w:val="0"/>
          <w:sz w:val="24"/>
        </w:rPr>
      </w:pPr>
      <w:r>
        <w:rPr>
          <w:rFonts w:hint="eastAsia" w:ascii="Times New Roman" w:hAnsi="Times New Roman" w:cs="Times New Roman"/>
          <w:color w:val="auto"/>
          <w:spacing w:val="0"/>
          <w:w w:val="100"/>
          <w:position w:val="0"/>
          <w:sz w:val="24"/>
        </w:rPr>
        <w:t>加强暴雨内涝防治，能有效应对不低于30年一遇的暴雨。学校、商场、地下车库、立交桥等重点场所配套应急排涝设施，防止排涝不畅和雨水倒灌造成人员和财产损失。加强城市暴雨监测、预警系统建设，针对城市暴雨成灾特点，加强对中短天气、局部性灾害的监测预报，及时向社会发布灾害预警信息。</w:t>
      </w:r>
    </w:p>
    <w:p w14:paraId="24D68C1D">
      <w:pPr>
        <w:pStyle w:val="5"/>
        <w:keepNext w:val="0"/>
        <w:keepLines w:val="0"/>
        <w:pageBreakBefore w:val="0"/>
        <w:widowControl w:val="0"/>
        <w:kinsoku/>
        <w:wordWrap/>
        <w:overflowPunct/>
        <w:topLinePunct w:val="0"/>
        <w:autoSpaceDE/>
        <w:autoSpaceDN/>
        <w:bidi w:val="0"/>
        <w:adjustRightInd/>
        <w:snapToGrid/>
        <w:rPr>
          <w:rFonts w:hint="eastAsia" w:ascii="Times New Roman" w:hAnsi="Times New Roman"/>
          <w:color w:val="auto"/>
          <w:spacing w:val="0"/>
          <w:w w:val="100"/>
          <w:position w:val="0"/>
          <w:highlight w:val="none"/>
          <w:lang w:val="en-US" w:eastAsia="zh-CN"/>
        </w:rPr>
      </w:pPr>
      <w:r>
        <w:rPr>
          <w:rFonts w:hint="eastAsia" w:ascii="Times New Roman" w:hAnsi="Times New Roman"/>
          <w:color w:val="auto"/>
          <w:spacing w:val="0"/>
          <w:w w:val="100"/>
          <w:position w:val="0"/>
          <w:highlight w:val="none"/>
          <w:lang w:val="en-US" w:eastAsia="zh-CN"/>
        </w:rPr>
        <w:t>4.2.5.</w:t>
      </w:r>
      <w:r>
        <w:rPr>
          <w:rFonts w:hint="eastAsia"/>
          <w:color w:val="auto"/>
          <w:spacing w:val="0"/>
          <w:w w:val="100"/>
          <w:position w:val="0"/>
          <w:highlight w:val="none"/>
          <w:lang w:val="en-US" w:eastAsia="zh-CN"/>
        </w:rPr>
        <w:t>4</w:t>
      </w:r>
      <w:r>
        <w:rPr>
          <w:rFonts w:hint="eastAsia" w:ascii="Times New Roman" w:hAnsi="Times New Roman"/>
          <w:color w:val="auto"/>
          <w:spacing w:val="0"/>
          <w:w w:val="100"/>
          <w:position w:val="0"/>
          <w:highlight w:val="none"/>
          <w:lang w:val="en-US" w:eastAsia="zh-CN"/>
        </w:rPr>
        <w:t>供热工程规划</w:t>
      </w:r>
    </w:p>
    <w:p w14:paraId="248AD49A">
      <w:pPr>
        <w:keepNext w:val="0"/>
        <w:keepLines w:val="0"/>
        <w:pageBreakBefore w:val="0"/>
        <w:widowControl w:val="0"/>
        <w:kinsoku/>
        <w:wordWrap/>
        <w:overflowPunct/>
        <w:topLinePunct w:val="0"/>
        <w:autoSpaceDE/>
        <w:autoSpaceDN/>
        <w:bidi w:val="0"/>
        <w:spacing w:line="360" w:lineRule="auto"/>
        <w:ind w:firstLine="480" w:firstLineChars="200"/>
        <w:rPr>
          <w:rFonts w:hint="eastAsia" w:ascii="Times New Roman" w:hAnsi="Times New Roman" w:cs="Times New Roman"/>
          <w:color w:val="auto"/>
          <w:spacing w:val="0"/>
          <w:w w:val="100"/>
          <w:position w:val="0"/>
          <w:sz w:val="24"/>
          <w:szCs w:val="24"/>
        </w:rPr>
      </w:pPr>
      <w:r>
        <w:rPr>
          <w:rFonts w:hint="eastAsia" w:ascii="Times New Roman" w:hAnsi="Times New Roman" w:cs="Times New Roman"/>
          <w:color w:val="auto"/>
          <w:spacing w:val="0"/>
          <w:w w:val="100"/>
          <w:position w:val="0"/>
          <w:sz w:val="24"/>
          <w:szCs w:val="24"/>
        </w:rPr>
        <w:t>园区南区米东大道以东利用南部兖矿等热电厂的余热进行供热。热电厂的总规模为1500MW。工业区南区米东大道以西利用神华规划热电厂的余热进行供热。神华规划热电厂的总规模为1200MW。工业区北区利用规划热电厂的余热进行供热。规划热电厂的总规模为3120MW。五家渠东工业园利用农六师热电厂的余热供热，农六师热电厂的总规模为540MW。阜康工业园利用阜康热电厂的余热供热，阜康热电厂的总规模为380MW。热电联产供热不到的建筑采用清洁能源进行供热。园区现状有一座甘泉堡管委会燃气锅炉房。热交换站按供暖20万</w:t>
      </w:r>
      <w:r>
        <w:rPr>
          <w:rFonts w:hint="eastAsia" w:cs="Times New Roman"/>
          <w:color w:val="auto"/>
          <w:spacing w:val="0"/>
          <w:w w:val="100"/>
          <w:position w:val="0"/>
          <w:sz w:val="24"/>
          <w:szCs w:val="24"/>
          <w:lang w:val="en-US" w:eastAsia="zh-CN"/>
        </w:rPr>
        <w:t>m</w:t>
      </w:r>
      <w:r>
        <w:rPr>
          <w:rFonts w:hint="eastAsia" w:cs="Times New Roman"/>
          <w:color w:val="auto"/>
          <w:spacing w:val="0"/>
          <w:w w:val="100"/>
          <w:position w:val="0"/>
          <w:sz w:val="24"/>
          <w:szCs w:val="24"/>
          <w:vertAlign w:val="superscript"/>
          <w:lang w:val="en-US" w:eastAsia="zh-CN"/>
        </w:rPr>
        <w:t>2</w:t>
      </w:r>
      <w:r>
        <w:rPr>
          <w:rFonts w:hint="eastAsia" w:ascii="Times New Roman" w:hAnsi="Times New Roman" w:cs="Times New Roman"/>
          <w:color w:val="auto"/>
          <w:spacing w:val="0"/>
          <w:w w:val="100"/>
          <w:position w:val="0"/>
          <w:sz w:val="24"/>
          <w:szCs w:val="24"/>
        </w:rPr>
        <w:t>规划一座，每座建筑面积为300</w:t>
      </w:r>
      <w:r>
        <w:rPr>
          <w:rFonts w:hint="eastAsia" w:cs="Times New Roman"/>
          <w:color w:val="auto"/>
          <w:spacing w:val="0"/>
          <w:w w:val="100"/>
          <w:position w:val="0"/>
          <w:sz w:val="24"/>
          <w:szCs w:val="24"/>
          <w:lang w:val="en-US" w:eastAsia="zh-CN"/>
        </w:rPr>
        <w:t>m</w:t>
      </w:r>
      <w:r>
        <w:rPr>
          <w:rFonts w:hint="eastAsia" w:cs="Times New Roman"/>
          <w:color w:val="auto"/>
          <w:spacing w:val="0"/>
          <w:w w:val="100"/>
          <w:position w:val="0"/>
          <w:sz w:val="24"/>
          <w:szCs w:val="24"/>
          <w:vertAlign w:val="superscript"/>
          <w:lang w:val="en-US" w:eastAsia="zh-CN"/>
        </w:rPr>
        <w:t>2</w:t>
      </w:r>
      <w:r>
        <w:rPr>
          <w:rFonts w:hint="eastAsia" w:ascii="Times New Roman" w:hAnsi="Times New Roman" w:cs="Times New Roman"/>
          <w:color w:val="auto"/>
          <w:spacing w:val="0"/>
          <w:w w:val="100"/>
          <w:position w:val="0"/>
          <w:sz w:val="24"/>
          <w:szCs w:val="24"/>
        </w:rPr>
        <w:t>，热交换站尽量靠近负荷中心。</w:t>
      </w:r>
    </w:p>
    <w:p w14:paraId="56E7AF11">
      <w:pPr>
        <w:pStyle w:val="5"/>
        <w:keepNext w:val="0"/>
        <w:keepLines w:val="0"/>
        <w:pageBreakBefore w:val="0"/>
        <w:widowControl w:val="0"/>
        <w:kinsoku/>
        <w:wordWrap/>
        <w:overflowPunct/>
        <w:topLinePunct w:val="0"/>
        <w:autoSpaceDE/>
        <w:autoSpaceDN/>
        <w:bidi w:val="0"/>
        <w:adjustRightInd/>
        <w:snapToGrid/>
        <w:rPr>
          <w:rFonts w:hint="eastAsia" w:ascii="Times New Roman" w:hAnsi="Times New Roman"/>
          <w:color w:val="auto"/>
          <w:spacing w:val="0"/>
          <w:w w:val="100"/>
          <w:position w:val="0"/>
          <w:highlight w:val="none"/>
          <w:lang w:val="en-US" w:eastAsia="zh-CN"/>
        </w:rPr>
      </w:pPr>
      <w:r>
        <w:rPr>
          <w:rFonts w:hint="eastAsia" w:ascii="Times New Roman" w:hAnsi="Times New Roman"/>
          <w:color w:val="auto"/>
          <w:spacing w:val="0"/>
          <w:w w:val="100"/>
          <w:position w:val="0"/>
          <w:highlight w:val="none"/>
          <w:lang w:val="en-US" w:eastAsia="zh-CN"/>
        </w:rPr>
        <w:t>3.1.5.</w:t>
      </w:r>
      <w:r>
        <w:rPr>
          <w:rFonts w:hint="eastAsia"/>
          <w:color w:val="auto"/>
          <w:spacing w:val="0"/>
          <w:w w:val="100"/>
          <w:position w:val="0"/>
          <w:highlight w:val="none"/>
          <w:lang w:val="en-US" w:eastAsia="zh-CN"/>
        </w:rPr>
        <w:t>5</w:t>
      </w:r>
      <w:r>
        <w:rPr>
          <w:rFonts w:hint="eastAsia" w:ascii="Times New Roman" w:hAnsi="Times New Roman"/>
          <w:color w:val="auto"/>
          <w:spacing w:val="0"/>
          <w:w w:val="100"/>
          <w:position w:val="0"/>
          <w:highlight w:val="none"/>
          <w:lang w:val="en-US" w:eastAsia="zh-CN"/>
        </w:rPr>
        <w:t>燃气工程规划</w:t>
      </w:r>
    </w:p>
    <w:p w14:paraId="21D8A82C">
      <w:pPr>
        <w:keepNext w:val="0"/>
        <w:keepLines w:val="0"/>
        <w:pageBreakBefore w:val="0"/>
        <w:widowControl w:val="0"/>
        <w:kinsoku/>
        <w:wordWrap/>
        <w:overflowPunct/>
        <w:topLinePunct w:val="0"/>
        <w:autoSpaceDE/>
        <w:autoSpaceDN/>
        <w:bidi w:val="0"/>
        <w:spacing w:line="360" w:lineRule="auto"/>
        <w:ind w:firstLine="480" w:firstLineChars="200"/>
        <w:rPr>
          <w:rFonts w:hint="eastAsia" w:ascii="Times New Roman" w:hAnsi="Times New Roman" w:cs="Times New Roman"/>
          <w:color w:val="auto"/>
          <w:spacing w:val="0"/>
          <w:w w:val="100"/>
          <w:position w:val="0"/>
          <w:sz w:val="24"/>
          <w:szCs w:val="24"/>
        </w:rPr>
      </w:pPr>
      <w:r>
        <w:rPr>
          <w:rFonts w:hint="eastAsia" w:cs="Times New Roman"/>
          <w:color w:val="auto"/>
          <w:spacing w:val="0"/>
          <w:w w:val="100"/>
          <w:position w:val="0"/>
          <w:sz w:val="24"/>
          <w:szCs w:val="24"/>
          <w:lang w:val="en-US" w:eastAsia="zh-CN"/>
        </w:rPr>
        <w:t>1</w:t>
      </w:r>
      <w:r>
        <w:rPr>
          <w:rFonts w:hint="eastAsia" w:ascii="Times New Roman" w:hAnsi="Times New Roman" w:cs="Times New Roman"/>
          <w:color w:val="auto"/>
          <w:spacing w:val="0"/>
          <w:w w:val="100"/>
          <w:position w:val="0"/>
          <w:sz w:val="24"/>
          <w:szCs w:val="24"/>
        </w:rPr>
        <w:t>.气源</w:t>
      </w:r>
    </w:p>
    <w:p w14:paraId="556344AA">
      <w:pPr>
        <w:keepNext w:val="0"/>
        <w:keepLines w:val="0"/>
        <w:pageBreakBefore w:val="0"/>
        <w:widowControl w:val="0"/>
        <w:kinsoku/>
        <w:wordWrap/>
        <w:overflowPunct/>
        <w:topLinePunct w:val="0"/>
        <w:autoSpaceDE/>
        <w:autoSpaceDN/>
        <w:bidi w:val="0"/>
        <w:spacing w:line="360" w:lineRule="auto"/>
        <w:ind w:firstLine="480" w:firstLineChars="200"/>
        <w:rPr>
          <w:rFonts w:hint="eastAsia" w:ascii="Times New Roman" w:hAnsi="Times New Roman" w:cs="Times New Roman"/>
          <w:color w:val="auto"/>
          <w:spacing w:val="0"/>
          <w:w w:val="100"/>
          <w:position w:val="0"/>
          <w:sz w:val="24"/>
          <w:szCs w:val="24"/>
        </w:rPr>
      </w:pPr>
      <w:r>
        <w:rPr>
          <w:rFonts w:hint="eastAsia" w:ascii="Times New Roman" w:hAnsi="Times New Roman" w:cs="Times New Roman"/>
          <w:color w:val="auto"/>
          <w:spacing w:val="0"/>
          <w:w w:val="100"/>
          <w:position w:val="0"/>
          <w:sz w:val="24"/>
          <w:szCs w:val="24"/>
        </w:rPr>
        <w:t>近期积极协调彩乌线5号阀室的供气衔接事宜，将其作为园区近期的主供气源，并建设LNG贮存设施，功能定位为乌鲁木齐市区的应急、事故储备设施，日常可供给LNG加注站。远期建设从乌鲁木齐米东门站接出的高压管道至工业区，作为两个区域间的供气互补联络线，以保障供应安全。</w:t>
      </w:r>
    </w:p>
    <w:p w14:paraId="3E7FD18C">
      <w:pPr>
        <w:keepNext w:val="0"/>
        <w:keepLines w:val="0"/>
        <w:pageBreakBefore w:val="0"/>
        <w:widowControl w:val="0"/>
        <w:kinsoku/>
        <w:wordWrap/>
        <w:overflowPunct/>
        <w:topLinePunct w:val="0"/>
        <w:autoSpaceDE/>
        <w:autoSpaceDN/>
        <w:bidi w:val="0"/>
        <w:spacing w:line="360" w:lineRule="auto"/>
        <w:ind w:firstLine="480" w:firstLineChars="200"/>
        <w:rPr>
          <w:rFonts w:hint="default" w:ascii="Times New Roman" w:hAnsi="Times New Roman" w:eastAsia="宋体" w:cs="Times New Roman"/>
          <w:color w:val="auto"/>
          <w:spacing w:val="0"/>
          <w:w w:val="100"/>
          <w:position w:val="0"/>
          <w:sz w:val="24"/>
          <w:szCs w:val="24"/>
          <w:lang w:val="en-US" w:eastAsia="zh-CN"/>
        </w:rPr>
      </w:pPr>
      <w:r>
        <w:rPr>
          <w:rFonts w:hint="eastAsia" w:cs="Times New Roman"/>
          <w:color w:val="auto"/>
          <w:spacing w:val="0"/>
          <w:w w:val="100"/>
          <w:position w:val="0"/>
          <w:sz w:val="24"/>
          <w:szCs w:val="24"/>
          <w:lang w:val="en-US" w:eastAsia="zh-CN"/>
        </w:rPr>
        <w:t>2.燃气设施</w:t>
      </w:r>
    </w:p>
    <w:p w14:paraId="18EDD009">
      <w:pPr>
        <w:keepNext w:val="0"/>
        <w:keepLines w:val="0"/>
        <w:pageBreakBefore w:val="0"/>
        <w:widowControl w:val="0"/>
        <w:kinsoku/>
        <w:wordWrap/>
        <w:overflowPunct/>
        <w:topLinePunct w:val="0"/>
        <w:autoSpaceDE/>
        <w:autoSpaceDN/>
        <w:bidi w:val="0"/>
        <w:spacing w:line="360" w:lineRule="auto"/>
        <w:ind w:firstLine="480" w:firstLineChars="200"/>
        <w:rPr>
          <w:rFonts w:hint="eastAsia" w:ascii="Times New Roman" w:hAnsi="Times New Roman" w:cs="Times New Roman"/>
          <w:color w:val="auto"/>
          <w:spacing w:val="0"/>
          <w:w w:val="100"/>
          <w:position w:val="0"/>
          <w:sz w:val="24"/>
          <w:szCs w:val="24"/>
        </w:rPr>
      </w:pPr>
      <w:r>
        <w:rPr>
          <w:rFonts w:hint="eastAsia" w:ascii="Times New Roman" w:hAnsi="Times New Roman" w:cs="Times New Roman"/>
          <w:color w:val="auto"/>
          <w:spacing w:val="0"/>
          <w:w w:val="100"/>
          <w:position w:val="0"/>
          <w:sz w:val="24"/>
          <w:szCs w:val="24"/>
        </w:rPr>
        <w:t>园区现状有7座高中压调压站，规划7座高中压调压站。</w:t>
      </w:r>
    </w:p>
    <w:p w14:paraId="4F28D69D">
      <w:pPr>
        <w:keepNext w:val="0"/>
        <w:keepLines w:val="0"/>
        <w:pageBreakBefore w:val="0"/>
        <w:widowControl w:val="0"/>
        <w:kinsoku/>
        <w:wordWrap/>
        <w:overflowPunct/>
        <w:topLinePunct w:val="0"/>
        <w:autoSpaceDE/>
        <w:autoSpaceDN/>
        <w:bidi w:val="0"/>
        <w:spacing w:line="360" w:lineRule="auto"/>
        <w:ind w:firstLine="480" w:firstLineChars="200"/>
        <w:rPr>
          <w:rFonts w:hint="eastAsia" w:ascii="Times New Roman" w:hAnsi="Times New Roman" w:cs="Times New Roman"/>
          <w:color w:val="auto"/>
          <w:spacing w:val="0"/>
          <w:w w:val="100"/>
          <w:position w:val="0"/>
          <w:sz w:val="24"/>
          <w:szCs w:val="24"/>
        </w:rPr>
      </w:pPr>
      <w:r>
        <w:rPr>
          <w:rFonts w:hint="eastAsia" w:ascii="Times New Roman" w:hAnsi="Times New Roman" w:cs="Times New Roman"/>
          <w:color w:val="auto"/>
          <w:spacing w:val="0"/>
          <w:w w:val="100"/>
          <w:position w:val="0"/>
          <w:sz w:val="24"/>
          <w:szCs w:val="24"/>
        </w:rPr>
        <w:t>天然气管网采用高</w:t>
      </w:r>
      <w:r>
        <w:rPr>
          <w:rFonts w:hint="eastAsia" w:cs="Times New Roman"/>
          <w:color w:val="auto"/>
          <w:spacing w:val="0"/>
          <w:w w:val="100"/>
          <w:position w:val="0"/>
          <w:sz w:val="24"/>
          <w:szCs w:val="24"/>
          <w:lang w:eastAsia="zh-CN"/>
        </w:rPr>
        <w:t>（</w:t>
      </w:r>
      <w:r>
        <w:rPr>
          <w:rFonts w:hint="eastAsia" w:ascii="Times New Roman" w:hAnsi="Times New Roman" w:cs="Times New Roman"/>
          <w:color w:val="auto"/>
          <w:spacing w:val="0"/>
          <w:w w:val="100"/>
          <w:position w:val="0"/>
          <w:sz w:val="24"/>
          <w:szCs w:val="24"/>
        </w:rPr>
        <w:t>次高</w:t>
      </w:r>
      <w:r>
        <w:rPr>
          <w:rFonts w:hint="eastAsia" w:cs="Times New Roman"/>
          <w:color w:val="auto"/>
          <w:spacing w:val="0"/>
          <w:w w:val="100"/>
          <w:position w:val="0"/>
          <w:sz w:val="24"/>
          <w:szCs w:val="24"/>
          <w:lang w:eastAsia="zh-CN"/>
        </w:rPr>
        <w:t>）</w:t>
      </w:r>
      <w:r>
        <w:rPr>
          <w:rFonts w:hint="eastAsia" w:ascii="Times New Roman" w:hAnsi="Times New Roman" w:cs="Times New Roman"/>
          <w:color w:val="auto"/>
          <w:spacing w:val="0"/>
          <w:w w:val="100"/>
          <w:position w:val="0"/>
          <w:sz w:val="24"/>
          <w:szCs w:val="24"/>
        </w:rPr>
        <w:t>压/中压两级制。园区有2条现状6.3MPa高压燃气管线，分别由彩乌线第五阀室接入中泰化学门站和甘泉堡南门站。依托门站、配气站建设次高压管网连接多座高中压调压站，衔接中压管网。</w:t>
      </w:r>
    </w:p>
    <w:p w14:paraId="5549776D">
      <w:pPr>
        <w:pStyle w:val="5"/>
        <w:keepNext w:val="0"/>
        <w:keepLines w:val="0"/>
        <w:pageBreakBefore w:val="0"/>
        <w:widowControl w:val="0"/>
        <w:kinsoku/>
        <w:wordWrap/>
        <w:overflowPunct/>
        <w:topLinePunct w:val="0"/>
        <w:autoSpaceDE/>
        <w:autoSpaceDN/>
        <w:bidi w:val="0"/>
        <w:adjustRightInd/>
        <w:snapToGrid/>
        <w:rPr>
          <w:rFonts w:hint="eastAsia" w:ascii="Times New Roman" w:hAnsi="Times New Roman"/>
          <w:color w:val="auto"/>
          <w:spacing w:val="0"/>
          <w:w w:val="100"/>
          <w:position w:val="0"/>
          <w:highlight w:val="none"/>
          <w:lang w:val="en-US" w:eastAsia="zh-CN"/>
        </w:rPr>
      </w:pPr>
      <w:r>
        <w:rPr>
          <w:rFonts w:hint="eastAsia" w:ascii="Times New Roman" w:hAnsi="Times New Roman"/>
          <w:color w:val="auto"/>
          <w:spacing w:val="0"/>
          <w:w w:val="100"/>
          <w:position w:val="0"/>
          <w:highlight w:val="none"/>
          <w:lang w:val="en-US" w:eastAsia="zh-CN"/>
        </w:rPr>
        <w:t>3.1.5.</w:t>
      </w:r>
      <w:r>
        <w:rPr>
          <w:rFonts w:hint="eastAsia"/>
          <w:color w:val="auto"/>
          <w:spacing w:val="0"/>
          <w:w w:val="100"/>
          <w:position w:val="0"/>
          <w:highlight w:val="none"/>
          <w:lang w:val="en-US" w:eastAsia="zh-CN"/>
        </w:rPr>
        <w:t>6</w:t>
      </w:r>
      <w:r>
        <w:rPr>
          <w:rFonts w:hint="eastAsia" w:ascii="Times New Roman" w:hAnsi="Times New Roman"/>
          <w:color w:val="auto"/>
          <w:spacing w:val="0"/>
          <w:w w:val="100"/>
          <w:position w:val="0"/>
          <w:highlight w:val="none"/>
          <w:lang w:val="en-US" w:eastAsia="zh-CN"/>
        </w:rPr>
        <w:t>电力工程规划</w:t>
      </w:r>
    </w:p>
    <w:p w14:paraId="3CB1991C">
      <w:pPr>
        <w:keepNext w:val="0"/>
        <w:keepLines w:val="0"/>
        <w:pageBreakBefore w:val="0"/>
        <w:widowControl w:val="0"/>
        <w:kinsoku/>
        <w:wordWrap/>
        <w:overflowPunct/>
        <w:topLinePunct w:val="0"/>
        <w:autoSpaceDE/>
        <w:autoSpaceDN/>
        <w:bidi w:val="0"/>
        <w:spacing w:line="360" w:lineRule="auto"/>
        <w:ind w:firstLine="480" w:firstLineChars="200"/>
        <w:rPr>
          <w:rFonts w:hint="eastAsia" w:ascii="Times New Roman" w:hAnsi="Times New Roman" w:cs="Times New Roman"/>
          <w:color w:val="auto"/>
          <w:spacing w:val="0"/>
          <w:w w:val="100"/>
          <w:position w:val="0"/>
          <w:sz w:val="24"/>
          <w:szCs w:val="24"/>
        </w:rPr>
      </w:pPr>
      <w:r>
        <w:rPr>
          <w:rFonts w:hint="eastAsia" w:cs="Times New Roman"/>
          <w:color w:val="auto"/>
          <w:spacing w:val="0"/>
          <w:w w:val="100"/>
          <w:position w:val="0"/>
          <w:sz w:val="24"/>
          <w:szCs w:val="24"/>
          <w:lang w:val="en-US" w:eastAsia="zh-CN"/>
        </w:rPr>
        <w:t>1</w:t>
      </w:r>
      <w:r>
        <w:rPr>
          <w:rFonts w:hint="eastAsia" w:ascii="Times New Roman" w:hAnsi="Times New Roman" w:cs="Times New Roman"/>
          <w:color w:val="auto"/>
          <w:spacing w:val="0"/>
          <w:w w:val="100"/>
          <w:position w:val="0"/>
          <w:sz w:val="24"/>
          <w:szCs w:val="24"/>
        </w:rPr>
        <w:t>.电网规划</w:t>
      </w:r>
    </w:p>
    <w:p w14:paraId="3AB59C7D">
      <w:pPr>
        <w:keepNext w:val="0"/>
        <w:keepLines w:val="0"/>
        <w:pageBreakBefore w:val="0"/>
        <w:widowControl w:val="0"/>
        <w:kinsoku/>
        <w:wordWrap/>
        <w:overflowPunct/>
        <w:topLinePunct w:val="0"/>
        <w:autoSpaceDE/>
        <w:autoSpaceDN/>
        <w:bidi w:val="0"/>
        <w:spacing w:line="360" w:lineRule="auto"/>
        <w:ind w:firstLine="480" w:firstLineChars="200"/>
        <w:rPr>
          <w:rFonts w:hint="eastAsia" w:ascii="Times New Roman" w:hAnsi="Times New Roman" w:cs="Times New Roman"/>
          <w:color w:val="auto"/>
          <w:spacing w:val="0"/>
          <w:w w:val="100"/>
          <w:position w:val="0"/>
          <w:sz w:val="24"/>
          <w:szCs w:val="24"/>
        </w:rPr>
      </w:pPr>
      <w:r>
        <w:rPr>
          <w:rFonts w:hint="eastAsia" w:ascii="Times New Roman" w:hAnsi="Times New Roman" w:cs="Times New Roman"/>
          <w:color w:val="auto"/>
          <w:spacing w:val="0"/>
          <w:w w:val="100"/>
          <w:position w:val="0"/>
          <w:sz w:val="24"/>
          <w:szCs w:val="24"/>
        </w:rPr>
        <w:t>在规划区范围内规划五座220变电站(包括一座现状，一座规划位于中央生态绿地，不在六个单元用地中)，十一座110kV变电站，九座电厂（包括现状阜康电厂、兖矿电厂、众合电厂、新特电厂、神华电厂、北区电厂、农六师电厂和中电投电厂，规划甘泉堡电厂）配电设施用地，由变电站为工业区供电。</w:t>
      </w:r>
    </w:p>
    <w:p w14:paraId="0F298831">
      <w:pPr>
        <w:keepNext w:val="0"/>
        <w:keepLines w:val="0"/>
        <w:pageBreakBefore w:val="0"/>
        <w:widowControl w:val="0"/>
        <w:kinsoku/>
        <w:wordWrap/>
        <w:overflowPunct/>
        <w:topLinePunct w:val="0"/>
        <w:autoSpaceDE/>
        <w:autoSpaceDN/>
        <w:bidi w:val="0"/>
        <w:spacing w:line="360" w:lineRule="auto"/>
        <w:ind w:firstLine="480" w:firstLineChars="200"/>
        <w:rPr>
          <w:rFonts w:hint="eastAsia" w:ascii="Times New Roman" w:hAnsi="Times New Roman" w:cs="Times New Roman"/>
          <w:color w:val="auto"/>
          <w:spacing w:val="0"/>
          <w:w w:val="100"/>
          <w:position w:val="0"/>
          <w:sz w:val="24"/>
          <w:szCs w:val="24"/>
        </w:rPr>
      </w:pPr>
      <w:r>
        <w:rPr>
          <w:rFonts w:hint="eastAsia" w:cs="Times New Roman"/>
          <w:color w:val="auto"/>
          <w:spacing w:val="0"/>
          <w:w w:val="100"/>
          <w:position w:val="0"/>
          <w:sz w:val="24"/>
          <w:szCs w:val="24"/>
          <w:lang w:val="en-US" w:eastAsia="zh-CN"/>
        </w:rPr>
        <w:t>2</w:t>
      </w:r>
      <w:r>
        <w:rPr>
          <w:rFonts w:hint="eastAsia" w:ascii="Times New Roman" w:hAnsi="Times New Roman" w:cs="Times New Roman"/>
          <w:color w:val="auto"/>
          <w:spacing w:val="0"/>
          <w:w w:val="100"/>
          <w:position w:val="0"/>
          <w:sz w:val="24"/>
          <w:szCs w:val="24"/>
        </w:rPr>
        <w:t>.高压走廊</w:t>
      </w:r>
    </w:p>
    <w:p w14:paraId="332AB71C">
      <w:pPr>
        <w:keepNext w:val="0"/>
        <w:keepLines w:val="0"/>
        <w:pageBreakBefore w:val="0"/>
        <w:widowControl w:val="0"/>
        <w:kinsoku/>
        <w:wordWrap/>
        <w:overflowPunct/>
        <w:topLinePunct w:val="0"/>
        <w:autoSpaceDE/>
        <w:autoSpaceDN/>
        <w:bidi w:val="0"/>
        <w:spacing w:line="360" w:lineRule="auto"/>
        <w:ind w:firstLine="480" w:firstLineChars="200"/>
        <w:rPr>
          <w:rFonts w:hint="eastAsia" w:ascii="Times New Roman" w:hAnsi="Times New Roman" w:cs="Times New Roman"/>
          <w:color w:val="auto"/>
          <w:spacing w:val="0"/>
          <w:w w:val="100"/>
          <w:position w:val="0"/>
          <w:sz w:val="24"/>
          <w:szCs w:val="24"/>
        </w:rPr>
      </w:pPr>
      <w:r>
        <w:rPr>
          <w:rFonts w:hint="eastAsia" w:ascii="Times New Roman" w:hAnsi="Times New Roman" w:cs="Times New Roman"/>
          <w:color w:val="auto"/>
          <w:spacing w:val="0"/>
          <w:w w:val="100"/>
          <w:position w:val="0"/>
          <w:sz w:val="24"/>
          <w:szCs w:val="24"/>
        </w:rPr>
        <w:t>电力线路敷设以安全实用、美化环境、节约用地为原则，并考虑经济承受能力。树立先用走廊后有线路的观念。220kV及以上电力线路一般按架空线路考虑；110kV电力线路以架空线路为主，电缆为辅。在中心区和繁华路段、重要地段的110kV电力线路应采用埋地电缆。</w:t>
      </w:r>
    </w:p>
    <w:p w14:paraId="4D951319">
      <w:pPr>
        <w:keepNext w:val="0"/>
        <w:keepLines w:val="0"/>
        <w:pageBreakBefore w:val="0"/>
        <w:widowControl w:val="0"/>
        <w:kinsoku/>
        <w:wordWrap/>
        <w:overflowPunct/>
        <w:topLinePunct w:val="0"/>
        <w:autoSpaceDE/>
        <w:autoSpaceDN/>
        <w:bidi w:val="0"/>
        <w:spacing w:line="360" w:lineRule="auto"/>
        <w:ind w:firstLine="480" w:firstLineChars="200"/>
        <w:rPr>
          <w:rFonts w:hint="eastAsia" w:ascii="Times New Roman" w:hAnsi="Times New Roman" w:cs="Times New Roman"/>
          <w:color w:val="auto"/>
          <w:spacing w:val="0"/>
          <w:w w:val="100"/>
          <w:position w:val="0"/>
          <w:sz w:val="24"/>
          <w:szCs w:val="24"/>
        </w:rPr>
      </w:pPr>
      <w:r>
        <w:rPr>
          <w:rFonts w:hint="eastAsia" w:ascii="Times New Roman" w:hAnsi="Times New Roman" w:cs="Times New Roman"/>
          <w:color w:val="auto"/>
          <w:spacing w:val="0"/>
          <w:w w:val="100"/>
          <w:position w:val="0"/>
          <w:sz w:val="24"/>
          <w:szCs w:val="24"/>
        </w:rPr>
        <w:t>110kV及以上电力线路的架设应结合城市地形、地貌特点以及道路网的规划建设，沿道路、河渠、绿化带、山体架设，根据有关规范，高压走廊的控制宽度为：110kV为30-50米。</w:t>
      </w:r>
    </w:p>
    <w:p w14:paraId="5DFDA876">
      <w:pPr>
        <w:keepNext w:val="0"/>
        <w:keepLines w:val="0"/>
        <w:pageBreakBefore w:val="0"/>
        <w:widowControl w:val="0"/>
        <w:kinsoku/>
        <w:wordWrap/>
        <w:overflowPunct/>
        <w:topLinePunct w:val="0"/>
        <w:autoSpaceDE/>
        <w:autoSpaceDN/>
        <w:bidi w:val="0"/>
        <w:spacing w:line="360" w:lineRule="auto"/>
        <w:ind w:firstLine="480" w:firstLineChars="200"/>
        <w:rPr>
          <w:rFonts w:hint="eastAsia" w:ascii="Times New Roman" w:hAnsi="Times New Roman" w:cs="Times New Roman"/>
          <w:color w:val="auto"/>
          <w:spacing w:val="0"/>
          <w:w w:val="100"/>
          <w:position w:val="0"/>
          <w:sz w:val="24"/>
          <w:szCs w:val="24"/>
        </w:rPr>
      </w:pPr>
      <w:r>
        <w:rPr>
          <w:rFonts w:hint="eastAsia" w:ascii="Times New Roman" w:hAnsi="Times New Roman" w:cs="Times New Roman"/>
          <w:color w:val="auto"/>
          <w:spacing w:val="0"/>
          <w:w w:val="100"/>
          <w:position w:val="0"/>
          <w:sz w:val="24"/>
          <w:szCs w:val="24"/>
        </w:rPr>
        <w:t>10kV配电网由以往的单回树枝状辐射供电向环网或双回路供电模式发展。在城市道路的人行道下，配套建设隐蔽式电缆沟。加强10kV中压开关站和公用配电房的规划建设，一般设置在建筑物的首层或其他建筑物合建。</w:t>
      </w:r>
    </w:p>
    <w:p w14:paraId="0BD19C8A">
      <w:pPr>
        <w:keepNext w:val="0"/>
        <w:keepLines w:val="0"/>
        <w:pageBreakBefore w:val="0"/>
        <w:widowControl w:val="0"/>
        <w:kinsoku/>
        <w:wordWrap/>
        <w:overflowPunct/>
        <w:topLinePunct w:val="0"/>
        <w:autoSpaceDE/>
        <w:autoSpaceDN/>
        <w:bidi w:val="0"/>
        <w:adjustRightInd/>
        <w:snapToGrid/>
        <w:ind w:firstLine="480"/>
        <w:jc w:val="left"/>
        <w:rPr>
          <w:color w:val="auto"/>
          <w:spacing w:val="0"/>
          <w:w w:val="100"/>
          <w:position w:val="0"/>
          <w:szCs w:val="22"/>
          <w:highlight w:val="none"/>
        </w:rPr>
      </w:pPr>
      <w:r>
        <w:rPr>
          <w:rFonts w:hint="eastAsia"/>
          <w:color w:val="auto"/>
          <w:spacing w:val="0"/>
          <w:w w:val="100"/>
          <w:position w:val="0"/>
          <w:szCs w:val="22"/>
          <w:highlight w:val="none"/>
          <w:lang w:val="en-US" w:eastAsia="zh-CN"/>
        </w:rPr>
        <w:t>本项目位于</w:t>
      </w:r>
      <w:r>
        <w:rPr>
          <w:rFonts w:hint="eastAsia"/>
          <w:color w:val="auto"/>
          <w:spacing w:val="0"/>
          <w:w w:val="100"/>
          <w:position w:val="0"/>
          <w:highlight w:val="none"/>
          <w:lang w:val="en-US" w:eastAsia="zh-CN"/>
        </w:rPr>
        <w:t>甘泉堡工业园区中小微企业创新区，</w:t>
      </w:r>
      <w:r>
        <w:rPr>
          <w:color w:val="auto"/>
          <w:spacing w:val="0"/>
          <w:w w:val="100"/>
          <w:position w:val="0"/>
          <w:szCs w:val="22"/>
          <w:highlight w:val="none"/>
        </w:rPr>
        <w:t>道路、供水、排水、供热、强电、弱电、蒸汽、燃气、通讯9项基础配套设施已完备，土地平整已完成，实现“九通一平”。目前项目区供水、排水及供电设施均建设完善，可满足项目建设及运营需求。</w:t>
      </w:r>
    </w:p>
    <w:p w14:paraId="358A733C">
      <w:pPr>
        <w:pStyle w:val="3"/>
        <w:keepNext w:val="0"/>
        <w:keepLines w:val="0"/>
        <w:pageBreakBefore w:val="0"/>
        <w:widowControl w:val="0"/>
        <w:kinsoku/>
        <w:wordWrap/>
        <w:overflowPunct/>
        <w:topLinePunct w:val="0"/>
        <w:autoSpaceDE/>
        <w:autoSpaceDN/>
        <w:bidi w:val="0"/>
        <w:adjustRightInd/>
        <w:snapToGrid/>
        <w:rPr>
          <w:color w:val="auto"/>
          <w:spacing w:val="0"/>
          <w:w w:val="100"/>
          <w:position w:val="0"/>
          <w:highlight w:val="none"/>
        </w:rPr>
      </w:pPr>
      <w:bookmarkStart w:id="290" w:name="_Toc11292"/>
      <w:bookmarkStart w:id="291" w:name="_Toc15981"/>
      <w:bookmarkStart w:id="292" w:name="_Toc138589830"/>
      <w:r>
        <w:rPr>
          <w:color w:val="auto"/>
          <w:spacing w:val="0"/>
          <w:w w:val="100"/>
          <w:position w:val="0"/>
          <w:highlight w:val="none"/>
        </w:rPr>
        <w:t>4.3环境质量现状调查与评价</w:t>
      </w:r>
      <w:bookmarkEnd w:id="280"/>
      <w:bookmarkEnd w:id="290"/>
      <w:bookmarkEnd w:id="291"/>
      <w:bookmarkEnd w:id="292"/>
    </w:p>
    <w:p w14:paraId="71F59815">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bookmarkStart w:id="293" w:name="_Toc3675"/>
      <w:r>
        <w:rPr>
          <w:rFonts w:hint="default"/>
          <w:color w:val="auto"/>
          <w:spacing w:val="0"/>
          <w:w w:val="100"/>
          <w:position w:val="0"/>
          <w:highlight w:val="none"/>
        </w:rPr>
        <w:t>4.3.1大气环境质量现状调查及分析</w:t>
      </w:r>
      <w:bookmarkEnd w:id="293"/>
    </w:p>
    <w:p w14:paraId="6B88AE00">
      <w:pPr>
        <w:pStyle w:val="5"/>
        <w:keepNext w:val="0"/>
        <w:keepLines w:val="0"/>
        <w:pageBreakBefore w:val="0"/>
        <w:widowControl w:val="0"/>
        <w:kinsoku/>
        <w:wordWrap/>
        <w:overflowPunct/>
        <w:topLinePunct w:val="0"/>
        <w:autoSpaceDE/>
        <w:autoSpaceDN/>
        <w:bidi w:val="0"/>
        <w:adjustRightInd/>
        <w:snapToGrid/>
        <w:rPr>
          <w:color w:val="auto"/>
          <w:spacing w:val="0"/>
          <w:w w:val="100"/>
          <w:position w:val="0"/>
          <w:highlight w:val="none"/>
        </w:rPr>
      </w:pPr>
      <w:r>
        <w:rPr>
          <w:color w:val="auto"/>
          <w:spacing w:val="0"/>
          <w:w w:val="100"/>
          <w:position w:val="0"/>
          <w:highlight w:val="none"/>
        </w:rPr>
        <w:t>4.3.1.1项目所在区域达标判断</w:t>
      </w:r>
    </w:p>
    <w:p w14:paraId="2C0D1CC7">
      <w:pPr>
        <w:keepNext w:val="0"/>
        <w:keepLines w:val="0"/>
        <w:pageBreakBefore w:val="0"/>
        <w:widowControl w:val="0"/>
        <w:kinsoku/>
        <w:wordWrap/>
        <w:overflowPunct/>
        <w:topLinePunct w:val="0"/>
        <w:autoSpaceDE/>
        <w:autoSpaceDN/>
        <w:bidi w:val="0"/>
        <w:ind w:firstLine="480"/>
        <w:rPr>
          <w:color w:val="auto"/>
          <w:spacing w:val="0"/>
          <w:w w:val="100"/>
          <w:kern w:val="21"/>
          <w:position w:val="0"/>
          <w:szCs w:val="24"/>
        </w:rPr>
      </w:pPr>
      <w:bookmarkStart w:id="294" w:name="_Toc6493"/>
      <w:bookmarkStart w:id="295" w:name="_Toc471"/>
      <w:bookmarkStart w:id="296" w:name="_Toc31790"/>
      <w:bookmarkStart w:id="297" w:name="_Toc28751"/>
      <w:bookmarkStart w:id="298" w:name="_Toc32136"/>
      <w:bookmarkStart w:id="299" w:name="_Toc8839"/>
      <w:bookmarkStart w:id="300" w:name="_Toc15836"/>
      <w:r>
        <w:rPr>
          <w:color w:val="auto"/>
          <w:spacing w:val="0"/>
          <w:w w:val="100"/>
          <w:kern w:val="21"/>
          <w:position w:val="0"/>
          <w:szCs w:val="24"/>
        </w:rPr>
        <w:t>（1）数据来源</w:t>
      </w:r>
    </w:p>
    <w:p w14:paraId="31DF9E21">
      <w:pPr>
        <w:keepNext w:val="0"/>
        <w:keepLines w:val="0"/>
        <w:pageBreakBefore w:val="0"/>
        <w:widowControl w:val="0"/>
        <w:kinsoku/>
        <w:wordWrap/>
        <w:overflowPunct/>
        <w:topLinePunct w:val="0"/>
        <w:autoSpaceDE/>
        <w:autoSpaceDN/>
        <w:bidi w:val="0"/>
        <w:ind w:firstLine="480"/>
        <w:rPr>
          <w:color w:val="auto"/>
          <w:spacing w:val="0"/>
          <w:w w:val="100"/>
          <w:kern w:val="21"/>
          <w:position w:val="0"/>
          <w:szCs w:val="24"/>
        </w:rPr>
      </w:pPr>
      <w:r>
        <w:rPr>
          <w:color w:val="auto"/>
          <w:spacing w:val="0"/>
          <w:w w:val="100"/>
          <w:kern w:val="21"/>
          <w:position w:val="0"/>
          <w:szCs w:val="24"/>
        </w:rPr>
        <w:t>根据《环境影响评价技术导则 大气环境》（HJ2.2-2018）对环境质量现状数据的要求，达标区判定可采用评价范围内国家或地方环境空气质量监测网中评价基准年连续1年的监测数据，或采用生态环境主管部门公开发布的环境空气质量现状数据。</w:t>
      </w:r>
    </w:p>
    <w:p w14:paraId="03934BD3">
      <w:pPr>
        <w:keepNext w:val="0"/>
        <w:keepLines w:val="0"/>
        <w:pageBreakBefore w:val="0"/>
        <w:widowControl w:val="0"/>
        <w:kinsoku/>
        <w:wordWrap/>
        <w:overflowPunct/>
        <w:topLinePunct w:val="0"/>
        <w:autoSpaceDE/>
        <w:autoSpaceDN/>
        <w:bidi w:val="0"/>
        <w:ind w:firstLine="480"/>
        <w:rPr>
          <w:color w:val="auto"/>
          <w:spacing w:val="0"/>
          <w:w w:val="100"/>
          <w:kern w:val="21"/>
          <w:position w:val="0"/>
          <w:szCs w:val="24"/>
        </w:rPr>
      </w:pPr>
      <w:r>
        <w:rPr>
          <w:color w:val="auto"/>
          <w:spacing w:val="0"/>
          <w:w w:val="100"/>
          <w:kern w:val="21"/>
          <w:position w:val="0"/>
          <w:szCs w:val="24"/>
        </w:rPr>
        <w:t>本次评价基本污染物SO</w:t>
      </w:r>
      <w:r>
        <w:rPr>
          <w:color w:val="auto"/>
          <w:spacing w:val="0"/>
          <w:w w:val="100"/>
          <w:kern w:val="21"/>
          <w:position w:val="0"/>
          <w:szCs w:val="24"/>
          <w:vertAlign w:val="subscript"/>
        </w:rPr>
        <w:t>2</w:t>
      </w:r>
      <w:r>
        <w:rPr>
          <w:color w:val="auto"/>
          <w:spacing w:val="0"/>
          <w:w w:val="100"/>
          <w:kern w:val="21"/>
          <w:position w:val="0"/>
          <w:szCs w:val="24"/>
        </w:rPr>
        <w:t>、NO</w:t>
      </w:r>
      <w:r>
        <w:rPr>
          <w:color w:val="auto"/>
          <w:spacing w:val="0"/>
          <w:w w:val="100"/>
          <w:kern w:val="21"/>
          <w:position w:val="0"/>
          <w:szCs w:val="24"/>
          <w:vertAlign w:val="subscript"/>
        </w:rPr>
        <w:t>2</w:t>
      </w:r>
      <w:r>
        <w:rPr>
          <w:color w:val="auto"/>
          <w:spacing w:val="0"/>
          <w:w w:val="100"/>
          <w:kern w:val="21"/>
          <w:position w:val="0"/>
          <w:szCs w:val="24"/>
        </w:rPr>
        <w:t>、PM</w:t>
      </w:r>
      <w:r>
        <w:rPr>
          <w:color w:val="auto"/>
          <w:spacing w:val="0"/>
          <w:w w:val="100"/>
          <w:kern w:val="21"/>
          <w:position w:val="0"/>
          <w:szCs w:val="24"/>
          <w:vertAlign w:val="subscript"/>
        </w:rPr>
        <w:t>10</w:t>
      </w:r>
      <w:r>
        <w:rPr>
          <w:color w:val="auto"/>
          <w:spacing w:val="0"/>
          <w:w w:val="100"/>
          <w:kern w:val="21"/>
          <w:position w:val="0"/>
          <w:szCs w:val="24"/>
        </w:rPr>
        <w:t>、PM</w:t>
      </w:r>
      <w:r>
        <w:rPr>
          <w:color w:val="auto"/>
          <w:spacing w:val="0"/>
          <w:w w:val="100"/>
          <w:kern w:val="21"/>
          <w:position w:val="0"/>
          <w:szCs w:val="24"/>
          <w:vertAlign w:val="subscript"/>
        </w:rPr>
        <w:t>2.5</w:t>
      </w:r>
      <w:r>
        <w:rPr>
          <w:color w:val="auto"/>
          <w:spacing w:val="0"/>
          <w:w w:val="100"/>
          <w:kern w:val="21"/>
          <w:position w:val="0"/>
          <w:szCs w:val="24"/>
        </w:rPr>
        <w:t>、CO和O</w:t>
      </w:r>
      <w:r>
        <w:rPr>
          <w:color w:val="auto"/>
          <w:spacing w:val="0"/>
          <w:w w:val="100"/>
          <w:kern w:val="21"/>
          <w:position w:val="0"/>
          <w:szCs w:val="24"/>
          <w:vertAlign w:val="subscript"/>
        </w:rPr>
        <w:t>3</w:t>
      </w:r>
      <w:r>
        <w:rPr>
          <w:color w:val="auto"/>
          <w:spacing w:val="0"/>
          <w:w w:val="100"/>
          <w:kern w:val="21"/>
          <w:position w:val="0"/>
          <w:szCs w:val="24"/>
        </w:rPr>
        <w:t>的环境质量现状评价，选择国家环境保护环境影响评价数值模拟重点实验室的环境空气质量模型技术支持服务系统（http://data.lem.org.cn/eamds/apply/tostepone.html）发布的</w:t>
      </w:r>
      <w:r>
        <w:rPr>
          <w:rFonts w:hint="eastAsia"/>
          <w:color w:val="auto"/>
          <w:spacing w:val="0"/>
          <w:w w:val="100"/>
          <w:kern w:val="21"/>
          <w:position w:val="0"/>
          <w:szCs w:val="24"/>
          <w:lang w:val="en-US" w:eastAsia="zh-CN"/>
        </w:rPr>
        <w:t>乌鲁木齐</w:t>
      </w:r>
      <w:r>
        <w:rPr>
          <w:color w:val="auto"/>
          <w:spacing w:val="0"/>
          <w:w w:val="100"/>
          <w:kern w:val="21"/>
          <w:position w:val="0"/>
          <w:szCs w:val="24"/>
        </w:rPr>
        <w:t>市202</w:t>
      </w:r>
      <w:r>
        <w:rPr>
          <w:rFonts w:hint="eastAsia"/>
          <w:color w:val="auto"/>
          <w:spacing w:val="0"/>
          <w:w w:val="100"/>
          <w:kern w:val="21"/>
          <w:position w:val="0"/>
          <w:szCs w:val="24"/>
          <w:lang w:val="en-US" w:eastAsia="zh-CN"/>
        </w:rPr>
        <w:t>5</w:t>
      </w:r>
      <w:r>
        <w:rPr>
          <w:color w:val="auto"/>
          <w:spacing w:val="0"/>
          <w:w w:val="100"/>
          <w:kern w:val="21"/>
          <w:position w:val="0"/>
          <w:szCs w:val="24"/>
        </w:rPr>
        <w:t>年空气质量数据，作为本项目环境空气现状评价基本污染物SO</w:t>
      </w:r>
      <w:r>
        <w:rPr>
          <w:color w:val="auto"/>
          <w:spacing w:val="0"/>
          <w:w w:val="100"/>
          <w:kern w:val="21"/>
          <w:position w:val="0"/>
          <w:szCs w:val="24"/>
          <w:vertAlign w:val="subscript"/>
        </w:rPr>
        <w:t>2</w:t>
      </w:r>
      <w:r>
        <w:rPr>
          <w:color w:val="auto"/>
          <w:spacing w:val="0"/>
          <w:w w:val="100"/>
          <w:kern w:val="21"/>
          <w:position w:val="0"/>
          <w:szCs w:val="24"/>
        </w:rPr>
        <w:t>、NO</w:t>
      </w:r>
      <w:r>
        <w:rPr>
          <w:color w:val="auto"/>
          <w:spacing w:val="0"/>
          <w:w w:val="100"/>
          <w:kern w:val="21"/>
          <w:position w:val="0"/>
          <w:szCs w:val="24"/>
          <w:vertAlign w:val="subscript"/>
        </w:rPr>
        <w:t>2</w:t>
      </w:r>
      <w:r>
        <w:rPr>
          <w:color w:val="auto"/>
          <w:spacing w:val="0"/>
          <w:w w:val="100"/>
          <w:kern w:val="21"/>
          <w:position w:val="0"/>
          <w:szCs w:val="24"/>
        </w:rPr>
        <w:t>、PM</w:t>
      </w:r>
      <w:r>
        <w:rPr>
          <w:color w:val="auto"/>
          <w:spacing w:val="0"/>
          <w:w w:val="100"/>
          <w:kern w:val="21"/>
          <w:position w:val="0"/>
          <w:szCs w:val="24"/>
          <w:vertAlign w:val="subscript"/>
        </w:rPr>
        <w:t>10</w:t>
      </w:r>
      <w:r>
        <w:rPr>
          <w:color w:val="auto"/>
          <w:spacing w:val="0"/>
          <w:w w:val="100"/>
          <w:kern w:val="21"/>
          <w:position w:val="0"/>
          <w:szCs w:val="24"/>
        </w:rPr>
        <w:t>、PM</w:t>
      </w:r>
      <w:r>
        <w:rPr>
          <w:color w:val="auto"/>
          <w:spacing w:val="0"/>
          <w:w w:val="100"/>
          <w:kern w:val="21"/>
          <w:position w:val="0"/>
          <w:szCs w:val="24"/>
          <w:vertAlign w:val="subscript"/>
        </w:rPr>
        <w:t>2.5</w:t>
      </w:r>
      <w:r>
        <w:rPr>
          <w:color w:val="auto"/>
          <w:spacing w:val="0"/>
          <w:w w:val="100"/>
          <w:kern w:val="21"/>
          <w:position w:val="0"/>
          <w:szCs w:val="24"/>
        </w:rPr>
        <w:t>、CO和O</w:t>
      </w:r>
      <w:r>
        <w:rPr>
          <w:color w:val="auto"/>
          <w:spacing w:val="0"/>
          <w:w w:val="100"/>
          <w:kern w:val="21"/>
          <w:position w:val="0"/>
          <w:szCs w:val="24"/>
          <w:vertAlign w:val="subscript"/>
        </w:rPr>
        <w:t>3</w:t>
      </w:r>
      <w:r>
        <w:rPr>
          <w:color w:val="auto"/>
          <w:spacing w:val="0"/>
          <w:w w:val="100"/>
          <w:kern w:val="21"/>
          <w:position w:val="0"/>
          <w:szCs w:val="24"/>
        </w:rPr>
        <w:t>的数据来源。</w:t>
      </w:r>
    </w:p>
    <w:p w14:paraId="4F12B9D4">
      <w:pPr>
        <w:keepNext w:val="0"/>
        <w:keepLines w:val="0"/>
        <w:pageBreakBefore w:val="0"/>
        <w:widowControl w:val="0"/>
        <w:kinsoku/>
        <w:wordWrap/>
        <w:overflowPunct/>
        <w:topLinePunct w:val="0"/>
        <w:autoSpaceDE/>
        <w:autoSpaceDN/>
        <w:bidi w:val="0"/>
        <w:ind w:firstLine="480"/>
        <w:rPr>
          <w:color w:val="auto"/>
          <w:spacing w:val="0"/>
          <w:w w:val="100"/>
          <w:kern w:val="21"/>
          <w:position w:val="0"/>
          <w:szCs w:val="24"/>
        </w:rPr>
      </w:pPr>
      <w:r>
        <w:rPr>
          <w:color w:val="auto"/>
          <w:spacing w:val="0"/>
          <w:w w:val="100"/>
          <w:kern w:val="21"/>
          <w:position w:val="0"/>
          <w:szCs w:val="24"/>
        </w:rPr>
        <w:t>（2）评价标准</w:t>
      </w:r>
    </w:p>
    <w:p w14:paraId="69733F53">
      <w:pPr>
        <w:keepNext w:val="0"/>
        <w:keepLines w:val="0"/>
        <w:pageBreakBefore w:val="0"/>
        <w:widowControl w:val="0"/>
        <w:kinsoku/>
        <w:wordWrap/>
        <w:overflowPunct/>
        <w:topLinePunct w:val="0"/>
        <w:autoSpaceDE/>
        <w:autoSpaceDN/>
        <w:bidi w:val="0"/>
        <w:ind w:firstLine="480"/>
        <w:rPr>
          <w:color w:val="auto"/>
          <w:spacing w:val="0"/>
          <w:w w:val="100"/>
          <w:kern w:val="21"/>
          <w:position w:val="0"/>
          <w:szCs w:val="24"/>
        </w:rPr>
      </w:pPr>
      <w:r>
        <w:rPr>
          <w:color w:val="auto"/>
          <w:spacing w:val="0"/>
          <w:w w:val="100"/>
          <w:kern w:val="21"/>
          <w:position w:val="0"/>
          <w:szCs w:val="24"/>
        </w:rPr>
        <w:t>本次评价基本污染物执行《环境空气质量标准》（GB3095-20</w:t>
      </w:r>
      <w:r>
        <w:rPr>
          <w:rFonts w:hint="eastAsia"/>
          <w:color w:val="auto"/>
          <w:spacing w:val="0"/>
          <w:w w:val="100"/>
          <w:kern w:val="21"/>
          <w:position w:val="0"/>
          <w:szCs w:val="24"/>
          <w:lang w:val="en-US" w:eastAsia="zh-CN"/>
        </w:rPr>
        <w:t>26</w:t>
      </w:r>
      <w:r>
        <w:rPr>
          <w:color w:val="auto"/>
          <w:spacing w:val="0"/>
          <w:w w:val="100"/>
          <w:kern w:val="21"/>
          <w:position w:val="0"/>
          <w:szCs w:val="24"/>
        </w:rPr>
        <w:t>）中的</w:t>
      </w:r>
      <w:r>
        <w:rPr>
          <w:rFonts w:hint="eastAsia"/>
          <w:color w:val="auto"/>
          <w:spacing w:val="0"/>
          <w:w w:val="100"/>
          <w:kern w:val="21"/>
          <w:position w:val="0"/>
          <w:szCs w:val="24"/>
          <w:lang w:val="en-US" w:eastAsia="zh-CN"/>
        </w:rPr>
        <w:t>过渡阶段浓度限值</w:t>
      </w:r>
      <w:r>
        <w:rPr>
          <w:color w:val="auto"/>
          <w:spacing w:val="0"/>
          <w:w w:val="100"/>
          <w:kern w:val="21"/>
          <w:position w:val="0"/>
          <w:szCs w:val="24"/>
        </w:rPr>
        <w:t>二级标准。</w:t>
      </w:r>
    </w:p>
    <w:p w14:paraId="2EACE5A5">
      <w:pPr>
        <w:keepNext w:val="0"/>
        <w:keepLines w:val="0"/>
        <w:pageBreakBefore w:val="0"/>
        <w:widowControl w:val="0"/>
        <w:kinsoku/>
        <w:wordWrap/>
        <w:overflowPunct/>
        <w:topLinePunct w:val="0"/>
        <w:autoSpaceDE/>
        <w:autoSpaceDN/>
        <w:bidi w:val="0"/>
        <w:ind w:firstLine="480"/>
        <w:rPr>
          <w:color w:val="auto"/>
          <w:spacing w:val="0"/>
          <w:w w:val="100"/>
          <w:kern w:val="21"/>
          <w:position w:val="0"/>
          <w:szCs w:val="24"/>
        </w:rPr>
      </w:pPr>
      <w:r>
        <w:rPr>
          <w:color w:val="auto"/>
          <w:spacing w:val="0"/>
          <w:w w:val="100"/>
          <w:kern w:val="21"/>
          <w:position w:val="0"/>
          <w:szCs w:val="24"/>
        </w:rPr>
        <w:t>（3）评价方法</w:t>
      </w:r>
    </w:p>
    <w:p w14:paraId="5B5D58E5">
      <w:pPr>
        <w:keepNext w:val="0"/>
        <w:keepLines w:val="0"/>
        <w:pageBreakBefore w:val="0"/>
        <w:widowControl w:val="0"/>
        <w:kinsoku/>
        <w:wordWrap/>
        <w:overflowPunct/>
        <w:topLinePunct w:val="0"/>
        <w:autoSpaceDE/>
        <w:autoSpaceDN/>
        <w:bidi w:val="0"/>
        <w:ind w:firstLine="480"/>
        <w:rPr>
          <w:color w:val="auto"/>
          <w:spacing w:val="0"/>
          <w:w w:val="100"/>
          <w:kern w:val="21"/>
          <w:position w:val="0"/>
          <w:szCs w:val="24"/>
        </w:rPr>
      </w:pPr>
      <w:r>
        <w:rPr>
          <w:color w:val="auto"/>
          <w:spacing w:val="0"/>
          <w:w w:val="100"/>
          <w:kern w:val="21"/>
          <w:position w:val="0"/>
          <w:szCs w:val="24"/>
        </w:rPr>
        <w:t>评价方法：基本污染物按照《环境空气质量评价技术规范》（HJ663-20</w:t>
      </w:r>
      <w:r>
        <w:rPr>
          <w:rFonts w:hint="eastAsia"/>
          <w:color w:val="auto"/>
          <w:spacing w:val="0"/>
          <w:w w:val="100"/>
          <w:kern w:val="21"/>
          <w:position w:val="0"/>
          <w:szCs w:val="24"/>
          <w:lang w:val="en-US" w:eastAsia="zh-CN"/>
        </w:rPr>
        <w:t>26</w:t>
      </w:r>
      <w:r>
        <w:rPr>
          <w:color w:val="auto"/>
          <w:spacing w:val="0"/>
          <w:w w:val="100"/>
          <w:kern w:val="21"/>
          <w:position w:val="0"/>
          <w:szCs w:val="24"/>
        </w:rPr>
        <w:t>）中各评价项目的年评价指标进行判定。年评价指标中的年均浓度和相应百分位数24h平均或8h平均质量浓度满足GB3095中浓度限值要求的即为达标。</w:t>
      </w:r>
    </w:p>
    <w:p w14:paraId="2481587E">
      <w:pPr>
        <w:keepNext w:val="0"/>
        <w:keepLines w:val="0"/>
        <w:pageBreakBefore w:val="0"/>
        <w:widowControl w:val="0"/>
        <w:kinsoku/>
        <w:wordWrap/>
        <w:overflowPunct/>
        <w:topLinePunct w:val="0"/>
        <w:autoSpaceDE/>
        <w:autoSpaceDN/>
        <w:bidi w:val="0"/>
        <w:ind w:firstLine="480"/>
        <w:rPr>
          <w:color w:val="auto"/>
          <w:spacing w:val="0"/>
          <w:w w:val="100"/>
          <w:kern w:val="21"/>
          <w:position w:val="0"/>
          <w:szCs w:val="24"/>
        </w:rPr>
      </w:pPr>
      <w:r>
        <w:rPr>
          <w:color w:val="auto"/>
          <w:spacing w:val="0"/>
          <w:w w:val="100"/>
          <w:kern w:val="21"/>
          <w:position w:val="0"/>
          <w:szCs w:val="24"/>
        </w:rPr>
        <w:t>（4）空气质量达标区判定</w:t>
      </w:r>
    </w:p>
    <w:p w14:paraId="418A400F">
      <w:pPr>
        <w:keepNext w:val="0"/>
        <w:keepLines w:val="0"/>
        <w:pageBreakBefore w:val="0"/>
        <w:widowControl w:val="0"/>
        <w:kinsoku/>
        <w:wordWrap/>
        <w:overflowPunct/>
        <w:topLinePunct w:val="0"/>
        <w:autoSpaceDE/>
        <w:autoSpaceDN/>
        <w:bidi w:val="0"/>
        <w:ind w:firstLine="480"/>
        <w:rPr>
          <w:color w:val="auto"/>
          <w:spacing w:val="0"/>
          <w:w w:val="100"/>
          <w:kern w:val="21"/>
          <w:position w:val="0"/>
          <w:szCs w:val="24"/>
        </w:rPr>
      </w:pPr>
      <w:bookmarkStart w:id="301" w:name="OLE_LINK115"/>
      <w:r>
        <w:rPr>
          <w:rFonts w:hint="eastAsia"/>
          <w:color w:val="auto"/>
          <w:spacing w:val="0"/>
          <w:w w:val="100"/>
          <w:kern w:val="21"/>
          <w:position w:val="0"/>
          <w:szCs w:val="24"/>
          <w:lang w:val="en-US" w:eastAsia="zh-CN"/>
        </w:rPr>
        <w:t>乌鲁木齐</w:t>
      </w:r>
      <w:r>
        <w:rPr>
          <w:color w:val="auto"/>
          <w:spacing w:val="0"/>
          <w:w w:val="100"/>
          <w:kern w:val="21"/>
          <w:position w:val="0"/>
          <w:szCs w:val="24"/>
        </w:rPr>
        <w:t>市202</w:t>
      </w:r>
      <w:r>
        <w:rPr>
          <w:rFonts w:hint="eastAsia"/>
          <w:color w:val="auto"/>
          <w:spacing w:val="0"/>
          <w:w w:val="100"/>
          <w:kern w:val="21"/>
          <w:position w:val="0"/>
          <w:szCs w:val="24"/>
          <w:lang w:val="en-US" w:eastAsia="zh-CN"/>
        </w:rPr>
        <w:t>5</w:t>
      </w:r>
      <w:r>
        <w:rPr>
          <w:color w:val="auto"/>
          <w:spacing w:val="0"/>
          <w:w w:val="100"/>
          <w:kern w:val="21"/>
          <w:position w:val="0"/>
          <w:szCs w:val="24"/>
        </w:rPr>
        <w:t>年空气质量达标区判定结果见表4.3</w:t>
      </w:r>
      <w:r>
        <w:rPr>
          <w:rFonts w:hint="eastAsia"/>
          <w:color w:val="auto"/>
          <w:spacing w:val="0"/>
          <w:w w:val="100"/>
          <w:kern w:val="21"/>
          <w:position w:val="0"/>
          <w:szCs w:val="24"/>
          <w:lang w:val="en-US" w:eastAsia="zh-CN"/>
        </w:rPr>
        <w:t>.1</w:t>
      </w:r>
      <w:r>
        <w:rPr>
          <w:color w:val="auto"/>
          <w:spacing w:val="0"/>
          <w:w w:val="100"/>
          <w:kern w:val="21"/>
          <w:position w:val="0"/>
          <w:szCs w:val="24"/>
        </w:rPr>
        <w:t>-1。</w:t>
      </w:r>
      <w:bookmarkEnd w:id="301"/>
    </w:p>
    <w:p w14:paraId="461FD555">
      <w:pPr>
        <w:keepNext w:val="0"/>
        <w:keepLines w:val="0"/>
        <w:pageBreakBefore w:val="0"/>
        <w:widowControl w:val="0"/>
        <w:kinsoku/>
        <w:wordWrap/>
        <w:overflowPunct/>
        <w:topLinePunct w:val="0"/>
        <w:autoSpaceDE/>
        <w:autoSpaceDN/>
        <w:bidi w:val="0"/>
        <w:spacing w:line="240" w:lineRule="auto"/>
        <w:ind w:firstLine="0" w:firstLineChars="0"/>
        <w:jc w:val="center"/>
        <w:rPr>
          <w:b/>
          <w:bCs/>
          <w:color w:val="auto"/>
          <w:spacing w:val="0"/>
          <w:w w:val="100"/>
          <w:kern w:val="21"/>
          <w:position w:val="0"/>
          <w:sz w:val="21"/>
        </w:rPr>
      </w:pPr>
      <w:r>
        <w:rPr>
          <w:b/>
          <w:bCs/>
          <w:color w:val="auto"/>
          <w:spacing w:val="0"/>
          <w:w w:val="100"/>
          <w:kern w:val="21"/>
          <w:position w:val="0"/>
          <w:sz w:val="21"/>
        </w:rPr>
        <w:t>表4.3</w:t>
      </w:r>
      <w:r>
        <w:rPr>
          <w:rFonts w:hint="eastAsia"/>
          <w:b/>
          <w:bCs/>
          <w:color w:val="auto"/>
          <w:spacing w:val="0"/>
          <w:w w:val="100"/>
          <w:kern w:val="21"/>
          <w:position w:val="0"/>
          <w:sz w:val="21"/>
          <w:lang w:val="en-US" w:eastAsia="zh-CN"/>
        </w:rPr>
        <w:t>.1</w:t>
      </w:r>
      <w:r>
        <w:rPr>
          <w:b/>
          <w:bCs/>
          <w:color w:val="auto"/>
          <w:spacing w:val="0"/>
          <w:w w:val="100"/>
          <w:kern w:val="21"/>
          <w:position w:val="0"/>
          <w:sz w:val="21"/>
        </w:rPr>
        <w:t xml:space="preserve">-1  </w:t>
      </w:r>
      <w:r>
        <w:rPr>
          <w:rFonts w:hint="eastAsia"/>
          <w:b/>
          <w:bCs/>
          <w:color w:val="auto"/>
          <w:spacing w:val="0"/>
          <w:w w:val="100"/>
          <w:kern w:val="21"/>
          <w:position w:val="0"/>
          <w:sz w:val="21"/>
          <w:lang w:val="en-US" w:eastAsia="zh-CN"/>
        </w:rPr>
        <w:t>乌鲁木齐市2025</w:t>
      </w:r>
      <w:r>
        <w:rPr>
          <w:b/>
          <w:bCs/>
          <w:color w:val="auto"/>
          <w:spacing w:val="0"/>
          <w:w w:val="100"/>
          <w:kern w:val="21"/>
          <w:position w:val="0"/>
          <w:sz w:val="21"/>
        </w:rPr>
        <w:t>年空气质量现状评价结果一览表</w:t>
      </w:r>
    </w:p>
    <w:tbl>
      <w:tblPr>
        <w:tblStyle w:val="25"/>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1174"/>
        <w:gridCol w:w="2861"/>
        <w:gridCol w:w="1916"/>
        <w:gridCol w:w="1065"/>
        <w:gridCol w:w="749"/>
        <w:gridCol w:w="962"/>
      </w:tblGrid>
      <w:tr w14:paraId="3E8130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672" w:type="pct"/>
            <w:tcBorders>
              <w:tl2br w:val="nil"/>
              <w:tr2bl w:val="nil"/>
            </w:tcBorders>
            <w:vAlign w:val="center"/>
          </w:tcPr>
          <w:p w14:paraId="49D3238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污染物名称</w:t>
            </w:r>
          </w:p>
        </w:tc>
        <w:tc>
          <w:tcPr>
            <w:tcW w:w="1638" w:type="pct"/>
            <w:tcBorders>
              <w:tl2br w:val="nil"/>
              <w:tr2bl w:val="nil"/>
            </w:tcBorders>
            <w:vAlign w:val="center"/>
          </w:tcPr>
          <w:p w14:paraId="167EA84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年评价指标</w:t>
            </w:r>
          </w:p>
        </w:tc>
        <w:tc>
          <w:tcPr>
            <w:tcW w:w="1097" w:type="pct"/>
            <w:tcBorders>
              <w:tl2br w:val="nil"/>
              <w:tr2bl w:val="nil"/>
            </w:tcBorders>
            <w:vAlign w:val="center"/>
          </w:tcPr>
          <w:p w14:paraId="6EA41EC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评价标准（μg/m</w:t>
            </w:r>
            <w:r>
              <w:rPr>
                <w:rFonts w:hint="default"/>
                <w:b/>
                <w:bCs/>
                <w:color w:val="auto"/>
                <w:spacing w:val="0"/>
                <w:w w:val="100"/>
                <w:kern w:val="21"/>
                <w:position w:val="0"/>
                <w:sz w:val="21"/>
                <w:vertAlign w:val="superscript"/>
              </w:rPr>
              <w:t>3</w:t>
            </w:r>
            <w:r>
              <w:rPr>
                <w:rFonts w:hint="default"/>
                <w:b/>
                <w:bCs/>
                <w:color w:val="auto"/>
                <w:spacing w:val="0"/>
                <w:w w:val="100"/>
                <w:kern w:val="21"/>
                <w:position w:val="0"/>
                <w:sz w:val="21"/>
              </w:rPr>
              <w:t>）</w:t>
            </w:r>
          </w:p>
        </w:tc>
        <w:tc>
          <w:tcPr>
            <w:tcW w:w="610" w:type="pct"/>
            <w:tcBorders>
              <w:tl2br w:val="nil"/>
              <w:tr2bl w:val="nil"/>
            </w:tcBorders>
            <w:vAlign w:val="center"/>
          </w:tcPr>
          <w:p w14:paraId="1AC57B9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现状浓度</w:t>
            </w:r>
          </w:p>
          <w:p w14:paraId="4F2C773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（μg/m</w:t>
            </w:r>
            <w:r>
              <w:rPr>
                <w:rFonts w:hint="default"/>
                <w:b/>
                <w:bCs/>
                <w:color w:val="auto"/>
                <w:spacing w:val="0"/>
                <w:w w:val="100"/>
                <w:kern w:val="21"/>
                <w:position w:val="0"/>
                <w:sz w:val="21"/>
                <w:vertAlign w:val="superscript"/>
              </w:rPr>
              <w:t>3</w:t>
            </w:r>
            <w:r>
              <w:rPr>
                <w:rFonts w:hint="default"/>
                <w:b/>
                <w:bCs/>
                <w:color w:val="auto"/>
                <w:spacing w:val="0"/>
                <w:w w:val="100"/>
                <w:kern w:val="21"/>
                <w:position w:val="0"/>
                <w:sz w:val="21"/>
              </w:rPr>
              <w:t>）</w:t>
            </w:r>
          </w:p>
        </w:tc>
        <w:tc>
          <w:tcPr>
            <w:tcW w:w="429" w:type="pct"/>
            <w:tcBorders>
              <w:tl2br w:val="nil"/>
              <w:tr2bl w:val="nil"/>
            </w:tcBorders>
            <w:vAlign w:val="center"/>
          </w:tcPr>
          <w:p w14:paraId="7BCEDA4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占标率</w:t>
            </w:r>
          </w:p>
          <w:p w14:paraId="3DFFB32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w:t>
            </w:r>
          </w:p>
        </w:tc>
        <w:tc>
          <w:tcPr>
            <w:tcW w:w="551" w:type="pct"/>
            <w:tcBorders>
              <w:tl2br w:val="nil"/>
              <w:tr2bl w:val="nil"/>
            </w:tcBorders>
            <w:vAlign w:val="center"/>
          </w:tcPr>
          <w:p w14:paraId="0D41B49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达标情况</w:t>
            </w:r>
          </w:p>
        </w:tc>
      </w:tr>
      <w:tr w14:paraId="70F494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672" w:type="pct"/>
            <w:tcBorders>
              <w:tl2br w:val="nil"/>
              <w:tr2bl w:val="nil"/>
            </w:tcBorders>
            <w:vAlign w:val="center"/>
          </w:tcPr>
          <w:p w14:paraId="6B2986F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SO</w:t>
            </w:r>
            <w:r>
              <w:rPr>
                <w:rFonts w:hint="default"/>
                <w:color w:val="auto"/>
                <w:spacing w:val="0"/>
                <w:w w:val="100"/>
                <w:kern w:val="21"/>
                <w:position w:val="0"/>
                <w:sz w:val="21"/>
                <w:vertAlign w:val="subscript"/>
              </w:rPr>
              <w:t>2</w:t>
            </w:r>
          </w:p>
        </w:tc>
        <w:tc>
          <w:tcPr>
            <w:tcW w:w="1638" w:type="pct"/>
            <w:tcBorders>
              <w:tl2br w:val="nil"/>
              <w:tr2bl w:val="nil"/>
            </w:tcBorders>
            <w:vAlign w:val="center"/>
          </w:tcPr>
          <w:p w14:paraId="4B47FBD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年平均</w:t>
            </w:r>
          </w:p>
        </w:tc>
        <w:tc>
          <w:tcPr>
            <w:tcW w:w="1097" w:type="pct"/>
            <w:tcBorders>
              <w:tl2br w:val="nil"/>
              <w:tr2bl w:val="nil"/>
            </w:tcBorders>
            <w:vAlign w:val="center"/>
          </w:tcPr>
          <w:p w14:paraId="102A035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60</w:t>
            </w:r>
          </w:p>
        </w:tc>
        <w:tc>
          <w:tcPr>
            <w:tcW w:w="610" w:type="pct"/>
            <w:tcBorders>
              <w:tl2br w:val="nil"/>
              <w:tr2bl w:val="nil"/>
            </w:tcBorders>
            <w:vAlign w:val="center"/>
          </w:tcPr>
          <w:p w14:paraId="50848335">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eastAsia" w:eastAsia="宋体"/>
                <w:color w:val="auto"/>
                <w:spacing w:val="0"/>
                <w:w w:val="100"/>
                <w:kern w:val="21"/>
                <w:position w:val="0"/>
                <w:sz w:val="21"/>
                <w:lang w:eastAsia="zh-CN"/>
              </w:rPr>
            </w:pPr>
            <w:r>
              <w:rPr>
                <w:rFonts w:hint="eastAsia"/>
                <w:color w:val="auto"/>
                <w:spacing w:val="0"/>
                <w:w w:val="100"/>
                <w:kern w:val="21"/>
                <w:position w:val="0"/>
                <w:sz w:val="21"/>
                <w:lang w:val="en-US" w:eastAsia="zh-CN"/>
              </w:rPr>
              <w:t>6</w:t>
            </w:r>
          </w:p>
        </w:tc>
        <w:tc>
          <w:tcPr>
            <w:tcW w:w="429" w:type="pct"/>
            <w:tcBorders>
              <w:tl2br w:val="nil"/>
              <w:tr2bl w:val="nil"/>
            </w:tcBorders>
            <w:vAlign w:val="center"/>
          </w:tcPr>
          <w:p w14:paraId="2B4AE06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eastAsia="宋体"/>
                <w:color w:val="auto"/>
                <w:spacing w:val="0"/>
                <w:w w:val="100"/>
                <w:kern w:val="21"/>
                <w:position w:val="0"/>
                <w:sz w:val="21"/>
                <w:lang w:val="en-US" w:eastAsia="zh-CN"/>
              </w:rPr>
            </w:pPr>
            <w:r>
              <w:rPr>
                <w:rFonts w:hint="default"/>
                <w:color w:val="auto"/>
                <w:spacing w:val="0"/>
                <w:w w:val="100"/>
                <w:kern w:val="21"/>
                <w:position w:val="0"/>
                <w:sz w:val="21"/>
              </w:rPr>
              <w:t>1</w:t>
            </w:r>
            <w:r>
              <w:rPr>
                <w:rFonts w:hint="eastAsia"/>
                <w:color w:val="auto"/>
                <w:spacing w:val="0"/>
                <w:w w:val="100"/>
                <w:kern w:val="21"/>
                <w:position w:val="0"/>
                <w:sz w:val="21"/>
                <w:lang w:val="en-US" w:eastAsia="zh-CN"/>
              </w:rPr>
              <w:t>0.00</w:t>
            </w:r>
          </w:p>
        </w:tc>
        <w:tc>
          <w:tcPr>
            <w:tcW w:w="551" w:type="pct"/>
            <w:tcBorders>
              <w:tl2br w:val="nil"/>
              <w:tr2bl w:val="nil"/>
            </w:tcBorders>
            <w:vAlign w:val="center"/>
          </w:tcPr>
          <w:p w14:paraId="1D5AC20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达标</w:t>
            </w:r>
          </w:p>
        </w:tc>
      </w:tr>
      <w:tr w14:paraId="2A884D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672" w:type="pct"/>
            <w:tcBorders>
              <w:tl2br w:val="nil"/>
              <w:tr2bl w:val="nil"/>
            </w:tcBorders>
            <w:vAlign w:val="center"/>
          </w:tcPr>
          <w:p w14:paraId="42F7ED6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NO</w:t>
            </w:r>
            <w:r>
              <w:rPr>
                <w:rFonts w:hint="default"/>
                <w:color w:val="auto"/>
                <w:spacing w:val="0"/>
                <w:w w:val="100"/>
                <w:kern w:val="21"/>
                <w:position w:val="0"/>
                <w:sz w:val="21"/>
                <w:vertAlign w:val="subscript"/>
              </w:rPr>
              <w:t>2</w:t>
            </w:r>
          </w:p>
        </w:tc>
        <w:tc>
          <w:tcPr>
            <w:tcW w:w="1638" w:type="pct"/>
            <w:tcBorders>
              <w:tl2br w:val="nil"/>
              <w:tr2bl w:val="nil"/>
            </w:tcBorders>
            <w:vAlign w:val="center"/>
          </w:tcPr>
          <w:p w14:paraId="301BEDC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年平均</w:t>
            </w:r>
          </w:p>
        </w:tc>
        <w:tc>
          <w:tcPr>
            <w:tcW w:w="1097" w:type="pct"/>
            <w:tcBorders>
              <w:tl2br w:val="nil"/>
              <w:tr2bl w:val="nil"/>
            </w:tcBorders>
            <w:vAlign w:val="center"/>
          </w:tcPr>
          <w:p w14:paraId="30D6C3B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40</w:t>
            </w:r>
          </w:p>
        </w:tc>
        <w:tc>
          <w:tcPr>
            <w:tcW w:w="610" w:type="pct"/>
            <w:tcBorders>
              <w:tl2br w:val="nil"/>
              <w:tr2bl w:val="nil"/>
            </w:tcBorders>
            <w:vAlign w:val="center"/>
          </w:tcPr>
          <w:p w14:paraId="2EA4908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29</w:t>
            </w:r>
          </w:p>
        </w:tc>
        <w:tc>
          <w:tcPr>
            <w:tcW w:w="429" w:type="pct"/>
            <w:tcBorders>
              <w:tl2br w:val="nil"/>
              <w:tr2bl w:val="nil"/>
            </w:tcBorders>
            <w:vAlign w:val="center"/>
          </w:tcPr>
          <w:p w14:paraId="1FA3B8F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72.50</w:t>
            </w:r>
          </w:p>
        </w:tc>
        <w:tc>
          <w:tcPr>
            <w:tcW w:w="551" w:type="pct"/>
            <w:tcBorders>
              <w:tl2br w:val="nil"/>
              <w:tr2bl w:val="nil"/>
            </w:tcBorders>
            <w:vAlign w:val="center"/>
          </w:tcPr>
          <w:p w14:paraId="3461910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达标</w:t>
            </w:r>
          </w:p>
        </w:tc>
      </w:tr>
      <w:tr w14:paraId="53461D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672" w:type="pct"/>
            <w:tcBorders>
              <w:tl2br w:val="nil"/>
              <w:tr2bl w:val="nil"/>
            </w:tcBorders>
            <w:shd w:val="clear" w:color="auto" w:fill="D7D7D7"/>
            <w:vAlign w:val="center"/>
          </w:tcPr>
          <w:p w14:paraId="2E3F3AB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PM</w:t>
            </w:r>
            <w:r>
              <w:rPr>
                <w:rFonts w:hint="default"/>
                <w:color w:val="auto"/>
                <w:spacing w:val="0"/>
                <w:w w:val="100"/>
                <w:kern w:val="21"/>
                <w:position w:val="0"/>
                <w:sz w:val="21"/>
                <w:vertAlign w:val="subscript"/>
              </w:rPr>
              <w:t>10</w:t>
            </w:r>
          </w:p>
        </w:tc>
        <w:tc>
          <w:tcPr>
            <w:tcW w:w="1638" w:type="pct"/>
            <w:tcBorders>
              <w:tl2br w:val="nil"/>
              <w:tr2bl w:val="nil"/>
            </w:tcBorders>
            <w:shd w:val="clear" w:color="auto" w:fill="D7D7D7"/>
            <w:vAlign w:val="center"/>
          </w:tcPr>
          <w:p w14:paraId="2885981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年平均</w:t>
            </w:r>
          </w:p>
        </w:tc>
        <w:tc>
          <w:tcPr>
            <w:tcW w:w="1097" w:type="pct"/>
            <w:tcBorders>
              <w:tl2br w:val="nil"/>
              <w:tr2bl w:val="nil"/>
            </w:tcBorders>
            <w:shd w:val="clear" w:color="auto" w:fill="D7D7D7"/>
            <w:vAlign w:val="center"/>
          </w:tcPr>
          <w:p w14:paraId="5CFACC6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60</w:t>
            </w:r>
          </w:p>
        </w:tc>
        <w:tc>
          <w:tcPr>
            <w:tcW w:w="610" w:type="pct"/>
            <w:tcBorders>
              <w:tl2br w:val="nil"/>
              <w:tr2bl w:val="nil"/>
            </w:tcBorders>
            <w:shd w:val="clear" w:color="auto" w:fill="D7D7D7"/>
            <w:vAlign w:val="center"/>
          </w:tcPr>
          <w:p w14:paraId="31DABD6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62</w:t>
            </w:r>
          </w:p>
        </w:tc>
        <w:tc>
          <w:tcPr>
            <w:tcW w:w="429" w:type="pct"/>
            <w:tcBorders>
              <w:tl2br w:val="nil"/>
              <w:tr2bl w:val="nil"/>
            </w:tcBorders>
            <w:shd w:val="clear" w:color="auto" w:fill="D7D7D7"/>
            <w:vAlign w:val="center"/>
          </w:tcPr>
          <w:p w14:paraId="0924E65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eastAsia="宋体"/>
                <w:color w:val="auto"/>
                <w:spacing w:val="0"/>
                <w:w w:val="100"/>
                <w:kern w:val="21"/>
                <w:position w:val="0"/>
                <w:sz w:val="21"/>
                <w:lang w:val="en-US" w:eastAsia="zh-CN"/>
              </w:rPr>
            </w:pPr>
            <w:r>
              <w:rPr>
                <w:rFonts w:hint="default"/>
                <w:color w:val="auto"/>
                <w:spacing w:val="0"/>
                <w:w w:val="100"/>
                <w:kern w:val="21"/>
                <w:position w:val="0"/>
                <w:sz w:val="21"/>
              </w:rPr>
              <w:t>1</w:t>
            </w:r>
            <w:r>
              <w:rPr>
                <w:rFonts w:hint="eastAsia"/>
                <w:color w:val="auto"/>
                <w:spacing w:val="0"/>
                <w:w w:val="100"/>
                <w:kern w:val="21"/>
                <w:position w:val="0"/>
                <w:sz w:val="21"/>
                <w:lang w:val="en-US" w:eastAsia="zh-CN"/>
              </w:rPr>
              <w:t>03.33</w:t>
            </w:r>
          </w:p>
        </w:tc>
        <w:tc>
          <w:tcPr>
            <w:tcW w:w="551" w:type="pct"/>
            <w:tcBorders>
              <w:tl2br w:val="nil"/>
              <w:tr2bl w:val="nil"/>
            </w:tcBorders>
            <w:shd w:val="clear" w:color="auto" w:fill="D7D7D7"/>
            <w:vAlign w:val="center"/>
          </w:tcPr>
          <w:p w14:paraId="0DD8810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超标</w:t>
            </w:r>
          </w:p>
        </w:tc>
      </w:tr>
      <w:tr w14:paraId="6DE665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672" w:type="pct"/>
            <w:tcBorders>
              <w:tl2br w:val="nil"/>
              <w:tr2bl w:val="nil"/>
            </w:tcBorders>
            <w:shd w:val="clear" w:color="auto" w:fill="D7D7D7"/>
            <w:vAlign w:val="center"/>
          </w:tcPr>
          <w:p w14:paraId="6CE8682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PM</w:t>
            </w:r>
            <w:r>
              <w:rPr>
                <w:rFonts w:hint="default"/>
                <w:color w:val="auto"/>
                <w:spacing w:val="0"/>
                <w:w w:val="100"/>
                <w:kern w:val="21"/>
                <w:position w:val="0"/>
                <w:sz w:val="21"/>
                <w:vertAlign w:val="subscript"/>
              </w:rPr>
              <w:t>2.5</w:t>
            </w:r>
          </w:p>
        </w:tc>
        <w:tc>
          <w:tcPr>
            <w:tcW w:w="1638" w:type="pct"/>
            <w:tcBorders>
              <w:tl2br w:val="nil"/>
              <w:tr2bl w:val="nil"/>
            </w:tcBorders>
            <w:shd w:val="clear" w:color="auto" w:fill="D7D7D7"/>
            <w:vAlign w:val="center"/>
          </w:tcPr>
          <w:p w14:paraId="1066C1B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年平均</w:t>
            </w:r>
          </w:p>
        </w:tc>
        <w:tc>
          <w:tcPr>
            <w:tcW w:w="1097" w:type="pct"/>
            <w:tcBorders>
              <w:tl2br w:val="nil"/>
              <w:tr2bl w:val="nil"/>
            </w:tcBorders>
            <w:shd w:val="clear" w:color="auto" w:fill="D7D7D7"/>
            <w:vAlign w:val="center"/>
          </w:tcPr>
          <w:p w14:paraId="618E236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eastAsia" w:eastAsia="宋体"/>
                <w:color w:val="auto"/>
                <w:spacing w:val="0"/>
                <w:w w:val="100"/>
                <w:kern w:val="21"/>
                <w:position w:val="0"/>
                <w:sz w:val="21"/>
                <w:lang w:val="en-US" w:eastAsia="zh-CN"/>
              </w:rPr>
            </w:pPr>
            <w:r>
              <w:rPr>
                <w:rFonts w:hint="default"/>
                <w:color w:val="auto"/>
                <w:spacing w:val="0"/>
                <w:w w:val="100"/>
                <w:kern w:val="21"/>
                <w:position w:val="0"/>
                <w:sz w:val="21"/>
              </w:rPr>
              <w:t>3</w:t>
            </w:r>
            <w:r>
              <w:rPr>
                <w:rFonts w:hint="eastAsia"/>
                <w:color w:val="auto"/>
                <w:spacing w:val="0"/>
                <w:w w:val="100"/>
                <w:kern w:val="21"/>
                <w:position w:val="0"/>
                <w:sz w:val="21"/>
                <w:lang w:val="en-US" w:eastAsia="zh-CN"/>
              </w:rPr>
              <w:t>0</w:t>
            </w:r>
          </w:p>
        </w:tc>
        <w:tc>
          <w:tcPr>
            <w:tcW w:w="610" w:type="pct"/>
            <w:tcBorders>
              <w:tl2br w:val="nil"/>
              <w:tr2bl w:val="nil"/>
            </w:tcBorders>
            <w:shd w:val="clear" w:color="auto" w:fill="D7D7D7"/>
            <w:vAlign w:val="center"/>
          </w:tcPr>
          <w:p w14:paraId="55D3029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35</w:t>
            </w:r>
          </w:p>
        </w:tc>
        <w:tc>
          <w:tcPr>
            <w:tcW w:w="429" w:type="pct"/>
            <w:tcBorders>
              <w:tl2br w:val="nil"/>
              <w:tr2bl w:val="nil"/>
            </w:tcBorders>
            <w:shd w:val="clear" w:color="auto" w:fill="D7D7D7"/>
            <w:vAlign w:val="center"/>
          </w:tcPr>
          <w:p w14:paraId="424FCD2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116.67</w:t>
            </w:r>
          </w:p>
        </w:tc>
        <w:tc>
          <w:tcPr>
            <w:tcW w:w="551" w:type="pct"/>
            <w:tcBorders>
              <w:tl2br w:val="nil"/>
              <w:tr2bl w:val="nil"/>
            </w:tcBorders>
            <w:shd w:val="clear" w:color="auto" w:fill="D7D7D7"/>
            <w:vAlign w:val="center"/>
          </w:tcPr>
          <w:p w14:paraId="266195C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超标</w:t>
            </w:r>
          </w:p>
        </w:tc>
      </w:tr>
      <w:tr w14:paraId="43061C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672" w:type="pct"/>
            <w:tcBorders>
              <w:tl2br w:val="nil"/>
              <w:tr2bl w:val="nil"/>
            </w:tcBorders>
            <w:vAlign w:val="center"/>
          </w:tcPr>
          <w:p w14:paraId="14AE572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CO</w:t>
            </w:r>
          </w:p>
        </w:tc>
        <w:tc>
          <w:tcPr>
            <w:tcW w:w="1638" w:type="pct"/>
            <w:tcBorders>
              <w:tl2br w:val="nil"/>
              <w:tr2bl w:val="nil"/>
            </w:tcBorders>
            <w:vAlign w:val="center"/>
          </w:tcPr>
          <w:p w14:paraId="3A26EE6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24h平均第95百分位数</w:t>
            </w:r>
          </w:p>
        </w:tc>
        <w:tc>
          <w:tcPr>
            <w:tcW w:w="1097" w:type="pct"/>
            <w:tcBorders>
              <w:tl2br w:val="nil"/>
              <w:tr2bl w:val="nil"/>
            </w:tcBorders>
            <w:vAlign w:val="center"/>
          </w:tcPr>
          <w:p w14:paraId="65405F7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4mg/m</w:t>
            </w:r>
            <w:r>
              <w:rPr>
                <w:rFonts w:hint="default"/>
                <w:color w:val="auto"/>
                <w:spacing w:val="0"/>
                <w:w w:val="100"/>
                <w:kern w:val="21"/>
                <w:position w:val="0"/>
                <w:sz w:val="21"/>
                <w:vertAlign w:val="superscript"/>
              </w:rPr>
              <w:t>3</w:t>
            </w:r>
          </w:p>
        </w:tc>
        <w:tc>
          <w:tcPr>
            <w:tcW w:w="610" w:type="pct"/>
            <w:tcBorders>
              <w:tl2br w:val="nil"/>
              <w:tr2bl w:val="nil"/>
            </w:tcBorders>
            <w:vAlign w:val="center"/>
          </w:tcPr>
          <w:p w14:paraId="4C59D87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eastAsia"/>
                <w:color w:val="auto"/>
                <w:spacing w:val="0"/>
                <w:w w:val="100"/>
                <w:kern w:val="21"/>
                <w:position w:val="0"/>
                <w:sz w:val="21"/>
                <w:lang w:val="en-US" w:eastAsia="zh-CN"/>
              </w:rPr>
              <w:t>1.4</w:t>
            </w:r>
            <w:r>
              <w:rPr>
                <w:rFonts w:hint="default"/>
                <w:color w:val="auto"/>
                <w:spacing w:val="0"/>
                <w:w w:val="100"/>
                <w:kern w:val="21"/>
                <w:position w:val="0"/>
                <w:sz w:val="21"/>
              </w:rPr>
              <w:t>mg/m</w:t>
            </w:r>
            <w:r>
              <w:rPr>
                <w:rFonts w:hint="default"/>
                <w:color w:val="auto"/>
                <w:spacing w:val="0"/>
                <w:w w:val="100"/>
                <w:kern w:val="21"/>
                <w:position w:val="0"/>
                <w:sz w:val="21"/>
                <w:vertAlign w:val="superscript"/>
              </w:rPr>
              <w:t>3</w:t>
            </w:r>
          </w:p>
        </w:tc>
        <w:tc>
          <w:tcPr>
            <w:tcW w:w="429" w:type="pct"/>
            <w:tcBorders>
              <w:tl2br w:val="nil"/>
              <w:tr2bl w:val="nil"/>
            </w:tcBorders>
            <w:vAlign w:val="center"/>
          </w:tcPr>
          <w:p w14:paraId="33E5AB0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35.00</w:t>
            </w:r>
          </w:p>
        </w:tc>
        <w:tc>
          <w:tcPr>
            <w:tcW w:w="551" w:type="pct"/>
            <w:tcBorders>
              <w:tl2br w:val="nil"/>
              <w:tr2bl w:val="nil"/>
            </w:tcBorders>
            <w:vAlign w:val="center"/>
          </w:tcPr>
          <w:p w14:paraId="2C23DED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达标</w:t>
            </w:r>
          </w:p>
        </w:tc>
      </w:tr>
      <w:tr w14:paraId="5ED441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672" w:type="pct"/>
            <w:tcBorders>
              <w:tl2br w:val="nil"/>
              <w:tr2bl w:val="nil"/>
            </w:tcBorders>
            <w:vAlign w:val="center"/>
          </w:tcPr>
          <w:p w14:paraId="0EC57C6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O</w:t>
            </w:r>
            <w:r>
              <w:rPr>
                <w:rFonts w:hint="default"/>
                <w:color w:val="auto"/>
                <w:spacing w:val="0"/>
                <w:w w:val="100"/>
                <w:kern w:val="21"/>
                <w:position w:val="0"/>
                <w:sz w:val="21"/>
                <w:vertAlign w:val="subscript"/>
              </w:rPr>
              <w:t>3</w:t>
            </w:r>
          </w:p>
        </w:tc>
        <w:tc>
          <w:tcPr>
            <w:tcW w:w="1638" w:type="pct"/>
            <w:tcBorders>
              <w:tl2br w:val="nil"/>
              <w:tr2bl w:val="nil"/>
            </w:tcBorders>
            <w:vAlign w:val="center"/>
          </w:tcPr>
          <w:p w14:paraId="3C591E9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日最大8h平均第90百分位数</w:t>
            </w:r>
          </w:p>
        </w:tc>
        <w:tc>
          <w:tcPr>
            <w:tcW w:w="1097" w:type="pct"/>
            <w:tcBorders>
              <w:tl2br w:val="nil"/>
              <w:tr2bl w:val="nil"/>
            </w:tcBorders>
            <w:vAlign w:val="center"/>
          </w:tcPr>
          <w:p w14:paraId="262BCA3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160</w:t>
            </w:r>
          </w:p>
        </w:tc>
        <w:tc>
          <w:tcPr>
            <w:tcW w:w="610" w:type="pct"/>
            <w:tcBorders>
              <w:tl2br w:val="nil"/>
              <w:tr2bl w:val="nil"/>
            </w:tcBorders>
            <w:vAlign w:val="center"/>
          </w:tcPr>
          <w:p w14:paraId="5DE1D22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128</w:t>
            </w:r>
          </w:p>
        </w:tc>
        <w:tc>
          <w:tcPr>
            <w:tcW w:w="429" w:type="pct"/>
            <w:tcBorders>
              <w:tl2br w:val="nil"/>
              <w:tr2bl w:val="nil"/>
            </w:tcBorders>
            <w:vAlign w:val="center"/>
          </w:tcPr>
          <w:p w14:paraId="677A2B8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80.00</w:t>
            </w:r>
          </w:p>
        </w:tc>
        <w:tc>
          <w:tcPr>
            <w:tcW w:w="551" w:type="pct"/>
            <w:tcBorders>
              <w:tl2br w:val="nil"/>
              <w:tr2bl w:val="nil"/>
            </w:tcBorders>
            <w:vAlign w:val="center"/>
          </w:tcPr>
          <w:p w14:paraId="6B5B575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达标</w:t>
            </w:r>
          </w:p>
        </w:tc>
      </w:tr>
    </w:tbl>
    <w:p w14:paraId="3FF85D24">
      <w:pPr>
        <w:keepNext w:val="0"/>
        <w:keepLines w:val="0"/>
        <w:pageBreakBefore w:val="0"/>
        <w:widowControl w:val="0"/>
        <w:kinsoku/>
        <w:wordWrap/>
        <w:overflowPunct/>
        <w:topLinePunct w:val="0"/>
        <w:autoSpaceDE/>
        <w:autoSpaceDN/>
        <w:bidi w:val="0"/>
        <w:ind w:firstLine="480"/>
        <w:rPr>
          <w:rFonts w:hint="default" w:ascii="Times New Roman" w:hAnsi="Times New Roman" w:cs="Times New Roman"/>
          <w:color w:val="auto"/>
          <w:spacing w:val="0"/>
          <w:w w:val="100"/>
          <w:kern w:val="21"/>
          <w:position w:val="0"/>
          <w:szCs w:val="24"/>
        </w:rPr>
      </w:pPr>
      <w:r>
        <w:rPr>
          <w:rFonts w:hint="default" w:ascii="Times New Roman" w:hAnsi="Times New Roman" w:cs="Times New Roman"/>
          <w:color w:val="auto"/>
          <w:spacing w:val="0"/>
          <w:w w:val="100"/>
          <w:kern w:val="21"/>
          <w:position w:val="0"/>
          <w:szCs w:val="24"/>
        </w:rPr>
        <w:t>由上表可知，</w:t>
      </w:r>
      <w:r>
        <w:rPr>
          <w:rFonts w:hint="default" w:ascii="Times New Roman" w:hAnsi="Times New Roman" w:cs="Times New Roman"/>
          <w:color w:val="auto"/>
          <w:spacing w:val="0"/>
          <w:w w:val="100"/>
          <w:kern w:val="21"/>
          <w:position w:val="0"/>
          <w:szCs w:val="24"/>
          <w:lang w:val="en-US" w:eastAsia="zh-CN"/>
        </w:rPr>
        <w:t>乌鲁木齐市2025年SO</w:t>
      </w:r>
      <w:r>
        <w:rPr>
          <w:rFonts w:hint="default" w:ascii="Times New Roman" w:hAnsi="Times New Roman" w:cs="Times New Roman"/>
          <w:color w:val="auto"/>
          <w:spacing w:val="0"/>
          <w:w w:val="100"/>
          <w:kern w:val="21"/>
          <w:position w:val="0"/>
          <w:szCs w:val="24"/>
          <w:vertAlign w:val="subscript"/>
          <w:lang w:val="en-US" w:eastAsia="zh-CN"/>
        </w:rPr>
        <w:t>2</w:t>
      </w:r>
      <w:r>
        <w:rPr>
          <w:rFonts w:hint="default" w:ascii="Times New Roman" w:hAnsi="Times New Roman" w:cs="Times New Roman"/>
          <w:color w:val="auto"/>
          <w:spacing w:val="0"/>
          <w:w w:val="100"/>
          <w:kern w:val="21"/>
          <w:position w:val="0"/>
          <w:szCs w:val="24"/>
          <w:lang w:val="en-US" w:eastAsia="zh-CN"/>
        </w:rPr>
        <w:t>、NO</w:t>
      </w:r>
      <w:r>
        <w:rPr>
          <w:rFonts w:hint="default" w:ascii="Times New Roman" w:hAnsi="Times New Roman" w:cs="Times New Roman"/>
          <w:color w:val="auto"/>
          <w:spacing w:val="0"/>
          <w:w w:val="100"/>
          <w:kern w:val="21"/>
          <w:position w:val="0"/>
          <w:szCs w:val="24"/>
          <w:vertAlign w:val="subscript"/>
          <w:lang w:val="en-US" w:eastAsia="zh-CN"/>
        </w:rPr>
        <w:t>2</w:t>
      </w:r>
      <w:r>
        <w:rPr>
          <w:rFonts w:hint="default" w:ascii="Times New Roman" w:hAnsi="Times New Roman" w:cs="Times New Roman"/>
          <w:color w:val="auto"/>
          <w:spacing w:val="0"/>
          <w:w w:val="100"/>
          <w:kern w:val="21"/>
          <w:position w:val="0"/>
          <w:szCs w:val="24"/>
          <w:lang w:val="en-US" w:eastAsia="zh-CN"/>
        </w:rPr>
        <w:t>、PM</w:t>
      </w:r>
      <w:r>
        <w:rPr>
          <w:rFonts w:hint="default" w:ascii="Times New Roman" w:hAnsi="Times New Roman" w:cs="Times New Roman"/>
          <w:color w:val="auto"/>
          <w:spacing w:val="0"/>
          <w:w w:val="100"/>
          <w:kern w:val="21"/>
          <w:position w:val="0"/>
          <w:szCs w:val="24"/>
          <w:vertAlign w:val="subscript"/>
          <w:lang w:val="en-US" w:eastAsia="zh-CN"/>
        </w:rPr>
        <w:t>10</w:t>
      </w:r>
      <w:r>
        <w:rPr>
          <w:rFonts w:hint="default" w:ascii="Times New Roman" w:hAnsi="Times New Roman" w:cs="Times New Roman"/>
          <w:color w:val="auto"/>
          <w:spacing w:val="0"/>
          <w:w w:val="100"/>
          <w:kern w:val="21"/>
          <w:position w:val="0"/>
          <w:szCs w:val="24"/>
          <w:lang w:val="en-US" w:eastAsia="zh-CN"/>
        </w:rPr>
        <w:t>、PM</w:t>
      </w:r>
      <w:r>
        <w:rPr>
          <w:rFonts w:hint="default" w:ascii="Times New Roman" w:hAnsi="Times New Roman" w:cs="Times New Roman"/>
          <w:color w:val="auto"/>
          <w:spacing w:val="0"/>
          <w:w w:val="100"/>
          <w:kern w:val="21"/>
          <w:position w:val="0"/>
          <w:szCs w:val="24"/>
          <w:vertAlign w:val="subscript"/>
          <w:lang w:val="en-US" w:eastAsia="zh-CN"/>
        </w:rPr>
        <w:t>2.5</w:t>
      </w:r>
      <w:r>
        <w:rPr>
          <w:rFonts w:hint="default" w:ascii="Times New Roman" w:hAnsi="Times New Roman" w:cs="Times New Roman"/>
          <w:color w:val="auto"/>
          <w:spacing w:val="0"/>
          <w:w w:val="100"/>
          <w:kern w:val="21"/>
          <w:position w:val="0"/>
          <w:szCs w:val="24"/>
          <w:lang w:val="en-US" w:eastAsia="zh-CN"/>
        </w:rPr>
        <w:t>年均浓度分别为6μg/m</w:t>
      </w:r>
      <w:r>
        <w:rPr>
          <w:rFonts w:hint="default" w:ascii="Times New Roman" w:hAnsi="Times New Roman" w:cs="Times New Roman"/>
          <w:color w:val="auto"/>
          <w:spacing w:val="0"/>
          <w:w w:val="100"/>
          <w:kern w:val="21"/>
          <w:position w:val="0"/>
          <w:szCs w:val="24"/>
          <w:vertAlign w:val="superscript"/>
          <w:lang w:val="en-US" w:eastAsia="zh-CN"/>
        </w:rPr>
        <w:t>3</w:t>
      </w:r>
      <w:r>
        <w:rPr>
          <w:rFonts w:hint="default" w:ascii="Times New Roman" w:hAnsi="Times New Roman" w:cs="Times New Roman"/>
          <w:color w:val="auto"/>
          <w:spacing w:val="0"/>
          <w:w w:val="100"/>
          <w:kern w:val="21"/>
          <w:position w:val="0"/>
          <w:szCs w:val="24"/>
          <w:lang w:val="en-US" w:eastAsia="zh-CN"/>
        </w:rPr>
        <w:t>、29μg/m</w:t>
      </w:r>
      <w:r>
        <w:rPr>
          <w:rFonts w:hint="default" w:ascii="Times New Roman" w:hAnsi="Times New Roman" w:cs="Times New Roman"/>
          <w:color w:val="auto"/>
          <w:spacing w:val="0"/>
          <w:w w:val="100"/>
          <w:kern w:val="21"/>
          <w:position w:val="0"/>
          <w:szCs w:val="24"/>
          <w:vertAlign w:val="superscript"/>
          <w:lang w:val="en-US" w:eastAsia="zh-CN"/>
        </w:rPr>
        <w:t>3</w:t>
      </w:r>
      <w:r>
        <w:rPr>
          <w:rFonts w:hint="default" w:ascii="Times New Roman" w:hAnsi="Times New Roman" w:cs="Times New Roman"/>
          <w:color w:val="auto"/>
          <w:spacing w:val="0"/>
          <w:w w:val="100"/>
          <w:kern w:val="21"/>
          <w:position w:val="0"/>
          <w:szCs w:val="24"/>
          <w:lang w:val="en-US" w:eastAsia="zh-CN"/>
        </w:rPr>
        <w:t>、62μg/m</w:t>
      </w:r>
      <w:r>
        <w:rPr>
          <w:rFonts w:hint="default" w:ascii="Times New Roman" w:hAnsi="Times New Roman" w:cs="Times New Roman"/>
          <w:color w:val="auto"/>
          <w:spacing w:val="0"/>
          <w:w w:val="100"/>
          <w:kern w:val="21"/>
          <w:position w:val="0"/>
          <w:szCs w:val="24"/>
          <w:vertAlign w:val="superscript"/>
          <w:lang w:val="en-US" w:eastAsia="zh-CN"/>
        </w:rPr>
        <w:t>3</w:t>
      </w:r>
      <w:r>
        <w:rPr>
          <w:rFonts w:hint="default" w:ascii="Times New Roman" w:hAnsi="Times New Roman" w:cs="Times New Roman"/>
          <w:color w:val="auto"/>
          <w:spacing w:val="0"/>
          <w:w w:val="100"/>
          <w:kern w:val="21"/>
          <w:position w:val="0"/>
          <w:szCs w:val="24"/>
          <w:lang w:val="en-US" w:eastAsia="zh-CN"/>
        </w:rPr>
        <w:t>、35μg/m</w:t>
      </w:r>
      <w:r>
        <w:rPr>
          <w:rFonts w:hint="default" w:ascii="Times New Roman" w:hAnsi="Times New Roman" w:cs="Times New Roman"/>
          <w:color w:val="auto"/>
          <w:spacing w:val="0"/>
          <w:w w:val="100"/>
          <w:kern w:val="21"/>
          <w:position w:val="0"/>
          <w:szCs w:val="24"/>
          <w:vertAlign w:val="superscript"/>
          <w:lang w:val="en-US" w:eastAsia="zh-CN"/>
        </w:rPr>
        <w:t>3</w:t>
      </w:r>
      <w:r>
        <w:rPr>
          <w:rFonts w:hint="default" w:ascii="Times New Roman" w:hAnsi="Times New Roman" w:cs="Times New Roman"/>
          <w:color w:val="auto"/>
          <w:spacing w:val="0"/>
          <w:w w:val="100"/>
          <w:kern w:val="21"/>
          <w:position w:val="0"/>
          <w:szCs w:val="24"/>
          <w:lang w:val="en-US" w:eastAsia="zh-CN"/>
        </w:rPr>
        <w:t>；CO24小时平均第95百分位数为1.4mg/m</w:t>
      </w:r>
      <w:r>
        <w:rPr>
          <w:rFonts w:hint="default" w:ascii="Times New Roman" w:hAnsi="Times New Roman" w:cs="Times New Roman"/>
          <w:color w:val="auto"/>
          <w:spacing w:val="0"/>
          <w:w w:val="100"/>
          <w:kern w:val="21"/>
          <w:position w:val="0"/>
          <w:szCs w:val="24"/>
          <w:vertAlign w:val="superscript"/>
          <w:lang w:val="en-US" w:eastAsia="zh-CN"/>
        </w:rPr>
        <w:t>3</w:t>
      </w:r>
      <w:r>
        <w:rPr>
          <w:rFonts w:hint="default" w:ascii="Times New Roman" w:hAnsi="Times New Roman" w:cs="Times New Roman"/>
          <w:color w:val="auto"/>
          <w:spacing w:val="0"/>
          <w:w w:val="100"/>
          <w:kern w:val="21"/>
          <w:position w:val="0"/>
          <w:szCs w:val="24"/>
          <w:lang w:val="en-US" w:eastAsia="zh-CN"/>
        </w:rPr>
        <w:t>，O</w:t>
      </w:r>
      <w:r>
        <w:rPr>
          <w:rFonts w:hint="default" w:ascii="Times New Roman" w:hAnsi="Times New Roman" w:cs="Times New Roman"/>
          <w:color w:val="auto"/>
          <w:spacing w:val="0"/>
          <w:w w:val="100"/>
          <w:kern w:val="21"/>
          <w:position w:val="0"/>
          <w:szCs w:val="24"/>
          <w:vertAlign w:val="subscript"/>
          <w:lang w:val="en-US" w:eastAsia="zh-CN"/>
        </w:rPr>
        <w:t>3</w:t>
      </w:r>
      <w:r>
        <w:rPr>
          <w:rFonts w:hint="default" w:ascii="Times New Roman" w:hAnsi="Times New Roman" w:cs="Times New Roman"/>
          <w:color w:val="auto"/>
          <w:spacing w:val="0"/>
          <w:w w:val="100"/>
          <w:kern w:val="21"/>
          <w:position w:val="0"/>
          <w:szCs w:val="24"/>
          <w:lang w:val="en-US" w:eastAsia="zh-CN"/>
        </w:rPr>
        <w:t>日最大8小时平均第90百分位数为128μg/m</w:t>
      </w:r>
      <w:r>
        <w:rPr>
          <w:rFonts w:hint="default" w:ascii="Times New Roman" w:hAnsi="Times New Roman" w:cs="Times New Roman"/>
          <w:color w:val="auto"/>
          <w:spacing w:val="0"/>
          <w:w w:val="100"/>
          <w:kern w:val="21"/>
          <w:position w:val="0"/>
          <w:szCs w:val="24"/>
          <w:vertAlign w:val="superscript"/>
          <w:lang w:val="en-US" w:eastAsia="zh-CN"/>
        </w:rPr>
        <w:t>3</w:t>
      </w:r>
      <w:r>
        <w:rPr>
          <w:rFonts w:hint="default" w:ascii="Times New Roman" w:hAnsi="Times New Roman" w:cs="Times New Roman"/>
          <w:color w:val="auto"/>
          <w:spacing w:val="0"/>
          <w:w w:val="100"/>
          <w:kern w:val="21"/>
          <w:position w:val="0"/>
          <w:szCs w:val="24"/>
          <w:lang w:val="en-US" w:eastAsia="zh-CN"/>
        </w:rPr>
        <w:t>；各污染物平均浓度均优于</w:t>
      </w:r>
      <w:r>
        <w:rPr>
          <w:color w:val="auto"/>
          <w:spacing w:val="0"/>
          <w:w w:val="100"/>
          <w:kern w:val="21"/>
          <w:position w:val="0"/>
          <w:szCs w:val="24"/>
        </w:rPr>
        <w:t>《环境空气质量标准》（GB3095-20</w:t>
      </w:r>
      <w:r>
        <w:rPr>
          <w:rFonts w:hint="eastAsia"/>
          <w:color w:val="auto"/>
          <w:spacing w:val="0"/>
          <w:w w:val="100"/>
          <w:kern w:val="21"/>
          <w:position w:val="0"/>
          <w:szCs w:val="24"/>
          <w:lang w:val="en-US" w:eastAsia="zh-CN"/>
        </w:rPr>
        <w:t>26</w:t>
      </w:r>
      <w:r>
        <w:rPr>
          <w:color w:val="auto"/>
          <w:spacing w:val="0"/>
          <w:w w:val="100"/>
          <w:kern w:val="21"/>
          <w:position w:val="0"/>
          <w:szCs w:val="24"/>
        </w:rPr>
        <w:t>）中的</w:t>
      </w:r>
      <w:r>
        <w:rPr>
          <w:rFonts w:hint="eastAsia"/>
          <w:color w:val="auto"/>
          <w:spacing w:val="0"/>
          <w:w w:val="100"/>
          <w:kern w:val="21"/>
          <w:position w:val="0"/>
          <w:szCs w:val="24"/>
          <w:lang w:val="en-US" w:eastAsia="zh-CN"/>
        </w:rPr>
        <w:t>过渡阶段浓度限值</w:t>
      </w:r>
      <w:r>
        <w:rPr>
          <w:color w:val="auto"/>
          <w:spacing w:val="0"/>
          <w:w w:val="100"/>
          <w:kern w:val="21"/>
          <w:position w:val="0"/>
          <w:szCs w:val="24"/>
        </w:rPr>
        <w:t>二级标准</w:t>
      </w:r>
      <w:r>
        <w:rPr>
          <w:rFonts w:hint="default" w:ascii="Times New Roman" w:hAnsi="Times New Roman" w:cs="Times New Roman"/>
          <w:color w:val="auto"/>
          <w:spacing w:val="0"/>
          <w:w w:val="100"/>
          <w:kern w:val="21"/>
          <w:position w:val="0"/>
          <w:szCs w:val="24"/>
        </w:rPr>
        <w:t>；超过</w:t>
      </w:r>
      <w:r>
        <w:rPr>
          <w:color w:val="auto"/>
          <w:spacing w:val="0"/>
          <w:w w:val="100"/>
          <w:kern w:val="21"/>
          <w:position w:val="0"/>
          <w:szCs w:val="24"/>
        </w:rPr>
        <w:t>《环境空气质量标准》（GB3095-20</w:t>
      </w:r>
      <w:r>
        <w:rPr>
          <w:rFonts w:hint="eastAsia"/>
          <w:color w:val="auto"/>
          <w:spacing w:val="0"/>
          <w:w w:val="100"/>
          <w:kern w:val="21"/>
          <w:position w:val="0"/>
          <w:szCs w:val="24"/>
          <w:lang w:val="en-US" w:eastAsia="zh-CN"/>
        </w:rPr>
        <w:t>26</w:t>
      </w:r>
      <w:r>
        <w:rPr>
          <w:color w:val="auto"/>
          <w:spacing w:val="0"/>
          <w:w w:val="100"/>
          <w:kern w:val="21"/>
          <w:position w:val="0"/>
          <w:szCs w:val="24"/>
        </w:rPr>
        <w:t>）中的</w:t>
      </w:r>
      <w:r>
        <w:rPr>
          <w:rFonts w:hint="eastAsia"/>
          <w:color w:val="auto"/>
          <w:spacing w:val="0"/>
          <w:w w:val="100"/>
          <w:kern w:val="21"/>
          <w:position w:val="0"/>
          <w:szCs w:val="24"/>
          <w:lang w:val="en-US" w:eastAsia="zh-CN"/>
        </w:rPr>
        <w:t>过渡阶段浓度限值</w:t>
      </w:r>
      <w:r>
        <w:rPr>
          <w:color w:val="auto"/>
          <w:spacing w:val="0"/>
          <w:w w:val="100"/>
          <w:kern w:val="21"/>
          <w:position w:val="0"/>
          <w:szCs w:val="24"/>
        </w:rPr>
        <w:t>二级标准</w:t>
      </w:r>
      <w:r>
        <w:rPr>
          <w:rFonts w:hint="default" w:ascii="Times New Roman" w:hAnsi="Times New Roman" w:cs="Times New Roman"/>
          <w:color w:val="auto"/>
          <w:spacing w:val="0"/>
          <w:w w:val="100"/>
          <w:kern w:val="21"/>
          <w:position w:val="0"/>
          <w:szCs w:val="24"/>
        </w:rPr>
        <w:t>的污染物为PM</w:t>
      </w:r>
      <w:r>
        <w:rPr>
          <w:rFonts w:hint="default" w:ascii="Times New Roman" w:hAnsi="Times New Roman" w:cs="Times New Roman"/>
          <w:color w:val="auto"/>
          <w:spacing w:val="0"/>
          <w:w w:val="100"/>
          <w:kern w:val="21"/>
          <w:position w:val="0"/>
          <w:szCs w:val="24"/>
          <w:vertAlign w:val="subscript"/>
        </w:rPr>
        <w:t>10</w:t>
      </w:r>
      <w:r>
        <w:rPr>
          <w:rFonts w:hint="default" w:ascii="Times New Roman" w:hAnsi="Times New Roman" w:cs="Times New Roman"/>
          <w:color w:val="auto"/>
          <w:spacing w:val="0"/>
          <w:w w:val="100"/>
          <w:kern w:val="21"/>
          <w:position w:val="0"/>
          <w:szCs w:val="24"/>
        </w:rPr>
        <w:t>、PM</w:t>
      </w:r>
      <w:r>
        <w:rPr>
          <w:rFonts w:hint="default" w:ascii="Times New Roman" w:hAnsi="Times New Roman" w:cs="Times New Roman"/>
          <w:color w:val="auto"/>
          <w:spacing w:val="0"/>
          <w:w w:val="100"/>
          <w:kern w:val="21"/>
          <w:position w:val="0"/>
          <w:szCs w:val="24"/>
          <w:vertAlign w:val="subscript"/>
        </w:rPr>
        <w:t>2.5</w:t>
      </w:r>
      <w:r>
        <w:rPr>
          <w:rFonts w:hint="default" w:ascii="Times New Roman" w:hAnsi="Times New Roman" w:cs="Times New Roman"/>
          <w:color w:val="auto"/>
          <w:spacing w:val="0"/>
          <w:w w:val="100"/>
          <w:kern w:val="21"/>
          <w:position w:val="0"/>
          <w:szCs w:val="24"/>
        </w:rPr>
        <w:t>，判定本项目所在区域为环境空气质量不达标区。经调查，PM</w:t>
      </w:r>
      <w:r>
        <w:rPr>
          <w:rFonts w:hint="default" w:ascii="Times New Roman" w:hAnsi="Times New Roman" w:cs="Times New Roman"/>
          <w:color w:val="auto"/>
          <w:spacing w:val="0"/>
          <w:w w:val="100"/>
          <w:kern w:val="21"/>
          <w:position w:val="0"/>
          <w:szCs w:val="24"/>
          <w:vertAlign w:val="subscript"/>
        </w:rPr>
        <w:t>10</w:t>
      </w:r>
      <w:r>
        <w:rPr>
          <w:rFonts w:hint="default" w:ascii="Times New Roman" w:hAnsi="Times New Roman" w:cs="Times New Roman"/>
          <w:color w:val="auto"/>
          <w:spacing w:val="0"/>
          <w:w w:val="100"/>
          <w:kern w:val="21"/>
          <w:position w:val="0"/>
          <w:szCs w:val="24"/>
        </w:rPr>
        <w:t>、PM</w:t>
      </w:r>
      <w:r>
        <w:rPr>
          <w:rFonts w:hint="default" w:ascii="Times New Roman" w:hAnsi="Times New Roman" w:cs="Times New Roman"/>
          <w:color w:val="auto"/>
          <w:spacing w:val="0"/>
          <w:w w:val="100"/>
          <w:kern w:val="21"/>
          <w:position w:val="0"/>
          <w:szCs w:val="24"/>
          <w:vertAlign w:val="subscript"/>
        </w:rPr>
        <w:t>2.5</w:t>
      </w:r>
      <w:r>
        <w:rPr>
          <w:rFonts w:hint="default" w:ascii="Times New Roman" w:hAnsi="Times New Roman" w:cs="Times New Roman"/>
          <w:color w:val="auto"/>
          <w:spacing w:val="0"/>
          <w:w w:val="100"/>
          <w:kern w:val="21"/>
          <w:position w:val="0"/>
          <w:szCs w:val="24"/>
        </w:rPr>
        <w:t>超标的原因主要是当地气候条件较差，干旱少雨</w:t>
      </w:r>
      <w:r>
        <w:rPr>
          <w:rFonts w:hint="default" w:ascii="Times New Roman" w:hAnsi="Times New Roman" w:cs="Times New Roman"/>
          <w:color w:val="auto"/>
          <w:spacing w:val="0"/>
          <w:w w:val="100"/>
          <w:kern w:val="0"/>
          <w:position w:val="0"/>
          <w:szCs w:val="24"/>
        </w:rPr>
        <w:t>，</w:t>
      </w:r>
      <w:r>
        <w:rPr>
          <w:rFonts w:hint="default" w:ascii="Times New Roman" w:hAnsi="Times New Roman" w:cs="Times New Roman"/>
          <w:color w:val="auto"/>
          <w:spacing w:val="0"/>
          <w:w w:val="100"/>
          <w:position w:val="0"/>
        </w:rPr>
        <w:t>工业生产及机动车尾气等因素</w:t>
      </w:r>
      <w:r>
        <w:rPr>
          <w:rFonts w:hint="default" w:ascii="Times New Roman" w:hAnsi="Times New Roman" w:cs="Times New Roman"/>
          <w:color w:val="auto"/>
          <w:spacing w:val="0"/>
          <w:w w:val="100"/>
          <w:kern w:val="21"/>
          <w:position w:val="0"/>
          <w:szCs w:val="24"/>
        </w:rPr>
        <w:t>引起的。</w:t>
      </w:r>
    </w:p>
    <w:bookmarkEnd w:id="294"/>
    <w:bookmarkEnd w:id="295"/>
    <w:bookmarkEnd w:id="296"/>
    <w:bookmarkEnd w:id="297"/>
    <w:bookmarkEnd w:id="298"/>
    <w:bookmarkEnd w:id="299"/>
    <w:bookmarkEnd w:id="300"/>
    <w:p w14:paraId="26038C8A">
      <w:pPr>
        <w:pStyle w:val="5"/>
        <w:keepNext w:val="0"/>
        <w:keepLines w:val="0"/>
        <w:pageBreakBefore w:val="0"/>
        <w:widowControl w:val="0"/>
        <w:kinsoku/>
        <w:wordWrap/>
        <w:overflowPunct/>
        <w:topLinePunct w:val="0"/>
        <w:autoSpaceDE/>
        <w:autoSpaceDN/>
        <w:bidi w:val="0"/>
        <w:adjustRightInd/>
        <w:snapToGrid/>
        <w:rPr>
          <w:color w:val="auto"/>
          <w:spacing w:val="0"/>
          <w:w w:val="100"/>
          <w:position w:val="0"/>
          <w:highlight w:val="none"/>
        </w:rPr>
      </w:pPr>
      <w:r>
        <w:rPr>
          <w:color w:val="auto"/>
          <w:spacing w:val="0"/>
          <w:w w:val="100"/>
          <w:position w:val="0"/>
          <w:highlight w:val="none"/>
        </w:rPr>
        <w:t>4.3.1.2其他污染物环境质量现状</w:t>
      </w:r>
    </w:p>
    <w:p w14:paraId="6A4B5DD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snapToGrid/>
          <w:color w:val="auto"/>
          <w:spacing w:val="0"/>
          <w:w w:val="100"/>
          <w:kern w:val="24"/>
          <w:position w:val="0"/>
          <w:sz w:val="24"/>
          <w:szCs w:val="24"/>
          <w:highlight w:val="none"/>
        </w:rPr>
      </w:pPr>
      <w:r>
        <w:rPr>
          <w:rFonts w:hint="default" w:ascii="Times New Roman" w:hAnsi="Times New Roman" w:eastAsia="宋体" w:cs="Times New Roman"/>
          <w:snapToGrid/>
          <w:color w:val="auto"/>
          <w:spacing w:val="0"/>
          <w:w w:val="100"/>
          <w:kern w:val="24"/>
          <w:position w:val="0"/>
          <w:sz w:val="24"/>
          <w:szCs w:val="24"/>
          <w:highlight w:val="none"/>
        </w:rPr>
        <w:t>根据《环境影响评价技术导则 大气环境》（HJ2.2-2018）中要求，其他污染物优先采用评价范围内国家或地方环境空气质量监测网中评价基准年连续1年的监测数据；其次收集评价范围内近3年与项目排放的其他污染物有关的历史监测资料；在没有以上相关监测数据或监测不能满足评价要求时，应按要求进行补充监测。本次项目大气特征污染物主要为</w:t>
      </w:r>
      <w:r>
        <w:rPr>
          <w:rFonts w:hint="eastAsia" w:cs="Times New Roman"/>
          <w:snapToGrid/>
          <w:color w:val="auto"/>
          <w:spacing w:val="0"/>
          <w:kern w:val="24"/>
          <w:sz w:val="24"/>
          <w:szCs w:val="24"/>
          <w:lang w:val="en-US" w:eastAsia="zh-CN"/>
        </w:rPr>
        <w:t>TSP</w:t>
      </w:r>
      <w:r>
        <w:rPr>
          <w:rFonts w:hint="default" w:ascii="Times New Roman" w:hAnsi="Times New Roman" w:eastAsia="宋体" w:cs="Times New Roman"/>
          <w:snapToGrid/>
          <w:color w:val="auto"/>
          <w:spacing w:val="0"/>
          <w:kern w:val="24"/>
          <w:sz w:val="24"/>
          <w:szCs w:val="24"/>
          <w:lang w:eastAsia="zh-CN"/>
        </w:rPr>
        <w:t>、</w:t>
      </w:r>
      <w:r>
        <w:rPr>
          <w:rFonts w:hint="eastAsia" w:cs="Times New Roman"/>
          <w:snapToGrid/>
          <w:color w:val="auto"/>
          <w:spacing w:val="0"/>
          <w:kern w:val="24"/>
          <w:sz w:val="24"/>
          <w:szCs w:val="24"/>
          <w:lang w:val="en-US" w:eastAsia="zh-CN"/>
        </w:rPr>
        <w:t>非甲烷总烃</w:t>
      </w:r>
      <w:r>
        <w:rPr>
          <w:rFonts w:hint="default" w:ascii="Times New Roman" w:hAnsi="Times New Roman" w:eastAsia="宋体" w:cs="Times New Roman"/>
          <w:snapToGrid/>
          <w:color w:val="auto"/>
          <w:spacing w:val="0"/>
          <w:w w:val="100"/>
          <w:kern w:val="24"/>
          <w:position w:val="0"/>
          <w:sz w:val="24"/>
          <w:szCs w:val="24"/>
          <w:highlight w:val="none"/>
        </w:rPr>
        <w:t>，为了解项目所在区域环境空气质量现状，特征污染物采用现状实测的方式采集数据。</w:t>
      </w:r>
    </w:p>
    <w:p w14:paraId="6AB6EC7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snapToGrid/>
          <w:color w:val="auto"/>
          <w:spacing w:val="0"/>
          <w:w w:val="100"/>
          <w:kern w:val="24"/>
          <w:position w:val="0"/>
          <w:sz w:val="24"/>
          <w:szCs w:val="24"/>
          <w:highlight w:val="none"/>
        </w:rPr>
      </w:pPr>
      <w:r>
        <w:rPr>
          <w:rFonts w:hint="default" w:ascii="Times New Roman" w:hAnsi="Times New Roman" w:eastAsia="宋体" w:cs="Times New Roman"/>
          <w:snapToGrid/>
          <w:color w:val="auto"/>
          <w:spacing w:val="0"/>
          <w:w w:val="100"/>
          <w:kern w:val="24"/>
          <w:position w:val="0"/>
          <w:sz w:val="24"/>
          <w:szCs w:val="24"/>
          <w:highlight w:val="none"/>
        </w:rPr>
        <w:t>（1）数据来源</w:t>
      </w:r>
    </w:p>
    <w:p w14:paraId="1EFFA54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snapToGrid/>
          <w:color w:val="auto"/>
          <w:spacing w:val="0"/>
          <w:w w:val="100"/>
          <w:kern w:val="24"/>
          <w:position w:val="0"/>
          <w:sz w:val="24"/>
          <w:szCs w:val="24"/>
          <w:highlight w:val="none"/>
        </w:rPr>
      </w:pPr>
      <w:r>
        <w:rPr>
          <w:rFonts w:hint="default" w:ascii="Times New Roman" w:hAnsi="Times New Roman" w:eastAsia="宋体" w:cs="Times New Roman"/>
          <w:snapToGrid/>
          <w:color w:val="auto"/>
          <w:spacing w:val="0"/>
          <w:w w:val="100"/>
          <w:kern w:val="24"/>
          <w:position w:val="0"/>
          <w:sz w:val="24"/>
          <w:szCs w:val="24"/>
          <w:highlight w:val="none"/>
        </w:rPr>
        <w:t>本项目补充监测的特征污染物为：</w:t>
      </w:r>
      <w:r>
        <w:rPr>
          <w:rFonts w:hint="eastAsia" w:cs="Times New Roman"/>
          <w:snapToGrid/>
          <w:color w:val="auto"/>
          <w:spacing w:val="0"/>
          <w:kern w:val="24"/>
          <w:sz w:val="24"/>
          <w:szCs w:val="24"/>
          <w:lang w:val="en-US" w:eastAsia="zh-CN"/>
        </w:rPr>
        <w:t>TSP</w:t>
      </w:r>
      <w:r>
        <w:rPr>
          <w:rFonts w:hint="default" w:ascii="Times New Roman" w:hAnsi="Times New Roman" w:eastAsia="宋体" w:cs="Times New Roman"/>
          <w:snapToGrid/>
          <w:color w:val="auto"/>
          <w:spacing w:val="0"/>
          <w:kern w:val="24"/>
          <w:sz w:val="24"/>
          <w:szCs w:val="24"/>
          <w:lang w:eastAsia="zh-CN"/>
        </w:rPr>
        <w:t>、</w:t>
      </w:r>
      <w:r>
        <w:rPr>
          <w:rFonts w:hint="eastAsia" w:cs="Times New Roman"/>
          <w:snapToGrid/>
          <w:color w:val="auto"/>
          <w:spacing w:val="0"/>
          <w:kern w:val="24"/>
          <w:sz w:val="24"/>
          <w:szCs w:val="24"/>
          <w:lang w:val="en-US" w:eastAsia="zh-CN"/>
        </w:rPr>
        <w:t>非甲烷总烃</w:t>
      </w:r>
      <w:r>
        <w:rPr>
          <w:rFonts w:hint="default" w:ascii="Times New Roman" w:hAnsi="Times New Roman" w:eastAsia="宋体" w:cs="Times New Roman"/>
          <w:snapToGrid/>
          <w:color w:val="auto"/>
          <w:spacing w:val="0"/>
          <w:w w:val="100"/>
          <w:kern w:val="24"/>
          <w:position w:val="0"/>
          <w:sz w:val="24"/>
          <w:szCs w:val="24"/>
          <w:highlight w:val="none"/>
        </w:rPr>
        <w:t>，本次环评</w:t>
      </w:r>
      <w:r>
        <w:rPr>
          <w:rFonts w:hint="eastAsia" w:ascii="Times New Roman" w:hAnsi="Times New Roman" w:eastAsia="宋体" w:cs="Times New Roman"/>
          <w:snapToGrid/>
          <w:color w:val="auto"/>
          <w:spacing w:val="0"/>
          <w:w w:val="100"/>
          <w:kern w:val="24"/>
          <w:position w:val="0"/>
          <w:sz w:val="24"/>
          <w:szCs w:val="24"/>
          <w:highlight w:val="none"/>
          <w:lang w:val="en-US" w:eastAsia="zh-CN"/>
        </w:rPr>
        <w:t>采用</w:t>
      </w:r>
      <w:r>
        <w:rPr>
          <w:rFonts w:hint="eastAsia" w:cs="Times New Roman"/>
          <w:snapToGrid/>
          <w:color w:val="auto"/>
          <w:spacing w:val="0"/>
          <w:w w:val="100"/>
          <w:kern w:val="24"/>
          <w:position w:val="0"/>
          <w:sz w:val="24"/>
          <w:szCs w:val="24"/>
          <w:highlight w:val="none"/>
          <w:lang w:val="en-US" w:eastAsia="zh-CN"/>
        </w:rPr>
        <w:t>新疆锡水金山环境科技有限公司</w:t>
      </w:r>
      <w:r>
        <w:rPr>
          <w:rFonts w:hint="default" w:ascii="Times New Roman" w:hAnsi="Times New Roman" w:eastAsia="宋体" w:cs="Times New Roman"/>
          <w:snapToGrid/>
          <w:color w:val="auto"/>
          <w:spacing w:val="0"/>
          <w:w w:val="100"/>
          <w:kern w:val="24"/>
          <w:position w:val="0"/>
          <w:sz w:val="24"/>
          <w:szCs w:val="24"/>
          <w:highlight w:val="none"/>
        </w:rPr>
        <w:t>对</w:t>
      </w:r>
      <w:r>
        <w:rPr>
          <w:rFonts w:hint="eastAsia" w:ascii="Times New Roman" w:hAnsi="Times New Roman" w:eastAsia="宋体" w:cs="Times New Roman"/>
          <w:snapToGrid/>
          <w:color w:val="auto"/>
          <w:spacing w:val="0"/>
          <w:w w:val="100"/>
          <w:kern w:val="24"/>
          <w:position w:val="0"/>
          <w:sz w:val="24"/>
          <w:szCs w:val="24"/>
          <w:highlight w:val="none"/>
        </w:rPr>
        <w:t>《</w:t>
      </w:r>
      <w:r>
        <w:rPr>
          <w:rFonts w:hint="eastAsia"/>
          <w:color w:val="auto"/>
          <w:spacing w:val="0"/>
          <w:w w:val="100"/>
          <w:position w:val="0"/>
          <w:highlight w:val="none"/>
          <w:lang w:val="en-US" w:eastAsia="zh-CN"/>
        </w:rPr>
        <w:t>新疆吉宸建材有限公司建设年产120万平方米铝塑复合板生产线项目</w:t>
      </w:r>
      <w:r>
        <w:rPr>
          <w:rFonts w:hint="eastAsia" w:ascii="Times New Roman" w:hAnsi="Times New Roman" w:eastAsia="宋体" w:cs="Times New Roman"/>
          <w:snapToGrid/>
          <w:color w:val="auto"/>
          <w:spacing w:val="0"/>
          <w:w w:val="100"/>
          <w:kern w:val="24"/>
          <w:position w:val="0"/>
          <w:sz w:val="24"/>
          <w:szCs w:val="24"/>
          <w:highlight w:val="none"/>
        </w:rPr>
        <w:t>》</w:t>
      </w:r>
      <w:r>
        <w:rPr>
          <w:rFonts w:hint="default" w:ascii="Times New Roman" w:hAnsi="Times New Roman" w:eastAsia="宋体" w:cs="Times New Roman"/>
          <w:snapToGrid/>
          <w:color w:val="auto"/>
          <w:spacing w:val="0"/>
          <w:w w:val="100"/>
          <w:kern w:val="24"/>
          <w:position w:val="0"/>
          <w:sz w:val="24"/>
          <w:szCs w:val="24"/>
          <w:highlight w:val="none"/>
        </w:rPr>
        <w:t>的监测数据作为评价依据。</w:t>
      </w:r>
    </w:p>
    <w:p w14:paraId="66978AA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snapToGrid/>
          <w:color w:val="auto"/>
          <w:spacing w:val="0"/>
          <w:w w:val="100"/>
          <w:kern w:val="24"/>
          <w:position w:val="0"/>
          <w:sz w:val="24"/>
          <w:szCs w:val="24"/>
          <w:highlight w:val="none"/>
        </w:rPr>
      </w:pPr>
      <w:r>
        <w:rPr>
          <w:rFonts w:hint="default" w:ascii="Times New Roman" w:hAnsi="Times New Roman" w:eastAsia="宋体" w:cs="Times New Roman"/>
          <w:snapToGrid/>
          <w:color w:val="auto"/>
          <w:spacing w:val="0"/>
          <w:w w:val="100"/>
          <w:kern w:val="24"/>
          <w:position w:val="0"/>
          <w:sz w:val="24"/>
          <w:szCs w:val="24"/>
          <w:highlight w:val="none"/>
        </w:rPr>
        <w:t>（2）监测布点及监测因子</w:t>
      </w:r>
    </w:p>
    <w:p w14:paraId="006B2F7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snapToGrid/>
          <w:color w:val="auto"/>
          <w:spacing w:val="0"/>
          <w:w w:val="100"/>
          <w:kern w:val="24"/>
          <w:position w:val="0"/>
          <w:sz w:val="24"/>
          <w:szCs w:val="24"/>
          <w:highlight w:val="none"/>
          <w:lang w:val="en-US" w:eastAsia="zh-CN"/>
        </w:rPr>
      </w:pPr>
      <w:r>
        <w:rPr>
          <w:rFonts w:hint="default" w:ascii="Times New Roman" w:hAnsi="Times New Roman" w:eastAsia="宋体" w:cs="Times New Roman"/>
          <w:snapToGrid/>
          <w:color w:val="auto"/>
          <w:spacing w:val="0"/>
          <w:w w:val="100"/>
          <w:kern w:val="24"/>
          <w:position w:val="0"/>
          <w:sz w:val="24"/>
          <w:szCs w:val="24"/>
          <w:highlight w:val="none"/>
          <w:lang w:eastAsia="zh-CN"/>
        </w:rPr>
        <w:t>①监测因子：</w:t>
      </w:r>
      <w:r>
        <w:rPr>
          <w:rFonts w:hint="eastAsia" w:cs="Times New Roman"/>
          <w:snapToGrid/>
          <w:color w:val="auto"/>
          <w:spacing w:val="0"/>
          <w:kern w:val="24"/>
          <w:sz w:val="24"/>
          <w:szCs w:val="24"/>
          <w:lang w:val="en-US" w:eastAsia="zh-CN"/>
        </w:rPr>
        <w:t>TSP</w:t>
      </w:r>
      <w:r>
        <w:rPr>
          <w:rFonts w:hint="default" w:ascii="Times New Roman" w:hAnsi="Times New Roman" w:eastAsia="宋体" w:cs="Times New Roman"/>
          <w:snapToGrid/>
          <w:color w:val="auto"/>
          <w:spacing w:val="0"/>
          <w:kern w:val="24"/>
          <w:sz w:val="24"/>
          <w:szCs w:val="24"/>
          <w:lang w:eastAsia="zh-CN"/>
        </w:rPr>
        <w:t>、</w:t>
      </w:r>
      <w:r>
        <w:rPr>
          <w:rFonts w:hint="eastAsia" w:cs="Times New Roman"/>
          <w:snapToGrid/>
          <w:color w:val="auto"/>
          <w:spacing w:val="0"/>
          <w:kern w:val="24"/>
          <w:sz w:val="24"/>
          <w:szCs w:val="24"/>
          <w:lang w:val="en-US" w:eastAsia="zh-CN"/>
        </w:rPr>
        <w:t>非甲烷总烃</w:t>
      </w:r>
    </w:p>
    <w:p w14:paraId="173DC81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snapToGrid/>
          <w:color w:val="auto"/>
          <w:spacing w:val="0"/>
          <w:w w:val="100"/>
          <w:kern w:val="24"/>
          <w:position w:val="0"/>
          <w:sz w:val="24"/>
          <w:szCs w:val="24"/>
          <w:highlight w:val="none"/>
        </w:rPr>
      </w:pPr>
      <w:r>
        <w:rPr>
          <w:rFonts w:hint="default" w:ascii="Times New Roman" w:hAnsi="Times New Roman" w:eastAsia="宋体" w:cs="Times New Roman"/>
          <w:snapToGrid/>
          <w:color w:val="auto"/>
          <w:spacing w:val="0"/>
          <w:w w:val="100"/>
          <w:kern w:val="24"/>
          <w:position w:val="0"/>
          <w:sz w:val="24"/>
          <w:szCs w:val="24"/>
          <w:highlight w:val="none"/>
        </w:rPr>
        <w:t>②监测点位</w:t>
      </w:r>
    </w:p>
    <w:p w14:paraId="560B96F6">
      <w:pPr>
        <w:pStyle w:val="6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snapToGrid/>
          <w:color w:val="auto"/>
          <w:spacing w:val="0"/>
          <w:w w:val="100"/>
          <w:kern w:val="24"/>
          <w:position w:val="0"/>
          <w:sz w:val="24"/>
          <w:szCs w:val="24"/>
          <w:highlight w:val="none"/>
          <w:lang w:val="en-US" w:eastAsia="zh-CN"/>
        </w:rPr>
      </w:pPr>
      <w:r>
        <w:rPr>
          <w:rFonts w:hint="default" w:ascii="Times New Roman" w:hAnsi="Times New Roman" w:eastAsia="宋体" w:cs="Times New Roman"/>
          <w:snapToGrid/>
          <w:color w:val="auto"/>
          <w:spacing w:val="0"/>
          <w:w w:val="100"/>
          <w:kern w:val="24"/>
          <w:position w:val="0"/>
          <w:sz w:val="24"/>
          <w:szCs w:val="24"/>
          <w:highlight w:val="none"/>
        </w:rPr>
        <w:t>监测点位具体位置见</w:t>
      </w:r>
      <w:r>
        <w:rPr>
          <w:rFonts w:hint="eastAsia" w:ascii="Times New Roman" w:hAnsi="Times New Roman" w:eastAsia="宋体" w:cs="Times New Roman"/>
          <w:snapToGrid/>
          <w:color w:val="auto"/>
          <w:spacing w:val="0"/>
          <w:w w:val="100"/>
          <w:kern w:val="24"/>
          <w:position w:val="0"/>
          <w:sz w:val="24"/>
          <w:szCs w:val="24"/>
          <w:highlight w:val="none"/>
          <w:lang w:val="en-US" w:eastAsia="zh-CN"/>
        </w:rPr>
        <w:t>表4.</w:t>
      </w:r>
      <w:r>
        <w:rPr>
          <w:rFonts w:hint="eastAsia" w:cs="Times New Roman"/>
          <w:snapToGrid/>
          <w:color w:val="auto"/>
          <w:spacing w:val="0"/>
          <w:w w:val="100"/>
          <w:kern w:val="24"/>
          <w:position w:val="0"/>
          <w:sz w:val="24"/>
          <w:szCs w:val="24"/>
          <w:highlight w:val="none"/>
          <w:lang w:val="en-US" w:eastAsia="zh-CN"/>
        </w:rPr>
        <w:t>3</w:t>
      </w:r>
      <w:r>
        <w:rPr>
          <w:rFonts w:hint="eastAsia" w:ascii="Times New Roman" w:hAnsi="Times New Roman" w:eastAsia="宋体" w:cs="Times New Roman"/>
          <w:snapToGrid/>
          <w:color w:val="auto"/>
          <w:spacing w:val="0"/>
          <w:w w:val="100"/>
          <w:kern w:val="24"/>
          <w:position w:val="0"/>
          <w:sz w:val="24"/>
          <w:szCs w:val="24"/>
          <w:highlight w:val="none"/>
          <w:lang w:val="en-US" w:eastAsia="zh-CN"/>
        </w:rPr>
        <w:t>.1-2，大气监测布点图见图4.</w:t>
      </w:r>
      <w:r>
        <w:rPr>
          <w:rFonts w:hint="eastAsia" w:cs="Times New Roman"/>
          <w:snapToGrid/>
          <w:color w:val="auto"/>
          <w:spacing w:val="0"/>
          <w:w w:val="100"/>
          <w:kern w:val="24"/>
          <w:position w:val="0"/>
          <w:sz w:val="24"/>
          <w:szCs w:val="24"/>
          <w:highlight w:val="none"/>
          <w:lang w:val="en-US" w:eastAsia="zh-CN"/>
        </w:rPr>
        <w:t>3</w:t>
      </w:r>
      <w:r>
        <w:rPr>
          <w:rFonts w:hint="eastAsia" w:ascii="Times New Roman" w:hAnsi="Times New Roman" w:eastAsia="宋体" w:cs="Times New Roman"/>
          <w:snapToGrid/>
          <w:color w:val="auto"/>
          <w:spacing w:val="0"/>
          <w:w w:val="100"/>
          <w:kern w:val="24"/>
          <w:position w:val="0"/>
          <w:sz w:val="24"/>
          <w:szCs w:val="24"/>
          <w:highlight w:val="none"/>
          <w:lang w:val="en-US" w:eastAsia="zh-CN"/>
        </w:rPr>
        <w:t>-1。</w:t>
      </w:r>
    </w:p>
    <w:p w14:paraId="39EA4DB5">
      <w:pPr>
        <w:keepNext w:val="0"/>
        <w:keepLines w:val="0"/>
        <w:pageBreakBefore w:val="0"/>
        <w:widowControl w:val="0"/>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4"/>
          <w:position w:val="0"/>
          <w:sz w:val="21"/>
          <w:szCs w:val="21"/>
          <w:highlight w:val="none"/>
          <w:lang w:val="en-US" w:eastAsia="zh-CN" w:bidi="ar"/>
        </w:rPr>
      </w:pPr>
      <w:r>
        <w:rPr>
          <w:rFonts w:hint="default" w:ascii="Times New Roman" w:hAnsi="Times New Roman" w:eastAsia="宋体" w:cs="Times New Roman"/>
          <w:b/>
          <w:bCs/>
          <w:snapToGrid/>
          <w:color w:val="auto"/>
          <w:spacing w:val="0"/>
          <w:w w:val="100"/>
          <w:kern w:val="24"/>
          <w:position w:val="0"/>
          <w:sz w:val="21"/>
          <w:szCs w:val="21"/>
          <w:highlight w:val="none"/>
          <w:lang w:val="en-US" w:eastAsia="zh-CN" w:bidi="ar"/>
        </w:rPr>
        <w:t>表4</w:t>
      </w:r>
      <w:r>
        <w:rPr>
          <w:rFonts w:hint="eastAsia" w:cs="Times New Roman"/>
          <w:b/>
          <w:bCs/>
          <w:snapToGrid/>
          <w:color w:val="auto"/>
          <w:spacing w:val="0"/>
          <w:w w:val="100"/>
          <w:kern w:val="24"/>
          <w:position w:val="0"/>
          <w:sz w:val="21"/>
          <w:szCs w:val="21"/>
          <w:highlight w:val="none"/>
          <w:lang w:val="en-US" w:eastAsia="zh-CN" w:bidi="ar"/>
        </w:rPr>
        <w:t>.3</w:t>
      </w:r>
      <w:r>
        <w:rPr>
          <w:rFonts w:hint="eastAsia" w:ascii="Times New Roman" w:hAnsi="Times New Roman" w:eastAsia="宋体" w:cs="Times New Roman"/>
          <w:b/>
          <w:bCs/>
          <w:snapToGrid/>
          <w:color w:val="auto"/>
          <w:spacing w:val="0"/>
          <w:w w:val="100"/>
          <w:kern w:val="24"/>
          <w:position w:val="0"/>
          <w:sz w:val="21"/>
          <w:szCs w:val="21"/>
          <w:highlight w:val="none"/>
          <w:lang w:val="en-US" w:eastAsia="zh-CN" w:bidi="ar"/>
        </w:rPr>
        <w:t>.1</w:t>
      </w:r>
      <w:r>
        <w:rPr>
          <w:rFonts w:hint="default" w:ascii="Times New Roman" w:hAnsi="Times New Roman" w:eastAsia="宋体" w:cs="Times New Roman"/>
          <w:b/>
          <w:bCs/>
          <w:snapToGrid/>
          <w:color w:val="auto"/>
          <w:spacing w:val="0"/>
          <w:w w:val="100"/>
          <w:kern w:val="24"/>
          <w:position w:val="0"/>
          <w:sz w:val="21"/>
          <w:szCs w:val="21"/>
          <w:highlight w:val="none"/>
          <w:lang w:val="en-US" w:eastAsia="zh-CN" w:bidi="ar"/>
        </w:rPr>
        <w:t>-2  大气污染物补充监测点位基本信息</w:t>
      </w:r>
    </w:p>
    <w:tbl>
      <w:tblPr>
        <w:tblStyle w:val="25"/>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995"/>
        <w:gridCol w:w="1245"/>
        <w:gridCol w:w="1276"/>
        <w:gridCol w:w="1222"/>
        <w:gridCol w:w="1908"/>
        <w:gridCol w:w="1205"/>
        <w:gridCol w:w="876"/>
      </w:tblGrid>
      <w:tr w14:paraId="6D50EC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570" w:type="pct"/>
            <w:vMerge w:val="restart"/>
            <w:tcBorders>
              <w:tl2br w:val="nil"/>
              <w:tr2bl w:val="nil"/>
            </w:tcBorders>
            <w:vAlign w:val="center"/>
          </w:tcPr>
          <w:p w14:paraId="32D2B3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4"/>
                <w:position w:val="0"/>
                <w:sz w:val="21"/>
                <w:szCs w:val="21"/>
                <w:highlight w:val="none"/>
                <w:vertAlign w:val="baseline"/>
                <w:lang w:val="en-US" w:eastAsia="zh-CN" w:bidi="ar"/>
              </w:rPr>
            </w:pPr>
            <w:r>
              <w:rPr>
                <w:rFonts w:hint="default" w:ascii="Times New Roman" w:hAnsi="Times New Roman" w:eastAsia="宋体" w:cs="Times New Roman"/>
                <w:b/>
                <w:bCs/>
                <w:snapToGrid/>
                <w:color w:val="auto"/>
                <w:spacing w:val="0"/>
                <w:w w:val="100"/>
                <w:kern w:val="24"/>
                <w:position w:val="0"/>
                <w:sz w:val="21"/>
                <w:szCs w:val="21"/>
                <w:highlight w:val="none"/>
                <w:vertAlign w:val="baseline"/>
                <w:lang w:val="en-US" w:eastAsia="zh-CN" w:bidi="ar"/>
              </w:rPr>
              <w:t>监测点名称</w:t>
            </w:r>
          </w:p>
        </w:tc>
        <w:tc>
          <w:tcPr>
            <w:tcW w:w="1444" w:type="pct"/>
            <w:gridSpan w:val="2"/>
            <w:tcBorders>
              <w:tl2br w:val="nil"/>
              <w:tr2bl w:val="nil"/>
            </w:tcBorders>
            <w:vAlign w:val="center"/>
          </w:tcPr>
          <w:p w14:paraId="29DD48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4"/>
                <w:position w:val="0"/>
                <w:sz w:val="21"/>
                <w:szCs w:val="21"/>
                <w:highlight w:val="none"/>
                <w:vertAlign w:val="baseline"/>
                <w:lang w:val="en-US" w:eastAsia="zh-CN" w:bidi="ar"/>
              </w:rPr>
            </w:pPr>
            <w:r>
              <w:rPr>
                <w:rFonts w:hint="default" w:ascii="Times New Roman" w:hAnsi="Times New Roman" w:eastAsia="宋体" w:cs="Times New Roman"/>
                <w:b/>
                <w:bCs/>
                <w:snapToGrid/>
                <w:color w:val="auto"/>
                <w:spacing w:val="0"/>
                <w:w w:val="100"/>
                <w:kern w:val="24"/>
                <w:position w:val="0"/>
                <w:sz w:val="21"/>
                <w:szCs w:val="21"/>
                <w:highlight w:val="none"/>
                <w:vertAlign w:val="baseline"/>
                <w:lang w:val="en-US" w:eastAsia="zh-CN" w:bidi="ar"/>
              </w:rPr>
              <w:t>监测点坐标</w:t>
            </w:r>
          </w:p>
        </w:tc>
        <w:tc>
          <w:tcPr>
            <w:tcW w:w="700" w:type="pct"/>
            <w:vMerge w:val="restart"/>
            <w:tcBorders>
              <w:tl2br w:val="nil"/>
              <w:tr2bl w:val="nil"/>
            </w:tcBorders>
            <w:vAlign w:val="center"/>
          </w:tcPr>
          <w:p w14:paraId="22E009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4"/>
                <w:position w:val="0"/>
                <w:sz w:val="21"/>
                <w:szCs w:val="21"/>
                <w:highlight w:val="none"/>
                <w:vertAlign w:val="baseline"/>
                <w:lang w:val="en-US" w:eastAsia="zh-CN" w:bidi="ar"/>
              </w:rPr>
            </w:pPr>
            <w:r>
              <w:rPr>
                <w:rFonts w:hint="default" w:ascii="Times New Roman" w:hAnsi="Times New Roman" w:eastAsia="宋体" w:cs="Times New Roman"/>
                <w:b/>
                <w:bCs/>
                <w:snapToGrid/>
                <w:color w:val="auto"/>
                <w:spacing w:val="0"/>
                <w:w w:val="100"/>
                <w:kern w:val="24"/>
                <w:position w:val="0"/>
                <w:sz w:val="21"/>
                <w:szCs w:val="21"/>
                <w:highlight w:val="none"/>
                <w:vertAlign w:val="baseline"/>
                <w:lang w:val="en-US" w:eastAsia="zh-CN" w:bidi="ar"/>
              </w:rPr>
              <w:t>监测因子</w:t>
            </w:r>
          </w:p>
        </w:tc>
        <w:tc>
          <w:tcPr>
            <w:tcW w:w="1093" w:type="pct"/>
            <w:vMerge w:val="restart"/>
            <w:tcBorders>
              <w:tl2br w:val="nil"/>
              <w:tr2bl w:val="nil"/>
            </w:tcBorders>
            <w:vAlign w:val="center"/>
          </w:tcPr>
          <w:p w14:paraId="1F1355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4"/>
                <w:position w:val="0"/>
                <w:sz w:val="21"/>
                <w:szCs w:val="21"/>
                <w:highlight w:val="none"/>
                <w:vertAlign w:val="baseline"/>
                <w:lang w:val="en-US" w:eastAsia="zh-CN" w:bidi="ar"/>
              </w:rPr>
            </w:pPr>
            <w:r>
              <w:rPr>
                <w:rFonts w:hint="default" w:ascii="Times New Roman" w:hAnsi="Times New Roman" w:eastAsia="宋体" w:cs="Times New Roman"/>
                <w:b/>
                <w:bCs/>
                <w:snapToGrid/>
                <w:color w:val="auto"/>
                <w:spacing w:val="0"/>
                <w:w w:val="100"/>
                <w:kern w:val="24"/>
                <w:position w:val="0"/>
                <w:sz w:val="21"/>
                <w:szCs w:val="21"/>
                <w:highlight w:val="none"/>
                <w:vertAlign w:val="baseline"/>
                <w:lang w:val="en-US" w:eastAsia="zh-CN" w:bidi="ar"/>
              </w:rPr>
              <w:t>监测时段</w:t>
            </w:r>
          </w:p>
        </w:tc>
        <w:tc>
          <w:tcPr>
            <w:tcW w:w="690" w:type="pct"/>
            <w:vMerge w:val="restart"/>
            <w:tcBorders>
              <w:tl2br w:val="nil"/>
              <w:tr2bl w:val="nil"/>
            </w:tcBorders>
            <w:vAlign w:val="center"/>
          </w:tcPr>
          <w:p w14:paraId="0318F3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4"/>
                <w:position w:val="0"/>
                <w:sz w:val="21"/>
                <w:szCs w:val="21"/>
                <w:highlight w:val="none"/>
                <w:vertAlign w:val="baseline"/>
                <w:lang w:val="en-US" w:eastAsia="zh-CN" w:bidi="ar"/>
              </w:rPr>
            </w:pPr>
            <w:r>
              <w:rPr>
                <w:rFonts w:hint="default" w:ascii="Times New Roman" w:hAnsi="Times New Roman" w:eastAsia="宋体" w:cs="Times New Roman"/>
                <w:b/>
                <w:bCs/>
                <w:snapToGrid/>
                <w:color w:val="auto"/>
                <w:spacing w:val="0"/>
                <w:w w:val="100"/>
                <w:kern w:val="24"/>
                <w:position w:val="0"/>
                <w:sz w:val="21"/>
                <w:szCs w:val="21"/>
                <w:highlight w:val="none"/>
                <w:vertAlign w:val="baseline"/>
                <w:lang w:val="en-US" w:eastAsia="zh-CN" w:bidi="ar"/>
              </w:rPr>
              <w:t>相对厂址方位</w:t>
            </w:r>
          </w:p>
        </w:tc>
        <w:tc>
          <w:tcPr>
            <w:tcW w:w="501" w:type="pct"/>
            <w:vMerge w:val="restart"/>
            <w:tcBorders>
              <w:tl2br w:val="nil"/>
              <w:tr2bl w:val="nil"/>
            </w:tcBorders>
            <w:vAlign w:val="center"/>
          </w:tcPr>
          <w:p w14:paraId="3118E0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4"/>
                <w:position w:val="0"/>
                <w:sz w:val="21"/>
                <w:szCs w:val="21"/>
                <w:highlight w:val="none"/>
                <w:vertAlign w:val="baseline"/>
                <w:lang w:val="en-US" w:eastAsia="zh-CN" w:bidi="ar"/>
              </w:rPr>
            </w:pPr>
            <w:r>
              <w:rPr>
                <w:rFonts w:hint="default" w:ascii="Times New Roman" w:hAnsi="Times New Roman" w:eastAsia="宋体" w:cs="Times New Roman"/>
                <w:b/>
                <w:bCs/>
                <w:snapToGrid/>
                <w:color w:val="auto"/>
                <w:spacing w:val="0"/>
                <w:w w:val="100"/>
                <w:kern w:val="24"/>
                <w:position w:val="0"/>
                <w:sz w:val="21"/>
                <w:szCs w:val="21"/>
                <w:highlight w:val="none"/>
                <w:vertAlign w:val="baseline"/>
                <w:lang w:val="en-US" w:eastAsia="zh-CN" w:bidi="ar"/>
              </w:rPr>
              <w:t>相对厂界距离（m）</w:t>
            </w:r>
          </w:p>
        </w:tc>
      </w:tr>
      <w:tr w14:paraId="09AD32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570" w:type="pct"/>
            <w:vMerge w:val="continue"/>
            <w:tcBorders>
              <w:tl2br w:val="nil"/>
              <w:tr2bl w:val="nil"/>
            </w:tcBorders>
            <w:vAlign w:val="center"/>
          </w:tcPr>
          <w:p w14:paraId="59C140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vertAlign w:val="baseline"/>
                <w:lang w:val="en-US" w:eastAsia="zh-CN" w:bidi="ar"/>
              </w:rPr>
            </w:pPr>
          </w:p>
        </w:tc>
        <w:tc>
          <w:tcPr>
            <w:tcW w:w="713" w:type="pct"/>
            <w:tcBorders>
              <w:tl2br w:val="nil"/>
              <w:tr2bl w:val="nil"/>
            </w:tcBorders>
            <w:vAlign w:val="center"/>
          </w:tcPr>
          <w:p w14:paraId="3075A7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4"/>
                <w:position w:val="0"/>
                <w:sz w:val="21"/>
                <w:szCs w:val="21"/>
                <w:highlight w:val="none"/>
                <w:vertAlign w:val="baseline"/>
                <w:lang w:val="en-US" w:eastAsia="zh-CN" w:bidi="ar"/>
              </w:rPr>
            </w:pPr>
            <w:r>
              <w:rPr>
                <w:rFonts w:hint="default" w:ascii="Times New Roman" w:hAnsi="Times New Roman" w:eastAsia="宋体" w:cs="Times New Roman"/>
                <w:b/>
                <w:bCs/>
                <w:snapToGrid/>
                <w:color w:val="auto"/>
                <w:spacing w:val="0"/>
                <w:w w:val="100"/>
                <w:kern w:val="24"/>
                <w:position w:val="0"/>
                <w:sz w:val="21"/>
                <w:szCs w:val="21"/>
                <w:highlight w:val="none"/>
                <w:vertAlign w:val="baseline"/>
                <w:lang w:val="en-US" w:eastAsia="zh-CN" w:bidi="ar"/>
              </w:rPr>
              <w:t>东经</w:t>
            </w:r>
          </w:p>
        </w:tc>
        <w:tc>
          <w:tcPr>
            <w:tcW w:w="731" w:type="pct"/>
            <w:tcBorders>
              <w:tl2br w:val="nil"/>
              <w:tr2bl w:val="nil"/>
            </w:tcBorders>
            <w:vAlign w:val="center"/>
          </w:tcPr>
          <w:p w14:paraId="638D41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4"/>
                <w:position w:val="0"/>
                <w:sz w:val="21"/>
                <w:szCs w:val="21"/>
                <w:highlight w:val="none"/>
                <w:vertAlign w:val="baseline"/>
                <w:lang w:val="en-US" w:eastAsia="zh-CN" w:bidi="ar"/>
              </w:rPr>
            </w:pPr>
            <w:r>
              <w:rPr>
                <w:rFonts w:hint="default" w:ascii="Times New Roman" w:hAnsi="Times New Roman" w:eastAsia="宋体" w:cs="Times New Roman"/>
                <w:b/>
                <w:bCs/>
                <w:snapToGrid/>
                <w:color w:val="auto"/>
                <w:spacing w:val="0"/>
                <w:w w:val="100"/>
                <w:kern w:val="24"/>
                <w:position w:val="0"/>
                <w:sz w:val="21"/>
                <w:szCs w:val="21"/>
                <w:highlight w:val="none"/>
                <w:vertAlign w:val="baseline"/>
                <w:lang w:val="en-US" w:eastAsia="zh-CN" w:bidi="ar"/>
              </w:rPr>
              <w:t>北纬</w:t>
            </w:r>
          </w:p>
        </w:tc>
        <w:tc>
          <w:tcPr>
            <w:tcW w:w="700" w:type="pct"/>
            <w:vMerge w:val="continue"/>
            <w:tcBorders>
              <w:tl2br w:val="nil"/>
              <w:tr2bl w:val="nil"/>
            </w:tcBorders>
            <w:vAlign w:val="center"/>
          </w:tcPr>
          <w:p w14:paraId="63F5DD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vertAlign w:val="baseline"/>
                <w:lang w:val="en-US" w:eastAsia="zh-CN" w:bidi="ar"/>
              </w:rPr>
            </w:pPr>
          </w:p>
        </w:tc>
        <w:tc>
          <w:tcPr>
            <w:tcW w:w="1093" w:type="pct"/>
            <w:vMerge w:val="continue"/>
            <w:tcBorders>
              <w:tl2br w:val="nil"/>
              <w:tr2bl w:val="nil"/>
            </w:tcBorders>
            <w:vAlign w:val="center"/>
          </w:tcPr>
          <w:p w14:paraId="694BA1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vertAlign w:val="baseline"/>
                <w:lang w:val="en-US" w:eastAsia="zh-CN" w:bidi="ar"/>
              </w:rPr>
            </w:pPr>
          </w:p>
        </w:tc>
        <w:tc>
          <w:tcPr>
            <w:tcW w:w="690" w:type="pct"/>
            <w:vMerge w:val="continue"/>
            <w:tcBorders>
              <w:tl2br w:val="nil"/>
              <w:tr2bl w:val="nil"/>
            </w:tcBorders>
            <w:vAlign w:val="center"/>
          </w:tcPr>
          <w:p w14:paraId="4A76AD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vertAlign w:val="baseline"/>
                <w:lang w:val="en-US" w:eastAsia="zh-CN" w:bidi="ar"/>
              </w:rPr>
            </w:pPr>
          </w:p>
        </w:tc>
        <w:tc>
          <w:tcPr>
            <w:tcW w:w="501" w:type="pct"/>
            <w:vMerge w:val="continue"/>
            <w:tcBorders>
              <w:tl2br w:val="nil"/>
              <w:tr2bl w:val="nil"/>
            </w:tcBorders>
            <w:vAlign w:val="center"/>
          </w:tcPr>
          <w:p w14:paraId="10BD1B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vertAlign w:val="baseline"/>
                <w:lang w:val="en-US" w:eastAsia="zh-CN" w:bidi="ar"/>
              </w:rPr>
            </w:pPr>
          </w:p>
        </w:tc>
      </w:tr>
      <w:tr w14:paraId="097B90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570" w:type="pct"/>
            <w:tcBorders>
              <w:tl2br w:val="nil"/>
              <w:tr2bl w:val="nil"/>
            </w:tcBorders>
            <w:vAlign w:val="center"/>
          </w:tcPr>
          <w:p w14:paraId="36B367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vertAlign w:val="baseline"/>
                <w:lang w:val="en-US" w:eastAsia="zh-CN" w:bidi="ar"/>
              </w:rPr>
            </w:pPr>
            <w:r>
              <w:rPr>
                <w:rFonts w:hint="default" w:ascii="Times New Roman" w:hAnsi="Times New Roman" w:eastAsia="宋体" w:cs="Times New Roman"/>
                <w:snapToGrid/>
                <w:color w:val="auto"/>
                <w:spacing w:val="0"/>
                <w:w w:val="100"/>
                <w:kern w:val="24"/>
                <w:position w:val="0"/>
                <w:sz w:val="21"/>
                <w:szCs w:val="21"/>
                <w:highlight w:val="none"/>
                <w:vertAlign w:val="baseline"/>
                <w:lang w:val="en-US" w:eastAsia="zh-CN" w:bidi="ar"/>
              </w:rPr>
              <w:t>项目区内1#</w:t>
            </w:r>
          </w:p>
        </w:tc>
        <w:tc>
          <w:tcPr>
            <w:tcW w:w="713" w:type="pct"/>
            <w:tcBorders>
              <w:tl2br w:val="nil"/>
              <w:tr2bl w:val="nil"/>
            </w:tcBorders>
            <w:vAlign w:val="center"/>
          </w:tcPr>
          <w:p w14:paraId="17762F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vertAlign w:val="baseline"/>
                <w:lang w:val="en-US" w:eastAsia="zh-CN" w:bidi="ar"/>
              </w:rPr>
            </w:pPr>
            <w:r>
              <w:rPr>
                <w:rFonts w:hint="eastAsia" w:cs="Times New Roman"/>
                <w:color w:val="auto"/>
                <w:spacing w:val="0"/>
                <w:sz w:val="21"/>
                <w:szCs w:val="21"/>
                <w:highlight w:val="none"/>
                <w:lang w:val="en-US" w:eastAsia="zh-CN"/>
              </w:rPr>
              <w:t>87</w:t>
            </w:r>
            <w:r>
              <w:rPr>
                <w:rFonts w:hint="default" w:ascii="Times New Roman" w:hAnsi="Times New Roman" w:cs="Times New Roman"/>
                <w:color w:val="auto"/>
                <w:spacing w:val="0"/>
                <w:sz w:val="21"/>
                <w:szCs w:val="21"/>
                <w:highlight w:val="none"/>
                <w:lang w:val="en-US" w:eastAsia="zh-CN"/>
              </w:rPr>
              <w:t>°</w:t>
            </w:r>
            <w:r>
              <w:rPr>
                <w:rFonts w:hint="eastAsia" w:cs="Times New Roman"/>
                <w:color w:val="auto"/>
                <w:spacing w:val="0"/>
                <w:sz w:val="21"/>
                <w:szCs w:val="21"/>
                <w:highlight w:val="none"/>
                <w:lang w:val="en-US" w:eastAsia="zh-CN"/>
              </w:rPr>
              <w:t>50</w:t>
            </w:r>
            <w:r>
              <w:rPr>
                <w:rFonts w:hint="default" w:ascii="Times New Roman" w:hAnsi="Times New Roman" w:cs="Times New Roman"/>
                <w:color w:val="auto"/>
                <w:spacing w:val="0"/>
                <w:sz w:val="21"/>
                <w:szCs w:val="21"/>
                <w:highlight w:val="none"/>
                <w:lang w:val="en-US" w:eastAsia="zh-CN"/>
              </w:rPr>
              <w:t>′</w:t>
            </w:r>
            <w:r>
              <w:rPr>
                <w:rFonts w:hint="eastAsia" w:cs="Times New Roman"/>
                <w:color w:val="auto"/>
                <w:spacing w:val="0"/>
                <w:sz w:val="21"/>
                <w:szCs w:val="21"/>
                <w:highlight w:val="none"/>
                <w:lang w:val="en-US" w:eastAsia="zh-CN"/>
              </w:rPr>
              <w:t>28.90</w:t>
            </w:r>
            <w:r>
              <w:rPr>
                <w:rFonts w:hint="default" w:ascii="Times New Roman" w:hAnsi="Times New Roman" w:cs="Times New Roman"/>
                <w:color w:val="auto"/>
                <w:spacing w:val="0"/>
                <w:sz w:val="21"/>
                <w:szCs w:val="21"/>
                <w:highlight w:val="none"/>
                <w:lang w:val="en-US" w:eastAsia="zh-CN"/>
              </w:rPr>
              <w:t>″</w:t>
            </w:r>
          </w:p>
        </w:tc>
        <w:tc>
          <w:tcPr>
            <w:tcW w:w="731" w:type="pct"/>
            <w:tcBorders>
              <w:tl2br w:val="nil"/>
              <w:tr2bl w:val="nil"/>
            </w:tcBorders>
            <w:vAlign w:val="center"/>
          </w:tcPr>
          <w:p w14:paraId="3EFF2C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vertAlign w:val="baseline"/>
                <w:lang w:val="en-US" w:eastAsia="zh-CN" w:bidi="ar"/>
              </w:rPr>
            </w:pPr>
            <w:r>
              <w:rPr>
                <w:rFonts w:hint="eastAsia" w:cs="Times New Roman"/>
                <w:color w:val="auto"/>
                <w:spacing w:val="0"/>
                <w:sz w:val="21"/>
                <w:szCs w:val="21"/>
                <w:highlight w:val="none"/>
                <w:lang w:val="en-US" w:eastAsia="zh-CN"/>
              </w:rPr>
              <w:t>44</w:t>
            </w:r>
            <w:r>
              <w:rPr>
                <w:rFonts w:hint="default" w:ascii="Times New Roman" w:hAnsi="Times New Roman" w:cs="Times New Roman"/>
                <w:color w:val="auto"/>
                <w:spacing w:val="0"/>
                <w:sz w:val="21"/>
                <w:szCs w:val="21"/>
                <w:highlight w:val="none"/>
                <w:lang w:val="en-US" w:eastAsia="zh-CN"/>
              </w:rPr>
              <w:t>°</w:t>
            </w:r>
            <w:r>
              <w:rPr>
                <w:rFonts w:hint="eastAsia" w:cs="Times New Roman"/>
                <w:color w:val="auto"/>
                <w:spacing w:val="0"/>
                <w:sz w:val="21"/>
                <w:szCs w:val="21"/>
                <w:highlight w:val="none"/>
                <w:lang w:val="en-US" w:eastAsia="zh-CN"/>
              </w:rPr>
              <w:t>09</w:t>
            </w:r>
            <w:r>
              <w:rPr>
                <w:rFonts w:hint="default" w:ascii="Times New Roman" w:hAnsi="Times New Roman" w:cs="Times New Roman"/>
                <w:color w:val="auto"/>
                <w:spacing w:val="0"/>
                <w:sz w:val="21"/>
                <w:szCs w:val="21"/>
                <w:highlight w:val="none"/>
                <w:lang w:val="en-US" w:eastAsia="zh-CN"/>
              </w:rPr>
              <w:t>′</w:t>
            </w:r>
            <w:r>
              <w:rPr>
                <w:rFonts w:hint="eastAsia" w:cs="Times New Roman"/>
                <w:color w:val="auto"/>
                <w:spacing w:val="0"/>
                <w:sz w:val="21"/>
                <w:szCs w:val="21"/>
                <w:highlight w:val="none"/>
                <w:lang w:val="en-US" w:eastAsia="zh-CN"/>
              </w:rPr>
              <w:t>40.41</w:t>
            </w:r>
            <w:r>
              <w:rPr>
                <w:rFonts w:hint="default" w:ascii="Times New Roman" w:hAnsi="Times New Roman" w:cs="Times New Roman"/>
                <w:color w:val="auto"/>
                <w:spacing w:val="0"/>
                <w:sz w:val="21"/>
                <w:szCs w:val="21"/>
                <w:highlight w:val="none"/>
                <w:lang w:val="en-US" w:eastAsia="zh-CN"/>
              </w:rPr>
              <w:t>″</w:t>
            </w:r>
          </w:p>
        </w:tc>
        <w:tc>
          <w:tcPr>
            <w:tcW w:w="700" w:type="pct"/>
            <w:vMerge w:val="restart"/>
            <w:tcBorders>
              <w:tl2br w:val="nil"/>
              <w:tr2bl w:val="nil"/>
            </w:tcBorders>
            <w:vAlign w:val="center"/>
          </w:tcPr>
          <w:p w14:paraId="4AED72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vertAlign w:val="baseline"/>
                <w:lang w:val="en-US" w:eastAsia="zh-CN" w:bidi="ar"/>
              </w:rPr>
            </w:pPr>
            <w:r>
              <w:rPr>
                <w:rFonts w:hint="default" w:ascii="Times New Roman" w:hAnsi="Times New Roman" w:eastAsia="宋体" w:cs="Times New Roman"/>
                <w:snapToGrid/>
                <w:color w:val="auto"/>
                <w:spacing w:val="0"/>
                <w:w w:val="100"/>
                <w:kern w:val="24"/>
                <w:position w:val="0"/>
                <w:sz w:val="21"/>
                <w:szCs w:val="21"/>
                <w:highlight w:val="none"/>
                <w:vertAlign w:val="baseline"/>
                <w:lang w:val="en-US" w:eastAsia="zh-CN" w:bidi="ar"/>
              </w:rPr>
              <w:t>TSP、非甲烷总烃</w:t>
            </w:r>
          </w:p>
        </w:tc>
        <w:tc>
          <w:tcPr>
            <w:tcW w:w="1093" w:type="pct"/>
            <w:vMerge w:val="restart"/>
            <w:tcBorders>
              <w:tl2br w:val="nil"/>
              <w:tr2bl w:val="nil"/>
            </w:tcBorders>
            <w:vAlign w:val="center"/>
          </w:tcPr>
          <w:p w14:paraId="0222A3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vertAlign w:val="baseline"/>
                <w:lang w:val="en-US" w:eastAsia="zh-CN" w:bidi="ar"/>
              </w:rPr>
            </w:pPr>
            <w:r>
              <w:rPr>
                <w:rFonts w:hint="eastAsia" w:ascii="Times New Roman" w:hAnsi="Times New Roman" w:eastAsia="宋体" w:cs="Times New Roman"/>
                <w:snapToGrid/>
                <w:color w:val="auto"/>
                <w:spacing w:val="0"/>
                <w:w w:val="100"/>
                <w:kern w:val="24"/>
                <w:position w:val="0"/>
                <w:sz w:val="21"/>
                <w:szCs w:val="21"/>
                <w:highlight w:val="none"/>
                <w:vertAlign w:val="baseline"/>
                <w:lang w:val="en-US" w:eastAsia="zh-CN" w:bidi="ar"/>
              </w:rPr>
              <w:t>2026.</w:t>
            </w:r>
            <w:r>
              <w:rPr>
                <w:rFonts w:hint="eastAsia" w:cs="Times New Roman"/>
                <w:snapToGrid/>
                <w:color w:val="auto"/>
                <w:spacing w:val="0"/>
                <w:w w:val="100"/>
                <w:kern w:val="24"/>
                <w:position w:val="0"/>
                <w:sz w:val="21"/>
                <w:szCs w:val="21"/>
                <w:highlight w:val="none"/>
                <w:vertAlign w:val="baseline"/>
                <w:lang w:val="en-US" w:eastAsia="zh-CN" w:bidi="ar"/>
              </w:rPr>
              <w:t>7.9</w:t>
            </w:r>
            <w:r>
              <w:rPr>
                <w:rFonts w:hint="eastAsia" w:ascii="Times New Roman" w:hAnsi="Times New Roman" w:eastAsia="宋体" w:cs="Times New Roman"/>
                <w:snapToGrid/>
                <w:color w:val="auto"/>
                <w:spacing w:val="0"/>
                <w:w w:val="100"/>
                <w:kern w:val="24"/>
                <w:position w:val="0"/>
                <w:sz w:val="21"/>
                <w:szCs w:val="21"/>
                <w:highlight w:val="none"/>
                <w:vertAlign w:val="baseline"/>
                <w:lang w:val="en-US" w:eastAsia="zh-CN" w:bidi="ar"/>
              </w:rPr>
              <w:t>~2026.</w:t>
            </w:r>
            <w:r>
              <w:rPr>
                <w:rFonts w:hint="eastAsia" w:cs="Times New Roman"/>
                <w:snapToGrid/>
                <w:color w:val="auto"/>
                <w:spacing w:val="0"/>
                <w:w w:val="100"/>
                <w:kern w:val="24"/>
                <w:position w:val="0"/>
                <w:sz w:val="21"/>
                <w:szCs w:val="21"/>
                <w:highlight w:val="none"/>
                <w:vertAlign w:val="baseline"/>
                <w:lang w:val="en-US" w:eastAsia="zh-CN" w:bidi="ar"/>
              </w:rPr>
              <w:t>7.15</w:t>
            </w:r>
          </w:p>
        </w:tc>
        <w:tc>
          <w:tcPr>
            <w:tcW w:w="690" w:type="pct"/>
            <w:tcBorders>
              <w:tl2br w:val="nil"/>
              <w:tr2bl w:val="nil"/>
            </w:tcBorders>
            <w:vAlign w:val="center"/>
          </w:tcPr>
          <w:p w14:paraId="2F3134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vertAlign w:val="baseline"/>
                <w:lang w:val="en-US" w:eastAsia="zh-CN" w:bidi="ar"/>
              </w:rPr>
            </w:pPr>
            <w:r>
              <w:rPr>
                <w:rFonts w:hint="default" w:ascii="Times New Roman" w:hAnsi="Times New Roman" w:eastAsia="宋体" w:cs="Times New Roman"/>
                <w:snapToGrid/>
                <w:color w:val="auto"/>
                <w:spacing w:val="0"/>
                <w:w w:val="100"/>
                <w:kern w:val="24"/>
                <w:position w:val="0"/>
                <w:sz w:val="21"/>
                <w:szCs w:val="21"/>
                <w:highlight w:val="none"/>
                <w:vertAlign w:val="baseline"/>
                <w:lang w:val="en-US" w:eastAsia="zh-CN" w:bidi="ar"/>
              </w:rPr>
              <w:t>厂区</w:t>
            </w:r>
            <w:r>
              <w:rPr>
                <w:rFonts w:hint="eastAsia" w:cs="Times New Roman"/>
                <w:snapToGrid/>
                <w:color w:val="auto"/>
                <w:spacing w:val="0"/>
                <w:w w:val="100"/>
                <w:kern w:val="24"/>
                <w:position w:val="0"/>
                <w:sz w:val="21"/>
                <w:szCs w:val="21"/>
                <w:highlight w:val="none"/>
                <w:vertAlign w:val="baseline"/>
                <w:lang w:val="en-US" w:eastAsia="zh-CN" w:bidi="ar"/>
              </w:rPr>
              <w:t>内</w:t>
            </w:r>
          </w:p>
        </w:tc>
        <w:tc>
          <w:tcPr>
            <w:tcW w:w="501" w:type="pct"/>
            <w:tcBorders>
              <w:tl2br w:val="nil"/>
              <w:tr2bl w:val="nil"/>
            </w:tcBorders>
            <w:vAlign w:val="center"/>
          </w:tcPr>
          <w:p w14:paraId="53A92E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vertAlign w:val="baseline"/>
                <w:lang w:val="en-US" w:eastAsia="zh-CN" w:bidi="ar"/>
              </w:rPr>
            </w:pPr>
            <w:r>
              <w:rPr>
                <w:rFonts w:hint="eastAsia" w:cs="Times New Roman"/>
                <w:snapToGrid/>
                <w:color w:val="auto"/>
                <w:spacing w:val="0"/>
                <w:w w:val="100"/>
                <w:kern w:val="24"/>
                <w:position w:val="0"/>
                <w:sz w:val="21"/>
                <w:szCs w:val="21"/>
                <w:highlight w:val="none"/>
                <w:vertAlign w:val="baseline"/>
                <w:lang w:val="en-US" w:eastAsia="zh-CN" w:bidi="ar"/>
              </w:rPr>
              <w:t>/</w:t>
            </w:r>
          </w:p>
        </w:tc>
      </w:tr>
      <w:tr w14:paraId="417889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570" w:type="pct"/>
            <w:tcBorders>
              <w:tl2br w:val="nil"/>
              <w:tr2bl w:val="nil"/>
            </w:tcBorders>
            <w:vAlign w:val="center"/>
          </w:tcPr>
          <w:p w14:paraId="4A9BD9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vertAlign w:val="baseline"/>
                <w:lang w:val="en-US" w:eastAsia="zh-CN" w:bidi="ar"/>
              </w:rPr>
            </w:pPr>
            <w:r>
              <w:rPr>
                <w:rFonts w:hint="default" w:ascii="Times New Roman" w:hAnsi="Times New Roman" w:eastAsia="宋体" w:cs="Times New Roman"/>
                <w:snapToGrid/>
                <w:color w:val="auto"/>
                <w:spacing w:val="0"/>
                <w:w w:val="100"/>
                <w:kern w:val="24"/>
                <w:position w:val="0"/>
                <w:sz w:val="21"/>
                <w:szCs w:val="21"/>
                <w:highlight w:val="none"/>
                <w:vertAlign w:val="baseline"/>
                <w:lang w:val="en-US" w:eastAsia="zh-CN" w:bidi="ar"/>
              </w:rPr>
              <w:t>项目区下风向2#</w:t>
            </w:r>
          </w:p>
        </w:tc>
        <w:tc>
          <w:tcPr>
            <w:tcW w:w="713" w:type="pct"/>
            <w:tcBorders>
              <w:tl2br w:val="nil"/>
              <w:tr2bl w:val="nil"/>
            </w:tcBorders>
            <w:vAlign w:val="center"/>
          </w:tcPr>
          <w:p w14:paraId="55FA23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vertAlign w:val="baseline"/>
                <w:lang w:val="en-US" w:eastAsia="zh-CN" w:bidi="ar"/>
              </w:rPr>
            </w:pPr>
            <w:r>
              <w:rPr>
                <w:rFonts w:hint="eastAsia" w:cs="Times New Roman"/>
                <w:color w:val="auto"/>
                <w:spacing w:val="0"/>
                <w:sz w:val="21"/>
                <w:szCs w:val="21"/>
                <w:highlight w:val="none"/>
                <w:lang w:val="en-US" w:eastAsia="zh-CN"/>
              </w:rPr>
              <w:t>87</w:t>
            </w:r>
            <w:r>
              <w:rPr>
                <w:rFonts w:hint="default" w:ascii="Times New Roman" w:hAnsi="Times New Roman" w:cs="Times New Roman"/>
                <w:color w:val="auto"/>
                <w:spacing w:val="0"/>
                <w:sz w:val="21"/>
                <w:szCs w:val="21"/>
                <w:highlight w:val="none"/>
                <w:lang w:val="en-US" w:eastAsia="zh-CN"/>
              </w:rPr>
              <w:t>°</w:t>
            </w:r>
            <w:r>
              <w:rPr>
                <w:rFonts w:hint="eastAsia" w:cs="Times New Roman"/>
                <w:color w:val="auto"/>
                <w:spacing w:val="0"/>
                <w:sz w:val="21"/>
                <w:szCs w:val="21"/>
                <w:highlight w:val="none"/>
                <w:lang w:val="en-US" w:eastAsia="zh-CN"/>
              </w:rPr>
              <w:t>50</w:t>
            </w:r>
            <w:r>
              <w:rPr>
                <w:rFonts w:hint="default" w:ascii="Times New Roman" w:hAnsi="Times New Roman" w:cs="Times New Roman"/>
                <w:color w:val="auto"/>
                <w:spacing w:val="0"/>
                <w:sz w:val="21"/>
                <w:szCs w:val="21"/>
                <w:highlight w:val="none"/>
                <w:lang w:val="en-US" w:eastAsia="zh-CN"/>
              </w:rPr>
              <w:t>′</w:t>
            </w:r>
            <w:r>
              <w:rPr>
                <w:rFonts w:hint="eastAsia" w:cs="Times New Roman"/>
                <w:color w:val="auto"/>
                <w:spacing w:val="0"/>
                <w:sz w:val="21"/>
                <w:szCs w:val="21"/>
                <w:highlight w:val="none"/>
                <w:lang w:val="en-US" w:eastAsia="zh-CN"/>
              </w:rPr>
              <w:t>24.49</w:t>
            </w:r>
            <w:r>
              <w:rPr>
                <w:rFonts w:hint="default" w:ascii="Times New Roman" w:hAnsi="Times New Roman" w:cs="Times New Roman"/>
                <w:color w:val="auto"/>
                <w:spacing w:val="0"/>
                <w:sz w:val="21"/>
                <w:szCs w:val="21"/>
                <w:highlight w:val="none"/>
                <w:lang w:val="en-US" w:eastAsia="zh-CN"/>
              </w:rPr>
              <w:t>″</w:t>
            </w:r>
          </w:p>
        </w:tc>
        <w:tc>
          <w:tcPr>
            <w:tcW w:w="731" w:type="pct"/>
            <w:tcBorders>
              <w:tl2br w:val="nil"/>
              <w:tr2bl w:val="nil"/>
            </w:tcBorders>
            <w:vAlign w:val="center"/>
          </w:tcPr>
          <w:p w14:paraId="0D9635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vertAlign w:val="baseline"/>
                <w:lang w:val="en-US" w:eastAsia="zh-CN" w:bidi="ar"/>
              </w:rPr>
            </w:pPr>
            <w:r>
              <w:rPr>
                <w:rFonts w:hint="eastAsia" w:cs="Times New Roman"/>
                <w:color w:val="auto"/>
                <w:spacing w:val="0"/>
                <w:sz w:val="21"/>
                <w:szCs w:val="21"/>
                <w:highlight w:val="none"/>
                <w:lang w:val="en-US" w:eastAsia="zh-CN"/>
              </w:rPr>
              <w:t>44</w:t>
            </w:r>
            <w:r>
              <w:rPr>
                <w:rFonts w:hint="default" w:ascii="Times New Roman" w:hAnsi="Times New Roman" w:cs="Times New Roman"/>
                <w:color w:val="auto"/>
                <w:spacing w:val="0"/>
                <w:sz w:val="21"/>
                <w:szCs w:val="21"/>
                <w:highlight w:val="none"/>
                <w:lang w:val="en-US" w:eastAsia="zh-CN"/>
              </w:rPr>
              <w:t>°</w:t>
            </w:r>
            <w:r>
              <w:rPr>
                <w:rFonts w:hint="eastAsia" w:cs="Times New Roman"/>
                <w:color w:val="auto"/>
                <w:spacing w:val="0"/>
                <w:sz w:val="21"/>
                <w:szCs w:val="21"/>
                <w:highlight w:val="none"/>
                <w:lang w:val="en-US" w:eastAsia="zh-CN"/>
              </w:rPr>
              <w:t>09</w:t>
            </w:r>
            <w:r>
              <w:rPr>
                <w:rFonts w:hint="default" w:ascii="Times New Roman" w:hAnsi="Times New Roman" w:cs="Times New Roman"/>
                <w:color w:val="auto"/>
                <w:spacing w:val="0"/>
                <w:sz w:val="21"/>
                <w:szCs w:val="21"/>
                <w:highlight w:val="none"/>
                <w:lang w:val="en-US" w:eastAsia="zh-CN"/>
              </w:rPr>
              <w:t>′</w:t>
            </w:r>
            <w:r>
              <w:rPr>
                <w:rFonts w:hint="eastAsia" w:cs="Times New Roman"/>
                <w:color w:val="auto"/>
                <w:spacing w:val="0"/>
                <w:sz w:val="21"/>
                <w:szCs w:val="21"/>
                <w:highlight w:val="none"/>
                <w:lang w:val="en-US" w:eastAsia="zh-CN"/>
              </w:rPr>
              <w:t>36.59</w:t>
            </w:r>
            <w:r>
              <w:rPr>
                <w:rFonts w:hint="default" w:ascii="Times New Roman" w:hAnsi="Times New Roman" w:cs="Times New Roman"/>
                <w:color w:val="auto"/>
                <w:spacing w:val="0"/>
                <w:sz w:val="21"/>
                <w:szCs w:val="21"/>
                <w:highlight w:val="none"/>
                <w:lang w:val="en-US" w:eastAsia="zh-CN"/>
              </w:rPr>
              <w:t>″</w:t>
            </w:r>
          </w:p>
        </w:tc>
        <w:tc>
          <w:tcPr>
            <w:tcW w:w="700" w:type="pct"/>
            <w:vMerge w:val="continue"/>
            <w:tcBorders>
              <w:tl2br w:val="nil"/>
              <w:tr2bl w:val="nil"/>
            </w:tcBorders>
            <w:vAlign w:val="center"/>
          </w:tcPr>
          <w:p w14:paraId="00A7C6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vertAlign w:val="baseline"/>
                <w:lang w:val="en-US" w:eastAsia="zh-CN" w:bidi="ar"/>
              </w:rPr>
            </w:pPr>
          </w:p>
        </w:tc>
        <w:tc>
          <w:tcPr>
            <w:tcW w:w="1093" w:type="pct"/>
            <w:vMerge w:val="continue"/>
            <w:tcBorders>
              <w:tl2br w:val="nil"/>
              <w:tr2bl w:val="nil"/>
            </w:tcBorders>
            <w:vAlign w:val="center"/>
          </w:tcPr>
          <w:p w14:paraId="43F427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snapToGrid/>
                <w:color w:val="auto"/>
                <w:spacing w:val="0"/>
                <w:w w:val="100"/>
                <w:kern w:val="24"/>
                <w:position w:val="0"/>
                <w:sz w:val="21"/>
                <w:szCs w:val="21"/>
                <w:highlight w:val="none"/>
                <w:vertAlign w:val="baseline"/>
                <w:lang w:val="en-US" w:eastAsia="zh-CN" w:bidi="ar"/>
              </w:rPr>
            </w:pPr>
          </w:p>
        </w:tc>
        <w:tc>
          <w:tcPr>
            <w:tcW w:w="690" w:type="pct"/>
            <w:tcBorders>
              <w:tl2br w:val="nil"/>
              <w:tr2bl w:val="nil"/>
            </w:tcBorders>
            <w:vAlign w:val="center"/>
          </w:tcPr>
          <w:p w14:paraId="61B594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vertAlign w:val="baseline"/>
                <w:lang w:val="en-US" w:eastAsia="zh-CN" w:bidi="ar"/>
              </w:rPr>
            </w:pPr>
            <w:r>
              <w:rPr>
                <w:rFonts w:hint="eastAsia" w:cs="Times New Roman"/>
                <w:snapToGrid/>
                <w:color w:val="auto"/>
                <w:spacing w:val="0"/>
                <w:w w:val="100"/>
                <w:kern w:val="24"/>
                <w:position w:val="0"/>
                <w:sz w:val="21"/>
                <w:szCs w:val="21"/>
                <w:highlight w:val="none"/>
                <w:vertAlign w:val="baseline"/>
                <w:lang w:val="en-US" w:eastAsia="zh-CN" w:bidi="ar"/>
              </w:rPr>
              <w:t>厂区下风向</w:t>
            </w:r>
          </w:p>
        </w:tc>
        <w:tc>
          <w:tcPr>
            <w:tcW w:w="501" w:type="pct"/>
            <w:tcBorders>
              <w:tl2br w:val="nil"/>
              <w:tr2bl w:val="nil"/>
            </w:tcBorders>
            <w:vAlign w:val="center"/>
          </w:tcPr>
          <w:p w14:paraId="0387CF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vertAlign w:val="baseline"/>
                <w:lang w:val="en-US" w:eastAsia="zh-CN" w:bidi="ar"/>
              </w:rPr>
            </w:pPr>
            <w:r>
              <w:rPr>
                <w:rFonts w:hint="eastAsia" w:cs="Times New Roman"/>
                <w:snapToGrid/>
                <w:color w:val="auto"/>
                <w:spacing w:val="0"/>
                <w:w w:val="100"/>
                <w:kern w:val="24"/>
                <w:position w:val="0"/>
                <w:sz w:val="21"/>
                <w:szCs w:val="21"/>
                <w:highlight w:val="none"/>
                <w:vertAlign w:val="baseline"/>
                <w:lang w:val="en-US" w:eastAsia="zh-CN" w:bidi="ar"/>
              </w:rPr>
              <w:t>100</w:t>
            </w:r>
          </w:p>
        </w:tc>
      </w:tr>
    </w:tbl>
    <w:p w14:paraId="468A96EF">
      <w:pPr>
        <w:pStyle w:val="6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snapToGrid/>
          <w:color w:val="auto"/>
          <w:spacing w:val="0"/>
          <w:w w:val="100"/>
          <w:kern w:val="24"/>
          <w:position w:val="0"/>
          <w:sz w:val="24"/>
          <w:szCs w:val="24"/>
          <w:highlight w:val="none"/>
        </w:rPr>
      </w:pPr>
      <w:r>
        <w:rPr>
          <w:rFonts w:hint="default" w:ascii="Times New Roman" w:hAnsi="Times New Roman" w:eastAsia="宋体" w:cs="Times New Roman"/>
          <w:snapToGrid/>
          <w:color w:val="auto"/>
          <w:spacing w:val="0"/>
          <w:w w:val="100"/>
          <w:kern w:val="24"/>
          <w:position w:val="0"/>
          <w:sz w:val="24"/>
          <w:szCs w:val="24"/>
          <w:highlight w:val="none"/>
        </w:rPr>
        <w:t>（3）监测时段与频次</w:t>
      </w:r>
    </w:p>
    <w:p w14:paraId="19984614">
      <w:pPr>
        <w:pStyle w:val="63"/>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default" w:ascii="Times New Roman" w:hAnsi="Times New Roman" w:eastAsia="宋体" w:cs="Times New Roman"/>
          <w:snapToGrid/>
          <w:color w:val="auto"/>
          <w:spacing w:val="0"/>
          <w:w w:val="100"/>
          <w:kern w:val="28"/>
          <w:position w:val="0"/>
          <w:sz w:val="24"/>
          <w:szCs w:val="24"/>
          <w:highlight w:val="none"/>
          <w:lang w:val="en-US" w:eastAsia="zh-CN"/>
        </w:rPr>
      </w:pPr>
      <w:r>
        <w:rPr>
          <w:rFonts w:hint="default" w:ascii="Times New Roman" w:hAnsi="Times New Roman" w:eastAsia="宋体" w:cs="Times New Roman"/>
          <w:snapToGrid/>
          <w:color w:val="auto"/>
          <w:spacing w:val="0"/>
          <w:w w:val="100"/>
          <w:kern w:val="28"/>
          <w:position w:val="0"/>
          <w:sz w:val="24"/>
          <w:szCs w:val="24"/>
          <w:highlight w:val="none"/>
        </w:rPr>
        <w:t>监测日期为2026.7.9~2026.7.15</w:t>
      </w:r>
      <w:r>
        <w:rPr>
          <w:rFonts w:hint="eastAsia" w:ascii="Times New Roman" w:hAnsi="Times New Roman" w:eastAsia="宋体" w:cs="Times New Roman"/>
          <w:snapToGrid/>
          <w:color w:val="auto"/>
          <w:spacing w:val="0"/>
          <w:w w:val="100"/>
          <w:kern w:val="28"/>
          <w:position w:val="0"/>
          <w:sz w:val="24"/>
          <w:szCs w:val="24"/>
          <w:highlight w:val="none"/>
          <w:lang w:eastAsia="zh-CN"/>
        </w:rPr>
        <w:t>；</w:t>
      </w:r>
      <w:r>
        <w:rPr>
          <w:rFonts w:hint="eastAsia" w:cs="Times New Roman"/>
          <w:snapToGrid/>
          <w:color w:val="auto"/>
          <w:spacing w:val="0"/>
          <w:w w:val="100"/>
          <w:kern w:val="28"/>
          <w:position w:val="0"/>
          <w:sz w:val="24"/>
          <w:szCs w:val="24"/>
          <w:highlight w:val="none"/>
          <w:lang w:val="en-US" w:eastAsia="zh-CN"/>
        </w:rPr>
        <w:t>非甲烷总烃</w:t>
      </w:r>
      <w:r>
        <w:rPr>
          <w:rFonts w:hint="default" w:ascii="Times New Roman" w:hAnsi="Times New Roman" w:eastAsia="宋体" w:cs="Times New Roman"/>
          <w:snapToGrid/>
          <w:color w:val="auto"/>
          <w:spacing w:val="0"/>
          <w:w w:val="100"/>
          <w:kern w:val="28"/>
          <w:position w:val="0"/>
          <w:sz w:val="24"/>
          <w:szCs w:val="24"/>
          <w:highlight w:val="none"/>
        </w:rPr>
        <w:t>监测1小时平均浓度</w:t>
      </w:r>
      <w:r>
        <w:rPr>
          <w:rFonts w:hint="eastAsia" w:cs="Times New Roman"/>
          <w:snapToGrid/>
          <w:color w:val="auto"/>
          <w:spacing w:val="0"/>
          <w:w w:val="100"/>
          <w:kern w:val="28"/>
          <w:position w:val="0"/>
          <w:sz w:val="24"/>
          <w:szCs w:val="24"/>
          <w:highlight w:val="none"/>
          <w:lang w:eastAsia="zh-CN"/>
        </w:rPr>
        <w:t>，</w:t>
      </w:r>
      <w:r>
        <w:rPr>
          <w:rFonts w:hint="eastAsia" w:cs="Times New Roman"/>
          <w:snapToGrid/>
          <w:color w:val="auto"/>
          <w:spacing w:val="0"/>
          <w:w w:val="100"/>
          <w:kern w:val="28"/>
          <w:position w:val="0"/>
          <w:sz w:val="24"/>
          <w:szCs w:val="24"/>
          <w:highlight w:val="none"/>
          <w:lang w:val="en-US" w:eastAsia="zh-CN"/>
        </w:rPr>
        <w:t>TSP监测日均值</w:t>
      </w:r>
      <w:r>
        <w:rPr>
          <w:rFonts w:hint="default" w:ascii="Times New Roman" w:hAnsi="Times New Roman" w:eastAsia="宋体" w:cs="Times New Roman"/>
          <w:snapToGrid/>
          <w:color w:val="auto"/>
          <w:spacing w:val="0"/>
          <w:w w:val="100"/>
          <w:kern w:val="28"/>
          <w:position w:val="0"/>
          <w:sz w:val="24"/>
          <w:szCs w:val="24"/>
          <w:highlight w:val="none"/>
        </w:rPr>
        <w:t>。</w:t>
      </w:r>
    </w:p>
    <w:p w14:paraId="7141EA97">
      <w:pPr>
        <w:pStyle w:val="6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snapToGrid/>
          <w:color w:val="auto"/>
          <w:spacing w:val="0"/>
          <w:w w:val="100"/>
          <w:kern w:val="24"/>
          <w:position w:val="0"/>
          <w:sz w:val="24"/>
          <w:szCs w:val="24"/>
          <w:highlight w:val="none"/>
        </w:rPr>
      </w:pPr>
      <w:r>
        <w:rPr>
          <w:rFonts w:hint="default" w:ascii="Times New Roman" w:hAnsi="Times New Roman" w:eastAsia="宋体" w:cs="Times New Roman"/>
          <w:snapToGrid/>
          <w:color w:val="auto"/>
          <w:spacing w:val="0"/>
          <w:w w:val="100"/>
          <w:kern w:val="24"/>
          <w:position w:val="0"/>
          <w:sz w:val="24"/>
          <w:szCs w:val="24"/>
          <w:highlight w:val="none"/>
        </w:rPr>
        <w:t>（4）评价标准</w:t>
      </w:r>
    </w:p>
    <w:p w14:paraId="56D02161">
      <w:pPr>
        <w:pStyle w:val="6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snapToGrid/>
          <w:color w:val="auto"/>
          <w:spacing w:val="0"/>
          <w:w w:val="100"/>
          <w:kern w:val="24"/>
          <w:position w:val="0"/>
          <w:sz w:val="24"/>
          <w:szCs w:val="24"/>
          <w:highlight w:val="none"/>
        </w:rPr>
      </w:pPr>
      <w:r>
        <w:rPr>
          <w:rFonts w:hint="default" w:ascii="Times New Roman" w:hAnsi="Times New Roman" w:eastAsia="宋体" w:cs="Times New Roman"/>
          <w:snapToGrid/>
          <w:color w:val="auto"/>
          <w:spacing w:val="0"/>
          <w:w w:val="100"/>
          <w:kern w:val="24"/>
          <w:position w:val="0"/>
          <w:sz w:val="24"/>
          <w:szCs w:val="24"/>
          <w:highlight w:val="none"/>
          <w:vertAlign w:val="baseline"/>
          <w:lang w:val="en-US" w:eastAsia="zh-CN" w:bidi="ar"/>
        </w:rPr>
        <w:t>TSP</w:t>
      </w:r>
      <w:r>
        <w:rPr>
          <w:rFonts w:hint="default" w:ascii="Times New Roman" w:hAnsi="Times New Roman" w:eastAsia="宋体" w:cs="Times New Roman"/>
          <w:snapToGrid/>
          <w:color w:val="auto"/>
          <w:spacing w:val="0"/>
          <w:w w:val="100"/>
          <w:kern w:val="24"/>
          <w:position w:val="0"/>
          <w:sz w:val="24"/>
          <w:szCs w:val="24"/>
          <w:highlight w:val="none"/>
        </w:rPr>
        <w:t>执行</w:t>
      </w:r>
      <w:r>
        <w:rPr>
          <w:rFonts w:hint="default" w:ascii="Times New Roman" w:hAnsi="Times New Roman" w:eastAsia="宋体" w:cs="Times New Roman"/>
          <w:caps w:val="0"/>
          <w:snapToGrid/>
          <w:color w:val="auto"/>
          <w:spacing w:val="0"/>
          <w:w w:val="100"/>
          <w:kern w:val="21"/>
          <w:position w:val="0"/>
          <w:sz w:val="24"/>
          <w:szCs w:val="24"/>
          <w:highlight w:val="none"/>
          <w:u w:val="none" w:color="000000"/>
        </w:rPr>
        <w:t>《环境空气质量标准》（GB3095-20</w:t>
      </w:r>
      <w:r>
        <w:rPr>
          <w:rFonts w:hint="eastAsia" w:cs="Times New Roman"/>
          <w:caps w:val="0"/>
          <w:snapToGrid/>
          <w:color w:val="auto"/>
          <w:spacing w:val="0"/>
          <w:w w:val="100"/>
          <w:kern w:val="21"/>
          <w:position w:val="0"/>
          <w:sz w:val="24"/>
          <w:szCs w:val="24"/>
          <w:highlight w:val="none"/>
          <w:u w:val="none" w:color="000000"/>
          <w:lang w:val="en-US" w:eastAsia="zh-CN"/>
        </w:rPr>
        <w:t>6</w:t>
      </w:r>
      <w:r>
        <w:rPr>
          <w:rFonts w:hint="default" w:ascii="Times New Roman" w:hAnsi="Times New Roman" w:eastAsia="宋体" w:cs="Times New Roman"/>
          <w:caps w:val="0"/>
          <w:snapToGrid/>
          <w:color w:val="auto"/>
          <w:spacing w:val="0"/>
          <w:w w:val="100"/>
          <w:kern w:val="21"/>
          <w:position w:val="0"/>
          <w:sz w:val="24"/>
          <w:szCs w:val="24"/>
          <w:highlight w:val="none"/>
          <w:u w:val="none" w:color="000000"/>
        </w:rPr>
        <w:t>）中二级标准</w:t>
      </w:r>
      <w:r>
        <w:rPr>
          <w:rFonts w:hint="eastAsia" w:ascii="Times New Roman" w:hAnsi="Times New Roman" w:eastAsia="宋体" w:cs="Times New Roman"/>
          <w:caps w:val="0"/>
          <w:snapToGrid/>
          <w:color w:val="auto"/>
          <w:spacing w:val="0"/>
          <w:w w:val="100"/>
          <w:kern w:val="21"/>
          <w:position w:val="0"/>
          <w:sz w:val="24"/>
          <w:szCs w:val="24"/>
          <w:highlight w:val="none"/>
          <w:u w:val="none" w:color="000000"/>
          <w:lang w:eastAsia="zh-CN"/>
        </w:rPr>
        <w:t>，</w:t>
      </w:r>
      <w:r>
        <w:rPr>
          <w:rFonts w:hint="default" w:ascii="Times New Roman" w:hAnsi="Times New Roman" w:eastAsia="宋体" w:cs="Times New Roman"/>
          <w:snapToGrid/>
          <w:color w:val="auto"/>
          <w:spacing w:val="0"/>
          <w:w w:val="100"/>
          <w:kern w:val="24"/>
          <w:position w:val="0"/>
          <w:sz w:val="24"/>
          <w:szCs w:val="24"/>
          <w:highlight w:val="none"/>
          <w:vertAlign w:val="baseline"/>
          <w:lang w:val="en-US" w:eastAsia="zh-CN" w:bidi="ar"/>
        </w:rPr>
        <w:t>非甲烷总烃</w:t>
      </w:r>
      <w:r>
        <w:rPr>
          <w:rFonts w:hint="eastAsia" w:ascii="Times New Roman" w:hAnsi="Times New Roman" w:eastAsia="宋体" w:cs="Times New Roman"/>
          <w:snapToGrid/>
          <w:color w:val="auto"/>
          <w:spacing w:val="0"/>
          <w:w w:val="100"/>
          <w:kern w:val="24"/>
          <w:position w:val="0"/>
          <w:sz w:val="24"/>
          <w:szCs w:val="24"/>
          <w:highlight w:val="none"/>
          <w:vertAlign w:val="baseline"/>
          <w:lang w:val="en-US" w:eastAsia="zh-CN" w:bidi="ar"/>
        </w:rPr>
        <w:t>执行</w:t>
      </w:r>
      <w:r>
        <w:rPr>
          <w:rFonts w:hint="default" w:ascii="Times New Roman" w:hAnsi="Times New Roman" w:eastAsia="宋体" w:cs="Times New Roman"/>
          <w:caps w:val="0"/>
          <w:snapToGrid/>
          <w:color w:val="auto"/>
          <w:spacing w:val="0"/>
          <w:w w:val="100"/>
          <w:kern w:val="21"/>
          <w:position w:val="0"/>
          <w:sz w:val="24"/>
          <w:szCs w:val="24"/>
          <w:highlight w:val="none"/>
          <w:u w:val="none" w:color="000000"/>
        </w:rPr>
        <w:t>《大气污染物综合排放标准详解》限值</w:t>
      </w:r>
      <w:r>
        <w:rPr>
          <w:rFonts w:hint="default" w:ascii="Times New Roman" w:hAnsi="Times New Roman" w:eastAsia="宋体" w:cs="Times New Roman"/>
          <w:caps w:val="0"/>
          <w:snapToGrid/>
          <w:color w:val="auto"/>
          <w:spacing w:val="0"/>
          <w:w w:val="100"/>
          <w:kern w:val="21"/>
          <w:position w:val="0"/>
          <w:sz w:val="24"/>
          <w:szCs w:val="24"/>
          <w:highlight w:val="none"/>
          <w:u w:val="none" w:color="000000"/>
          <w:lang w:eastAsia="zh-CN"/>
        </w:rPr>
        <w:t>要求</w:t>
      </w:r>
      <w:r>
        <w:rPr>
          <w:rFonts w:hint="default" w:ascii="Times New Roman" w:hAnsi="Times New Roman" w:eastAsia="宋体" w:cs="Times New Roman"/>
          <w:snapToGrid/>
          <w:color w:val="auto"/>
          <w:spacing w:val="0"/>
          <w:w w:val="100"/>
          <w:kern w:val="24"/>
          <w:position w:val="0"/>
          <w:sz w:val="24"/>
          <w:szCs w:val="24"/>
          <w:highlight w:val="none"/>
        </w:rPr>
        <w:t>。</w:t>
      </w:r>
    </w:p>
    <w:p w14:paraId="62A80862">
      <w:pPr>
        <w:pStyle w:val="6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snapToGrid/>
          <w:color w:val="auto"/>
          <w:spacing w:val="0"/>
          <w:w w:val="100"/>
          <w:kern w:val="24"/>
          <w:position w:val="0"/>
          <w:sz w:val="24"/>
          <w:szCs w:val="24"/>
          <w:highlight w:val="none"/>
        </w:rPr>
      </w:pPr>
      <w:r>
        <w:rPr>
          <w:rFonts w:hint="default" w:ascii="Times New Roman" w:hAnsi="Times New Roman" w:eastAsia="宋体" w:cs="Times New Roman"/>
          <w:snapToGrid/>
          <w:color w:val="auto"/>
          <w:spacing w:val="0"/>
          <w:w w:val="100"/>
          <w:kern w:val="24"/>
          <w:position w:val="0"/>
          <w:sz w:val="24"/>
          <w:szCs w:val="24"/>
          <w:highlight w:val="none"/>
        </w:rPr>
        <w:t>（5）评价方法</w:t>
      </w:r>
    </w:p>
    <w:p w14:paraId="5F849056">
      <w:pPr>
        <w:pStyle w:val="6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snapToGrid/>
          <w:color w:val="auto"/>
          <w:spacing w:val="0"/>
          <w:w w:val="100"/>
          <w:kern w:val="24"/>
          <w:position w:val="0"/>
          <w:sz w:val="24"/>
          <w:szCs w:val="24"/>
          <w:highlight w:val="none"/>
        </w:rPr>
      </w:pPr>
      <w:r>
        <w:rPr>
          <w:rFonts w:hint="default" w:ascii="Times New Roman" w:hAnsi="Times New Roman" w:eastAsia="宋体" w:cs="Times New Roman"/>
          <w:snapToGrid/>
          <w:color w:val="auto"/>
          <w:spacing w:val="0"/>
          <w:w w:val="100"/>
          <w:kern w:val="24"/>
          <w:position w:val="0"/>
          <w:sz w:val="24"/>
          <w:szCs w:val="24"/>
          <w:highlight w:val="none"/>
        </w:rPr>
        <w:t>采用最大浓度占标率法：</w:t>
      </w:r>
    </w:p>
    <w:p w14:paraId="2A53EECB">
      <w:pPr>
        <w:pStyle w:val="6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4"/>
          <w:szCs w:val="24"/>
          <w:highlight w:val="none"/>
          <w:lang w:val="en-US" w:eastAsia="zh-CN"/>
        </w:rPr>
      </w:pPr>
      <w:r>
        <w:rPr>
          <w:rFonts w:hint="default" w:ascii="Times New Roman" w:hAnsi="Times New Roman" w:eastAsia="宋体" w:cs="Times New Roman"/>
          <w:i/>
          <w:iCs/>
          <w:snapToGrid/>
          <w:color w:val="auto"/>
          <w:spacing w:val="0"/>
          <w:w w:val="100"/>
          <w:kern w:val="24"/>
          <w:position w:val="0"/>
          <w:sz w:val="24"/>
          <w:szCs w:val="24"/>
          <w:highlight w:val="none"/>
        </w:rPr>
        <w:t>P</w:t>
      </w:r>
      <w:r>
        <w:rPr>
          <w:rFonts w:hint="default" w:ascii="Times New Roman" w:hAnsi="Times New Roman" w:eastAsia="宋体" w:cs="Times New Roman"/>
          <w:i/>
          <w:iCs/>
          <w:snapToGrid/>
          <w:color w:val="auto"/>
          <w:spacing w:val="0"/>
          <w:w w:val="100"/>
          <w:kern w:val="24"/>
          <w:position w:val="0"/>
          <w:sz w:val="24"/>
          <w:szCs w:val="24"/>
          <w:highlight w:val="none"/>
          <w:vertAlign w:val="subscript"/>
        </w:rPr>
        <w:t>i</w:t>
      </w:r>
      <w:r>
        <w:rPr>
          <w:rFonts w:hint="default" w:ascii="Times New Roman" w:hAnsi="Times New Roman" w:eastAsia="宋体" w:cs="Times New Roman"/>
          <w:i/>
          <w:iCs/>
          <w:snapToGrid/>
          <w:color w:val="auto"/>
          <w:spacing w:val="0"/>
          <w:w w:val="100"/>
          <w:kern w:val="24"/>
          <w:position w:val="0"/>
          <w:sz w:val="24"/>
          <w:szCs w:val="24"/>
          <w:highlight w:val="none"/>
        </w:rPr>
        <w:t>=</w:t>
      </w:r>
      <w:r>
        <w:rPr>
          <w:rFonts w:hint="eastAsia" w:ascii="Times New Roman" w:hAnsi="Times New Roman" w:eastAsia="宋体" w:cs="Times New Roman"/>
          <w:i/>
          <w:iCs/>
          <w:snapToGrid/>
          <w:color w:val="auto"/>
          <w:spacing w:val="0"/>
          <w:w w:val="100"/>
          <w:kern w:val="24"/>
          <w:position w:val="0"/>
          <w:sz w:val="24"/>
          <w:szCs w:val="24"/>
          <w:highlight w:val="none"/>
          <w:lang w:val="en-US" w:eastAsia="zh-CN"/>
        </w:rPr>
        <w:t>C</w:t>
      </w:r>
      <w:r>
        <w:rPr>
          <w:rFonts w:hint="eastAsia" w:ascii="Times New Roman" w:hAnsi="Times New Roman" w:eastAsia="宋体" w:cs="Times New Roman"/>
          <w:i/>
          <w:iCs/>
          <w:snapToGrid/>
          <w:color w:val="auto"/>
          <w:spacing w:val="0"/>
          <w:w w:val="100"/>
          <w:kern w:val="24"/>
          <w:position w:val="0"/>
          <w:sz w:val="24"/>
          <w:szCs w:val="24"/>
          <w:highlight w:val="none"/>
          <w:vertAlign w:val="subscript"/>
          <w:lang w:val="en-US" w:eastAsia="zh-CN"/>
        </w:rPr>
        <w:t>i</w:t>
      </w:r>
      <w:r>
        <w:rPr>
          <w:rFonts w:hint="default" w:ascii="Times New Roman" w:hAnsi="Times New Roman" w:eastAsia="宋体" w:cs="Times New Roman"/>
          <w:i w:val="0"/>
          <w:iCs w:val="0"/>
          <w:snapToGrid/>
          <w:color w:val="auto"/>
          <w:spacing w:val="0"/>
          <w:w w:val="100"/>
          <w:kern w:val="24"/>
          <w:position w:val="0"/>
          <w:sz w:val="24"/>
          <w:szCs w:val="24"/>
          <w:highlight w:val="none"/>
        </w:rPr>
        <w:t>/</w:t>
      </w:r>
      <w:r>
        <w:rPr>
          <w:rFonts w:hint="eastAsia" w:ascii="Times New Roman" w:hAnsi="Times New Roman" w:eastAsia="宋体" w:cs="Times New Roman"/>
          <w:i/>
          <w:iCs/>
          <w:snapToGrid/>
          <w:color w:val="auto"/>
          <w:spacing w:val="0"/>
          <w:w w:val="100"/>
          <w:kern w:val="24"/>
          <w:position w:val="0"/>
          <w:sz w:val="24"/>
          <w:szCs w:val="24"/>
          <w:highlight w:val="none"/>
          <w:lang w:val="en-US" w:eastAsia="zh-CN"/>
        </w:rPr>
        <w:t>C</w:t>
      </w:r>
      <w:r>
        <w:rPr>
          <w:rFonts w:hint="eastAsia" w:ascii="Times New Roman" w:hAnsi="Times New Roman" w:eastAsia="宋体" w:cs="Times New Roman"/>
          <w:i/>
          <w:iCs/>
          <w:snapToGrid/>
          <w:color w:val="auto"/>
          <w:spacing w:val="0"/>
          <w:w w:val="100"/>
          <w:kern w:val="24"/>
          <w:position w:val="0"/>
          <w:sz w:val="24"/>
          <w:szCs w:val="24"/>
          <w:highlight w:val="none"/>
          <w:vertAlign w:val="subscript"/>
          <w:lang w:val="en-US" w:eastAsia="zh-CN"/>
        </w:rPr>
        <w:t>0i</w:t>
      </w:r>
      <w:r>
        <w:rPr>
          <w:rFonts w:hint="default" w:ascii="Arial" w:hAnsi="Arial" w:eastAsia="宋体" w:cs="Arial"/>
          <w:snapToGrid/>
          <w:color w:val="auto"/>
          <w:spacing w:val="0"/>
          <w:w w:val="100"/>
          <w:kern w:val="24"/>
          <w:position w:val="0"/>
          <w:sz w:val="24"/>
          <w:szCs w:val="24"/>
          <w:highlight w:val="none"/>
          <w:lang w:val="en-US" w:eastAsia="zh-CN"/>
        </w:rPr>
        <w:t>×</w:t>
      </w:r>
      <w:r>
        <w:rPr>
          <w:rFonts w:hint="eastAsia" w:ascii="Times New Roman" w:hAnsi="Times New Roman" w:eastAsia="宋体" w:cs="Times New Roman"/>
          <w:snapToGrid/>
          <w:color w:val="auto"/>
          <w:spacing w:val="0"/>
          <w:w w:val="100"/>
          <w:kern w:val="24"/>
          <w:position w:val="0"/>
          <w:sz w:val="24"/>
          <w:szCs w:val="24"/>
          <w:highlight w:val="none"/>
          <w:lang w:val="en-US" w:eastAsia="zh-CN"/>
        </w:rPr>
        <w:t>100%</w:t>
      </w:r>
    </w:p>
    <w:p w14:paraId="1EA744BB">
      <w:pPr>
        <w:pStyle w:val="6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snapToGrid/>
          <w:color w:val="auto"/>
          <w:spacing w:val="0"/>
          <w:w w:val="100"/>
          <w:kern w:val="24"/>
          <w:position w:val="0"/>
          <w:sz w:val="24"/>
          <w:szCs w:val="24"/>
          <w:highlight w:val="none"/>
        </w:rPr>
      </w:pPr>
      <w:r>
        <w:rPr>
          <w:rFonts w:hint="default" w:ascii="Times New Roman" w:hAnsi="Times New Roman" w:eastAsia="宋体" w:cs="Times New Roman"/>
          <w:snapToGrid/>
          <w:color w:val="auto"/>
          <w:spacing w:val="0"/>
          <w:w w:val="100"/>
          <w:kern w:val="24"/>
          <w:position w:val="0"/>
          <w:sz w:val="24"/>
          <w:szCs w:val="24"/>
          <w:highlight w:val="none"/>
        </w:rPr>
        <w:t>式中：</w:t>
      </w:r>
      <w:r>
        <w:rPr>
          <w:rFonts w:hint="default" w:ascii="Times New Roman" w:hAnsi="Times New Roman" w:eastAsia="宋体" w:cs="Times New Roman"/>
          <w:i/>
          <w:iCs/>
          <w:snapToGrid/>
          <w:color w:val="auto"/>
          <w:spacing w:val="0"/>
          <w:w w:val="100"/>
          <w:kern w:val="24"/>
          <w:position w:val="0"/>
          <w:sz w:val="24"/>
          <w:szCs w:val="24"/>
          <w:highlight w:val="none"/>
        </w:rPr>
        <w:t>P</w:t>
      </w:r>
      <w:r>
        <w:rPr>
          <w:rFonts w:hint="default" w:ascii="Times New Roman" w:hAnsi="Times New Roman" w:eastAsia="宋体" w:cs="Times New Roman"/>
          <w:i/>
          <w:iCs/>
          <w:snapToGrid/>
          <w:color w:val="auto"/>
          <w:spacing w:val="0"/>
          <w:w w:val="100"/>
          <w:kern w:val="24"/>
          <w:position w:val="0"/>
          <w:sz w:val="24"/>
          <w:szCs w:val="24"/>
          <w:highlight w:val="none"/>
          <w:vertAlign w:val="subscript"/>
        </w:rPr>
        <w:t>i</w:t>
      </w:r>
      <w:r>
        <w:rPr>
          <w:rFonts w:hint="default" w:ascii="Times New Roman" w:hAnsi="Times New Roman" w:eastAsia="宋体" w:cs="Times New Roman"/>
          <w:snapToGrid/>
          <w:color w:val="auto"/>
          <w:spacing w:val="0"/>
          <w:w w:val="100"/>
          <w:kern w:val="24"/>
          <w:position w:val="0"/>
          <w:sz w:val="24"/>
          <w:szCs w:val="24"/>
          <w:highlight w:val="none"/>
        </w:rPr>
        <w:t>－第</w:t>
      </w:r>
      <w:r>
        <w:rPr>
          <w:rFonts w:hint="default" w:ascii="Times New Roman" w:hAnsi="Times New Roman" w:eastAsia="宋体" w:cs="Times New Roman"/>
          <w:i/>
          <w:iCs/>
          <w:snapToGrid/>
          <w:color w:val="auto"/>
          <w:spacing w:val="0"/>
          <w:w w:val="100"/>
          <w:kern w:val="24"/>
          <w:position w:val="0"/>
          <w:sz w:val="24"/>
          <w:szCs w:val="24"/>
          <w:highlight w:val="none"/>
        </w:rPr>
        <w:t>i</w:t>
      </w:r>
      <w:r>
        <w:rPr>
          <w:rFonts w:hint="default" w:ascii="Times New Roman" w:hAnsi="Times New Roman" w:eastAsia="宋体" w:cs="Times New Roman"/>
          <w:snapToGrid/>
          <w:color w:val="auto"/>
          <w:spacing w:val="0"/>
          <w:w w:val="100"/>
          <w:kern w:val="24"/>
          <w:position w:val="0"/>
          <w:sz w:val="24"/>
          <w:szCs w:val="24"/>
          <w:highlight w:val="none"/>
        </w:rPr>
        <w:t>污染物的最大地面空气质量浓度占标率，%</w:t>
      </w:r>
    </w:p>
    <w:p w14:paraId="025D0211">
      <w:pPr>
        <w:pStyle w:val="6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1200" w:firstLineChars="500"/>
        <w:jc w:val="both"/>
        <w:textAlignment w:val="auto"/>
        <w:outlineLvl w:val="9"/>
        <w:rPr>
          <w:rFonts w:hint="default" w:ascii="Times New Roman" w:hAnsi="Times New Roman" w:eastAsia="宋体" w:cs="Times New Roman"/>
          <w:snapToGrid/>
          <w:color w:val="auto"/>
          <w:spacing w:val="0"/>
          <w:w w:val="100"/>
          <w:kern w:val="24"/>
          <w:position w:val="0"/>
          <w:sz w:val="24"/>
          <w:szCs w:val="24"/>
          <w:highlight w:val="none"/>
        </w:rPr>
      </w:pPr>
      <w:r>
        <w:rPr>
          <w:rFonts w:hint="eastAsia" w:ascii="Times New Roman" w:hAnsi="Times New Roman" w:eastAsia="宋体" w:cs="Times New Roman"/>
          <w:i/>
          <w:iCs/>
          <w:snapToGrid/>
          <w:color w:val="auto"/>
          <w:spacing w:val="0"/>
          <w:w w:val="100"/>
          <w:kern w:val="24"/>
          <w:position w:val="0"/>
          <w:sz w:val="24"/>
          <w:szCs w:val="24"/>
          <w:highlight w:val="none"/>
          <w:lang w:val="en-US" w:eastAsia="zh-CN"/>
        </w:rPr>
        <w:t>C</w:t>
      </w:r>
      <w:r>
        <w:rPr>
          <w:rFonts w:hint="eastAsia" w:ascii="Times New Roman" w:hAnsi="Times New Roman" w:eastAsia="宋体" w:cs="Times New Roman"/>
          <w:i/>
          <w:iCs/>
          <w:snapToGrid/>
          <w:color w:val="auto"/>
          <w:spacing w:val="0"/>
          <w:w w:val="100"/>
          <w:kern w:val="24"/>
          <w:position w:val="0"/>
          <w:sz w:val="24"/>
          <w:szCs w:val="24"/>
          <w:highlight w:val="none"/>
          <w:vertAlign w:val="subscript"/>
          <w:lang w:val="en-US" w:eastAsia="zh-CN"/>
        </w:rPr>
        <w:t>i</w:t>
      </w:r>
      <w:r>
        <w:rPr>
          <w:rFonts w:hint="default" w:ascii="Times New Roman" w:hAnsi="Times New Roman" w:eastAsia="宋体" w:cs="Times New Roman"/>
          <w:snapToGrid/>
          <w:color w:val="auto"/>
          <w:spacing w:val="0"/>
          <w:w w:val="100"/>
          <w:kern w:val="24"/>
          <w:position w:val="0"/>
          <w:sz w:val="24"/>
          <w:szCs w:val="24"/>
          <w:highlight w:val="none"/>
        </w:rPr>
        <w:t>－第</w:t>
      </w:r>
      <w:r>
        <w:rPr>
          <w:rFonts w:hint="default" w:ascii="Times New Roman" w:hAnsi="Times New Roman" w:eastAsia="宋体" w:cs="Times New Roman"/>
          <w:i/>
          <w:iCs/>
          <w:snapToGrid/>
          <w:color w:val="auto"/>
          <w:spacing w:val="0"/>
          <w:w w:val="100"/>
          <w:kern w:val="24"/>
          <w:position w:val="0"/>
          <w:sz w:val="24"/>
          <w:szCs w:val="24"/>
          <w:highlight w:val="none"/>
        </w:rPr>
        <w:t>i</w:t>
      </w:r>
      <w:r>
        <w:rPr>
          <w:rFonts w:hint="default" w:ascii="Times New Roman" w:hAnsi="Times New Roman" w:eastAsia="宋体" w:cs="Times New Roman"/>
          <w:snapToGrid/>
          <w:color w:val="auto"/>
          <w:spacing w:val="0"/>
          <w:w w:val="100"/>
          <w:kern w:val="24"/>
          <w:position w:val="0"/>
          <w:sz w:val="24"/>
          <w:szCs w:val="24"/>
          <w:highlight w:val="none"/>
        </w:rPr>
        <w:t>污染物的最大1h地面空气质量浓度，mg/m</w:t>
      </w:r>
      <w:r>
        <w:rPr>
          <w:rFonts w:hint="default" w:ascii="Times New Roman" w:hAnsi="Times New Roman" w:eastAsia="宋体" w:cs="Times New Roman"/>
          <w:snapToGrid/>
          <w:color w:val="auto"/>
          <w:spacing w:val="0"/>
          <w:w w:val="100"/>
          <w:kern w:val="24"/>
          <w:position w:val="0"/>
          <w:sz w:val="24"/>
          <w:szCs w:val="24"/>
          <w:highlight w:val="none"/>
          <w:vertAlign w:val="superscript"/>
        </w:rPr>
        <w:t>3</w:t>
      </w:r>
    </w:p>
    <w:p w14:paraId="6F050C02">
      <w:pPr>
        <w:pStyle w:val="6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1200" w:firstLineChars="500"/>
        <w:jc w:val="both"/>
        <w:textAlignment w:val="auto"/>
        <w:outlineLvl w:val="9"/>
        <w:rPr>
          <w:rFonts w:hint="default" w:ascii="Times New Roman" w:hAnsi="Times New Roman" w:eastAsia="宋体" w:cs="Times New Roman"/>
          <w:snapToGrid/>
          <w:color w:val="auto"/>
          <w:spacing w:val="0"/>
          <w:w w:val="100"/>
          <w:kern w:val="24"/>
          <w:position w:val="0"/>
          <w:sz w:val="24"/>
          <w:szCs w:val="24"/>
          <w:highlight w:val="none"/>
        </w:rPr>
      </w:pPr>
      <w:r>
        <w:rPr>
          <w:rFonts w:hint="eastAsia" w:ascii="Times New Roman" w:hAnsi="Times New Roman" w:eastAsia="宋体" w:cs="Times New Roman"/>
          <w:i/>
          <w:iCs/>
          <w:snapToGrid/>
          <w:color w:val="auto"/>
          <w:spacing w:val="0"/>
          <w:w w:val="100"/>
          <w:kern w:val="24"/>
          <w:position w:val="0"/>
          <w:sz w:val="24"/>
          <w:szCs w:val="24"/>
          <w:highlight w:val="none"/>
          <w:lang w:val="en-US" w:eastAsia="zh-CN"/>
        </w:rPr>
        <w:t>C</w:t>
      </w:r>
      <w:r>
        <w:rPr>
          <w:rFonts w:hint="eastAsia" w:ascii="Times New Roman" w:hAnsi="Times New Roman" w:eastAsia="宋体" w:cs="Times New Roman"/>
          <w:i/>
          <w:iCs/>
          <w:snapToGrid/>
          <w:color w:val="auto"/>
          <w:spacing w:val="0"/>
          <w:w w:val="100"/>
          <w:kern w:val="24"/>
          <w:position w:val="0"/>
          <w:sz w:val="24"/>
          <w:szCs w:val="24"/>
          <w:highlight w:val="none"/>
          <w:vertAlign w:val="subscript"/>
          <w:lang w:val="en-US" w:eastAsia="zh-CN"/>
        </w:rPr>
        <w:t>0i</w:t>
      </w:r>
      <w:r>
        <w:rPr>
          <w:rFonts w:hint="default" w:ascii="Times New Roman" w:hAnsi="Times New Roman" w:eastAsia="宋体" w:cs="Times New Roman"/>
          <w:snapToGrid/>
          <w:color w:val="auto"/>
          <w:spacing w:val="0"/>
          <w:w w:val="100"/>
          <w:kern w:val="24"/>
          <w:position w:val="0"/>
          <w:sz w:val="24"/>
          <w:szCs w:val="24"/>
          <w:highlight w:val="none"/>
        </w:rPr>
        <w:t>－第</w:t>
      </w:r>
      <w:r>
        <w:rPr>
          <w:rFonts w:hint="default" w:ascii="Times New Roman" w:hAnsi="Times New Roman" w:eastAsia="宋体" w:cs="Times New Roman"/>
          <w:i/>
          <w:iCs/>
          <w:snapToGrid/>
          <w:color w:val="auto"/>
          <w:spacing w:val="0"/>
          <w:w w:val="100"/>
          <w:kern w:val="24"/>
          <w:position w:val="0"/>
          <w:sz w:val="24"/>
          <w:szCs w:val="24"/>
          <w:highlight w:val="none"/>
        </w:rPr>
        <w:t>i</w:t>
      </w:r>
      <w:r>
        <w:rPr>
          <w:rFonts w:hint="default" w:ascii="Times New Roman" w:hAnsi="Times New Roman" w:eastAsia="宋体" w:cs="Times New Roman"/>
          <w:snapToGrid/>
          <w:color w:val="auto"/>
          <w:spacing w:val="0"/>
          <w:w w:val="100"/>
          <w:kern w:val="24"/>
          <w:position w:val="0"/>
          <w:sz w:val="24"/>
          <w:szCs w:val="24"/>
          <w:highlight w:val="none"/>
        </w:rPr>
        <w:t>污染物的空气质量浓度标准，mg/m</w:t>
      </w:r>
      <w:r>
        <w:rPr>
          <w:rFonts w:hint="default" w:ascii="Times New Roman" w:hAnsi="Times New Roman" w:eastAsia="宋体" w:cs="Times New Roman"/>
          <w:snapToGrid/>
          <w:color w:val="auto"/>
          <w:spacing w:val="0"/>
          <w:w w:val="100"/>
          <w:kern w:val="24"/>
          <w:position w:val="0"/>
          <w:sz w:val="24"/>
          <w:szCs w:val="24"/>
          <w:highlight w:val="none"/>
          <w:vertAlign w:val="superscript"/>
        </w:rPr>
        <w:t>3</w:t>
      </w:r>
    </w:p>
    <w:p w14:paraId="48AF91E6">
      <w:pPr>
        <w:pStyle w:val="6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snapToGrid/>
          <w:color w:val="auto"/>
          <w:spacing w:val="0"/>
          <w:w w:val="100"/>
          <w:kern w:val="24"/>
          <w:position w:val="0"/>
          <w:sz w:val="24"/>
          <w:szCs w:val="24"/>
          <w:highlight w:val="none"/>
        </w:rPr>
      </w:pPr>
      <w:r>
        <w:rPr>
          <w:rFonts w:hint="default" w:ascii="Times New Roman" w:hAnsi="Times New Roman" w:eastAsia="宋体" w:cs="Times New Roman"/>
          <w:snapToGrid/>
          <w:color w:val="auto"/>
          <w:spacing w:val="0"/>
          <w:w w:val="100"/>
          <w:kern w:val="24"/>
          <w:position w:val="0"/>
          <w:sz w:val="24"/>
          <w:szCs w:val="24"/>
          <w:highlight w:val="none"/>
        </w:rPr>
        <w:t>（6）监测数据统计与分析</w:t>
      </w:r>
    </w:p>
    <w:p w14:paraId="556F224B">
      <w:pPr>
        <w:pStyle w:val="6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4"/>
          <w:position w:val="0"/>
          <w:sz w:val="21"/>
          <w:szCs w:val="21"/>
          <w:highlight w:val="none"/>
          <w:lang w:val="en-US" w:eastAsia="zh-CN" w:bidi="ar"/>
        </w:rPr>
      </w:pPr>
      <w:r>
        <w:rPr>
          <w:rFonts w:hint="default" w:ascii="Times New Roman" w:hAnsi="Times New Roman" w:eastAsia="宋体" w:cs="Times New Roman"/>
          <w:b/>
          <w:bCs/>
          <w:snapToGrid/>
          <w:color w:val="auto"/>
          <w:spacing w:val="0"/>
          <w:w w:val="100"/>
          <w:kern w:val="24"/>
          <w:position w:val="0"/>
          <w:sz w:val="21"/>
          <w:szCs w:val="21"/>
          <w:highlight w:val="none"/>
          <w:lang w:val="en-US" w:eastAsia="zh-CN" w:bidi="ar"/>
        </w:rPr>
        <w:t>表4.</w:t>
      </w:r>
      <w:r>
        <w:rPr>
          <w:rFonts w:hint="eastAsia" w:ascii="Times New Roman" w:hAnsi="Times New Roman" w:eastAsia="宋体" w:cs="Times New Roman"/>
          <w:b/>
          <w:bCs/>
          <w:snapToGrid/>
          <w:color w:val="auto"/>
          <w:spacing w:val="0"/>
          <w:w w:val="100"/>
          <w:kern w:val="24"/>
          <w:position w:val="0"/>
          <w:sz w:val="21"/>
          <w:szCs w:val="21"/>
          <w:highlight w:val="none"/>
          <w:lang w:val="en-US" w:eastAsia="zh-CN" w:bidi="ar"/>
        </w:rPr>
        <w:t>2.1</w:t>
      </w:r>
      <w:r>
        <w:rPr>
          <w:rFonts w:hint="default" w:ascii="Times New Roman" w:hAnsi="Times New Roman" w:eastAsia="宋体" w:cs="Times New Roman"/>
          <w:b/>
          <w:bCs/>
          <w:snapToGrid/>
          <w:color w:val="auto"/>
          <w:spacing w:val="0"/>
          <w:w w:val="100"/>
          <w:kern w:val="24"/>
          <w:position w:val="0"/>
          <w:sz w:val="21"/>
          <w:szCs w:val="21"/>
          <w:highlight w:val="none"/>
          <w:lang w:val="en-US" w:eastAsia="zh-CN" w:bidi="ar"/>
        </w:rPr>
        <w:t>-3  污染物监测结果及评价结果</w:t>
      </w:r>
      <w:r>
        <w:rPr>
          <w:rFonts w:hint="eastAsia" w:ascii="Times New Roman" w:hAnsi="Times New Roman" w:eastAsia="宋体" w:cs="Times New Roman"/>
          <w:b/>
          <w:bCs/>
          <w:snapToGrid/>
          <w:color w:val="auto"/>
          <w:spacing w:val="0"/>
          <w:w w:val="100"/>
          <w:kern w:val="24"/>
          <w:position w:val="0"/>
          <w:sz w:val="21"/>
          <w:szCs w:val="21"/>
          <w:highlight w:val="none"/>
          <w:lang w:val="en-US" w:eastAsia="zh-CN" w:bidi="ar"/>
        </w:rPr>
        <w:t xml:space="preserve">    </w:t>
      </w:r>
      <w:r>
        <w:rPr>
          <w:rFonts w:hint="default" w:ascii="Times New Roman" w:hAnsi="Times New Roman" w:eastAsia="宋体" w:cs="Times New Roman"/>
          <w:b/>
          <w:bCs/>
          <w:snapToGrid/>
          <w:color w:val="auto"/>
          <w:spacing w:val="0"/>
          <w:w w:val="100"/>
          <w:kern w:val="24"/>
          <w:position w:val="0"/>
          <w:sz w:val="21"/>
          <w:szCs w:val="21"/>
          <w:highlight w:val="none"/>
          <w:lang w:val="en-US" w:eastAsia="zh-CN" w:bidi="ar"/>
        </w:rPr>
        <w:t>单位：mg/m</w:t>
      </w:r>
      <w:r>
        <w:rPr>
          <w:rFonts w:hint="default" w:ascii="Times New Roman" w:hAnsi="Times New Roman" w:eastAsia="宋体" w:cs="Times New Roman"/>
          <w:b/>
          <w:bCs/>
          <w:snapToGrid/>
          <w:color w:val="auto"/>
          <w:spacing w:val="0"/>
          <w:w w:val="100"/>
          <w:kern w:val="24"/>
          <w:position w:val="0"/>
          <w:sz w:val="21"/>
          <w:szCs w:val="21"/>
          <w:highlight w:val="none"/>
          <w:vertAlign w:val="superscript"/>
          <w:lang w:val="en-US" w:eastAsia="zh-CN" w:bidi="ar"/>
        </w:rPr>
        <w:t>3</w:t>
      </w:r>
    </w:p>
    <w:tbl>
      <w:tblPr>
        <w:tblStyle w:val="25"/>
        <w:tblW w:w="4994"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647"/>
        <w:gridCol w:w="1224"/>
        <w:gridCol w:w="1293"/>
        <w:gridCol w:w="799"/>
        <w:gridCol w:w="902"/>
        <w:gridCol w:w="1450"/>
        <w:gridCol w:w="952"/>
        <w:gridCol w:w="736"/>
        <w:gridCol w:w="719"/>
      </w:tblGrid>
      <w:tr w14:paraId="17C272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373" w:type="pct"/>
            <w:vMerge w:val="restart"/>
            <w:tcBorders>
              <w:tl2br w:val="nil"/>
              <w:tr2bl w:val="nil"/>
            </w:tcBorders>
            <w:vAlign w:val="center"/>
          </w:tcPr>
          <w:p w14:paraId="61AE3E13">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val="0"/>
                <w:snapToGrid/>
                <w:color w:val="auto"/>
                <w:spacing w:val="0"/>
                <w:w w:val="100"/>
                <w:kern w:val="24"/>
                <w:position w:val="0"/>
                <w:sz w:val="21"/>
                <w:szCs w:val="21"/>
                <w:highlight w:val="none"/>
                <w:lang w:val="en-US" w:eastAsia="zh-CN"/>
              </w:rPr>
            </w:pPr>
            <w:r>
              <w:rPr>
                <w:rFonts w:hint="default" w:ascii="Times New Roman" w:hAnsi="Times New Roman" w:eastAsia="宋体" w:cs="Times New Roman"/>
                <w:b/>
                <w:bCs w:val="0"/>
                <w:snapToGrid/>
                <w:color w:val="auto"/>
                <w:spacing w:val="0"/>
                <w:w w:val="100"/>
                <w:kern w:val="24"/>
                <w:position w:val="0"/>
                <w:sz w:val="21"/>
                <w:szCs w:val="21"/>
                <w:highlight w:val="none"/>
                <w:lang w:val="en-US" w:eastAsia="zh-CN"/>
              </w:rPr>
              <w:t>监测点名称</w:t>
            </w:r>
          </w:p>
        </w:tc>
        <w:tc>
          <w:tcPr>
            <w:tcW w:w="1426" w:type="pct"/>
            <w:gridSpan w:val="2"/>
            <w:tcBorders>
              <w:tl2br w:val="nil"/>
              <w:tr2bl w:val="nil"/>
            </w:tcBorders>
            <w:vAlign w:val="center"/>
          </w:tcPr>
          <w:p w14:paraId="6106F6C7">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val="0"/>
                <w:snapToGrid/>
                <w:color w:val="auto"/>
                <w:spacing w:val="0"/>
                <w:w w:val="100"/>
                <w:kern w:val="24"/>
                <w:position w:val="0"/>
                <w:sz w:val="21"/>
                <w:szCs w:val="21"/>
                <w:highlight w:val="none"/>
                <w:lang w:val="en-US" w:eastAsia="zh-CN"/>
              </w:rPr>
            </w:pPr>
            <w:r>
              <w:rPr>
                <w:rFonts w:hint="default" w:ascii="Times New Roman" w:hAnsi="Times New Roman" w:eastAsia="宋体" w:cs="Times New Roman"/>
                <w:b/>
                <w:bCs w:val="0"/>
                <w:snapToGrid/>
                <w:color w:val="auto"/>
                <w:spacing w:val="0"/>
                <w:w w:val="100"/>
                <w:kern w:val="24"/>
                <w:position w:val="0"/>
                <w:sz w:val="21"/>
                <w:szCs w:val="21"/>
                <w:highlight w:val="none"/>
                <w:lang w:val="en-US" w:eastAsia="zh-CN"/>
              </w:rPr>
              <w:t>监测点坐标</w:t>
            </w:r>
          </w:p>
        </w:tc>
        <w:tc>
          <w:tcPr>
            <w:tcW w:w="460" w:type="pct"/>
            <w:vMerge w:val="restart"/>
            <w:tcBorders>
              <w:tl2br w:val="nil"/>
              <w:tr2bl w:val="nil"/>
            </w:tcBorders>
            <w:vAlign w:val="center"/>
          </w:tcPr>
          <w:p w14:paraId="6A806EEF">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val="0"/>
                <w:snapToGrid/>
                <w:color w:val="auto"/>
                <w:spacing w:val="0"/>
                <w:w w:val="100"/>
                <w:kern w:val="24"/>
                <w:position w:val="0"/>
                <w:sz w:val="21"/>
                <w:szCs w:val="21"/>
                <w:highlight w:val="none"/>
                <w:lang w:val="en-US" w:eastAsia="zh-CN"/>
              </w:rPr>
            </w:pPr>
            <w:r>
              <w:rPr>
                <w:rFonts w:hint="default" w:ascii="Times New Roman" w:hAnsi="Times New Roman" w:eastAsia="宋体" w:cs="Times New Roman"/>
                <w:b/>
                <w:bCs w:val="0"/>
                <w:snapToGrid/>
                <w:color w:val="auto"/>
                <w:spacing w:val="0"/>
                <w:w w:val="100"/>
                <w:kern w:val="24"/>
                <w:position w:val="0"/>
                <w:sz w:val="21"/>
                <w:szCs w:val="21"/>
                <w:highlight w:val="none"/>
                <w:lang w:val="en-US" w:eastAsia="zh-CN"/>
              </w:rPr>
              <w:t>污染物</w:t>
            </w:r>
          </w:p>
        </w:tc>
        <w:tc>
          <w:tcPr>
            <w:tcW w:w="519" w:type="pct"/>
            <w:vMerge w:val="restart"/>
            <w:tcBorders>
              <w:tl2br w:val="nil"/>
              <w:tr2bl w:val="nil"/>
            </w:tcBorders>
            <w:vAlign w:val="center"/>
          </w:tcPr>
          <w:p w14:paraId="6C68C516">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val="0"/>
                <w:snapToGrid/>
                <w:color w:val="auto"/>
                <w:spacing w:val="0"/>
                <w:w w:val="100"/>
                <w:kern w:val="24"/>
                <w:position w:val="0"/>
                <w:sz w:val="21"/>
                <w:szCs w:val="21"/>
                <w:highlight w:val="none"/>
                <w:lang w:val="en-US" w:eastAsia="zh-CN"/>
              </w:rPr>
            </w:pPr>
            <w:r>
              <w:rPr>
                <w:rFonts w:hint="default" w:ascii="Times New Roman" w:hAnsi="Times New Roman" w:eastAsia="宋体" w:cs="Times New Roman"/>
                <w:b/>
                <w:bCs w:val="0"/>
                <w:snapToGrid/>
                <w:color w:val="auto"/>
                <w:spacing w:val="0"/>
                <w:w w:val="100"/>
                <w:kern w:val="24"/>
                <w:position w:val="0"/>
                <w:sz w:val="21"/>
                <w:szCs w:val="21"/>
                <w:highlight w:val="none"/>
                <w:lang w:val="en-US" w:eastAsia="zh-CN"/>
              </w:rPr>
              <w:t>浓度标准</w:t>
            </w:r>
          </w:p>
        </w:tc>
        <w:tc>
          <w:tcPr>
            <w:tcW w:w="833" w:type="pct"/>
            <w:vMerge w:val="restart"/>
            <w:tcBorders>
              <w:tl2br w:val="nil"/>
              <w:tr2bl w:val="nil"/>
            </w:tcBorders>
            <w:vAlign w:val="center"/>
          </w:tcPr>
          <w:p w14:paraId="2CAB2E4B">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val="0"/>
                <w:snapToGrid/>
                <w:color w:val="auto"/>
                <w:spacing w:val="0"/>
                <w:w w:val="100"/>
                <w:kern w:val="24"/>
                <w:position w:val="0"/>
                <w:sz w:val="21"/>
                <w:szCs w:val="21"/>
                <w:highlight w:val="none"/>
                <w:lang w:val="en-US" w:eastAsia="zh-CN"/>
              </w:rPr>
            </w:pPr>
            <w:r>
              <w:rPr>
                <w:rFonts w:hint="default" w:ascii="Times New Roman" w:hAnsi="Times New Roman" w:eastAsia="宋体" w:cs="Times New Roman"/>
                <w:b/>
                <w:bCs w:val="0"/>
                <w:snapToGrid/>
                <w:color w:val="auto"/>
                <w:spacing w:val="0"/>
                <w:w w:val="100"/>
                <w:kern w:val="24"/>
                <w:position w:val="0"/>
                <w:sz w:val="21"/>
                <w:szCs w:val="21"/>
                <w:highlight w:val="none"/>
                <w:lang w:val="en-US" w:eastAsia="zh-CN"/>
              </w:rPr>
              <w:t>监测浓度范围</w:t>
            </w:r>
          </w:p>
        </w:tc>
        <w:tc>
          <w:tcPr>
            <w:tcW w:w="548" w:type="pct"/>
            <w:vMerge w:val="restart"/>
            <w:tcBorders>
              <w:tl2br w:val="nil"/>
              <w:tr2bl w:val="nil"/>
            </w:tcBorders>
            <w:vAlign w:val="center"/>
          </w:tcPr>
          <w:p w14:paraId="50940249">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val="0"/>
                <w:snapToGrid/>
                <w:color w:val="auto"/>
                <w:spacing w:val="0"/>
                <w:w w:val="100"/>
                <w:kern w:val="24"/>
                <w:position w:val="0"/>
                <w:sz w:val="21"/>
                <w:szCs w:val="21"/>
                <w:highlight w:val="none"/>
                <w:lang w:val="en-US" w:eastAsia="zh-CN"/>
              </w:rPr>
            </w:pPr>
            <w:r>
              <w:rPr>
                <w:rFonts w:hint="default" w:ascii="Times New Roman" w:hAnsi="Times New Roman" w:eastAsia="宋体" w:cs="Times New Roman"/>
                <w:b/>
                <w:bCs w:val="0"/>
                <w:snapToGrid/>
                <w:color w:val="auto"/>
                <w:spacing w:val="0"/>
                <w:w w:val="100"/>
                <w:kern w:val="24"/>
                <w:position w:val="0"/>
                <w:sz w:val="21"/>
                <w:szCs w:val="21"/>
                <w:highlight w:val="none"/>
                <w:lang w:val="en-US" w:eastAsia="zh-CN"/>
              </w:rPr>
              <w:t>最大占标率%</w:t>
            </w:r>
          </w:p>
        </w:tc>
        <w:tc>
          <w:tcPr>
            <w:tcW w:w="424" w:type="pct"/>
            <w:vMerge w:val="restart"/>
            <w:tcBorders>
              <w:tl2br w:val="nil"/>
              <w:tr2bl w:val="nil"/>
            </w:tcBorders>
            <w:vAlign w:val="center"/>
          </w:tcPr>
          <w:p w14:paraId="2B81AC4A">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val="0"/>
                <w:snapToGrid/>
                <w:color w:val="auto"/>
                <w:spacing w:val="0"/>
                <w:w w:val="100"/>
                <w:kern w:val="24"/>
                <w:position w:val="0"/>
                <w:sz w:val="21"/>
                <w:szCs w:val="21"/>
                <w:highlight w:val="none"/>
                <w:lang w:val="en-US" w:eastAsia="zh-CN"/>
              </w:rPr>
            </w:pPr>
            <w:r>
              <w:rPr>
                <w:rFonts w:hint="default" w:ascii="Times New Roman" w:hAnsi="Times New Roman" w:eastAsia="宋体" w:cs="Times New Roman"/>
                <w:b/>
                <w:bCs w:val="0"/>
                <w:snapToGrid/>
                <w:color w:val="auto"/>
                <w:spacing w:val="0"/>
                <w:w w:val="100"/>
                <w:kern w:val="24"/>
                <w:position w:val="0"/>
                <w:sz w:val="21"/>
                <w:szCs w:val="21"/>
                <w:highlight w:val="none"/>
                <w:lang w:val="en-US" w:eastAsia="zh-CN"/>
              </w:rPr>
              <w:t>超标率</w:t>
            </w:r>
          </w:p>
        </w:tc>
        <w:tc>
          <w:tcPr>
            <w:tcW w:w="414" w:type="pct"/>
            <w:vMerge w:val="restart"/>
            <w:tcBorders>
              <w:tl2br w:val="nil"/>
              <w:tr2bl w:val="nil"/>
            </w:tcBorders>
            <w:vAlign w:val="center"/>
          </w:tcPr>
          <w:p w14:paraId="3F75BD6A">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val="0"/>
                <w:snapToGrid/>
                <w:color w:val="auto"/>
                <w:spacing w:val="0"/>
                <w:w w:val="100"/>
                <w:kern w:val="24"/>
                <w:position w:val="0"/>
                <w:sz w:val="21"/>
                <w:szCs w:val="21"/>
                <w:highlight w:val="none"/>
                <w:lang w:val="en-US" w:eastAsia="zh-CN"/>
              </w:rPr>
            </w:pPr>
            <w:r>
              <w:rPr>
                <w:rFonts w:hint="default" w:ascii="Times New Roman" w:hAnsi="Times New Roman" w:eastAsia="宋体" w:cs="Times New Roman"/>
                <w:b/>
                <w:bCs w:val="0"/>
                <w:snapToGrid/>
                <w:color w:val="auto"/>
                <w:spacing w:val="0"/>
                <w:w w:val="100"/>
                <w:kern w:val="24"/>
                <w:position w:val="0"/>
                <w:sz w:val="21"/>
                <w:szCs w:val="21"/>
                <w:highlight w:val="none"/>
                <w:lang w:val="en-US" w:eastAsia="zh-CN"/>
              </w:rPr>
              <w:t>达标情况</w:t>
            </w:r>
          </w:p>
        </w:tc>
      </w:tr>
      <w:tr w14:paraId="1E0E35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373" w:type="pct"/>
            <w:vMerge w:val="continue"/>
            <w:tcBorders>
              <w:tl2br w:val="nil"/>
              <w:tr2bl w:val="nil"/>
            </w:tcBorders>
            <w:vAlign w:val="center"/>
          </w:tcPr>
          <w:p w14:paraId="30C9465C">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p>
        </w:tc>
        <w:tc>
          <w:tcPr>
            <w:tcW w:w="683" w:type="pct"/>
            <w:tcBorders>
              <w:tl2br w:val="nil"/>
              <w:tr2bl w:val="nil"/>
            </w:tcBorders>
            <w:vAlign w:val="center"/>
          </w:tcPr>
          <w:p w14:paraId="71F75F96">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val="0"/>
                <w:snapToGrid/>
                <w:color w:val="auto"/>
                <w:spacing w:val="0"/>
                <w:w w:val="100"/>
                <w:kern w:val="24"/>
                <w:position w:val="0"/>
                <w:sz w:val="21"/>
                <w:szCs w:val="21"/>
                <w:highlight w:val="none"/>
                <w:lang w:val="en-US" w:eastAsia="zh-CN"/>
              </w:rPr>
            </w:pPr>
            <w:r>
              <w:rPr>
                <w:rFonts w:hint="default" w:ascii="Times New Roman" w:hAnsi="Times New Roman" w:eastAsia="宋体" w:cs="Times New Roman"/>
                <w:b/>
                <w:bCs w:val="0"/>
                <w:snapToGrid/>
                <w:color w:val="auto"/>
                <w:spacing w:val="0"/>
                <w:w w:val="100"/>
                <w:kern w:val="24"/>
                <w:position w:val="0"/>
                <w:sz w:val="21"/>
                <w:szCs w:val="21"/>
                <w:highlight w:val="none"/>
                <w:lang w:val="en-US" w:eastAsia="zh-CN"/>
              </w:rPr>
              <w:t>东经</w:t>
            </w:r>
          </w:p>
        </w:tc>
        <w:tc>
          <w:tcPr>
            <w:tcW w:w="743" w:type="pct"/>
            <w:tcBorders>
              <w:tl2br w:val="nil"/>
              <w:tr2bl w:val="nil"/>
            </w:tcBorders>
            <w:vAlign w:val="center"/>
          </w:tcPr>
          <w:p w14:paraId="3D296D32">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val="0"/>
                <w:snapToGrid/>
                <w:color w:val="auto"/>
                <w:spacing w:val="0"/>
                <w:w w:val="100"/>
                <w:kern w:val="24"/>
                <w:position w:val="0"/>
                <w:sz w:val="21"/>
                <w:szCs w:val="21"/>
                <w:highlight w:val="none"/>
                <w:lang w:val="en-US" w:eastAsia="zh-CN"/>
              </w:rPr>
            </w:pPr>
            <w:r>
              <w:rPr>
                <w:rFonts w:hint="default" w:ascii="Times New Roman" w:hAnsi="Times New Roman" w:eastAsia="宋体" w:cs="Times New Roman"/>
                <w:b/>
                <w:bCs w:val="0"/>
                <w:snapToGrid/>
                <w:color w:val="auto"/>
                <w:spacing w:val="0"/>
                <w:w w:val="100"/>
                <w:kern w:val="24"/>
                <w:position w:val="0"/>
                <w:sz w:val="21"/>
                <w:szCs w:val="21"/>
                <w:highlight w:val="none"/>
                <w:lang w:val="en-US" w:eastAsia="zh-CN"/>
              </w:rPr>
              <w:t>北纬</w:t>
            </w:r>
          </w:p>
        </w:tc>
        <w:tc>
          <w:tcPr>
            <w:tcW w:w="460" w:type="pct"/>
            <w:vMerge w:val="continue"/>
            <w:tcBorders>
              <w:tl2br w:val="nil"/>
              <w:tr2bl w:val="nil"/>
            </w:tcBorders>
            <w:vAlign w:val="center"/>
          </w:tcPr>
          <w:p w14:paraId="198F79F7">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p>
        </w:tc>
        <w:tc>
          <w:tcPr>
            <w:tcW w:w="519" w:type="pct"/>
            <w:vMerge w:val="continue"/>
            <w:tcBorders>
              <w:tl2br w:val="nil"/>
              <w:tr2bl w:val="nil"/>
            </w:tcBorders>
            <w:vAlign w:val="center"/>
          </w:tcPr>
          <w:p w14:paraId="1C74AD93">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p>
        </w:tc>
        <w:tc>
          <w:tcPr>
            <w:tcW w:w="833" w:type="pct"/>
            <w:vMerge w:val="continue"/>
            <w:tcBorders>
              <w:tl2br w:val="nil"/>
              <w:tr2bl w:val="nil"/>
            </w:tcBorders>
            <w:vAlign w:val="center"/>
          </w:tcPr>
          <w:p w14:paraId="51A35DA8">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p>
        </w:tc>
        <w:tc>
          <w:tcPr>
            <w:tcW w:w="548" w:type="pct"/>
            <w:vMerge w:val="continue"/>
            <w:tcBorders>
              <w:tl2br w:val="nil"/>
              <w:tr2bl w:val="nil"/>
            </w:tcBorders>
            <w:vAlign w:val="center"/>
          </w:tcPr>
          <w:p w14:paraId="18D4465A">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p>
        </w:tc>
        <w:tc>
          <w:tcPr>
            <w:tcW w:w="424" w:type="pct"/>
            <w:vMerge w:val="continue"/>
            <w:tcBorders>
              <w:tl2br w:val="nil"/>
              <w:tr2bl w:val="nil"/>
            </w:tcBorders>
            <w:vAlign w:val="center"/>
          </w:tcPr>
          <w:p w14:paraId="096A4017">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p>
        </w:tc>
        <w:tc>
          <w:tcPr>
            <w:tcW w:w="414" w:type="pct"/>
            <w:vMerge w:val="continue"/>
            <w:tcBorders>
              <w:tl2br w:val="nil"/>
              <w:tr2bl w:val="nil"/>
            </w:tcBorders>
            <w:vAlign w:val="center"/>
          </w:tcPr>
          <w:p w14:paraId="006D93DE">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p>
        </w:tc>
      </w:tr>
      <w:tr w14:paraId="5C517A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373" w:type="pct"/>
            <w:vMerge w:val="restart"/>
            <w:tcBorders>
              <w:tl2br w:val="nil"/>
              <w:tr2bl w:val="nil"/>
            </w:tcBorders>
            <w:vAlign w:val="center"/>
          </w:tcPr>
          <w:p w14:paraId="6189A1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r>
              <w:rPr>
                <w:rFonts w:hint="default" w:ascii="Times New Roman" w:hAnsi="Times New Roman" w:eastAsia="宋体" w:cs="Times New Roman"/>
                <w:snapToGrid/>
                <w:color w:val="auto"/>
                <w:spacing w:val="0"/>
                <w:w w:val="100"/>
                <w:kern w:val="24"/>
                <w:position w:val="0"/>
                <w:sz w:val="21"/>
                <w:szCs w:val="21"/>
                <w:highlight w:val="none"/>
                <w:vertAlign w:val="baseline"/>
                <w:lang w:val="en-US" w:eastAsia="zh-CN" w:bidi="ar"/>
              </w:rPr>
              <w:t>项目区内1#</w:t>
            </w:r>
          </w:p>
        </w:tc>
        <w:tc>
          <w:tcPr>
            <w:tcW w:w="683" w:type="pct"/>
            <w:vMerge w:val="restart"/>
            <w:tcBorders>
              <w:tl2br w:val="nil"/>
              <w:tr2bl w:val="nil"/>
            </w:tcBorders>
            <w:vAlign w:val="center"/>
          </w:tcPr>
          <w:p w14:paraId="259491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r>
              <w:rPr>
                <w:rFonts w:hint="default" w:ascii="Times New Roman" w:hAnsi="Times New Roman" w:cs="Times New Roman"/>
                <w:color w:val="auto"/>
                <w:spacing w:val="0"/>
                <w:sz w:val="21"/>
                <w:szCs w:val="21"/>
                <w:highlight w:val="none"/>
                <w:lang w:val="en-US" w:eastAsia="zh-CN"/>
              </w:rPr>
              <w:t>87°50′28.90″</w:t>
            </w:r>
          </w:p>
        </w:tc>
        <w:tc>
          <w:tcPr>
            <w:tcW w:w="743" w:type="pct"/>
            <w:vMerge w:val="restart"/>
            <w:tcBorders>
              <w:tl2br w:val="nil"/>
              <w:tr2bl w:val="nil"/>
            </w:tcBorders>
            <w:vAlign w:val="center"/>
          </w:tcPr>
          <w:p w14:paraId="2D67BD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r>
              <w:rPr>
                <w:rFonts w:hint="default" w:ascii="Times New Roman" w:hAnsi="Times New Roman" w:cs="Times New Roman"/>
                <w:color w:val="auto"/>
                <w:spacing w:val="0"/>
                <w:sz w:val="21"/>
                <w:szCs w:val="21"/>
                <w:highlight w:val="none"/>
                <w:lang w:val="en-US" w:eastAsia="zh-CN"/>
              </w:rPr>
              <w:t>44°09′40.41″</w:t>
            </w:r>
          </w:p>
        </w:tc>
        <w:tc>
          <w:tcPr>
            <w:tcW w:w="460" w:type="pct"/>
            <w:tcBorders>
              <w:tl2br w:val="nil"/>
              <w:tr2bl w:val="nil"/>
            </w:tcBorders>
            <w:vAlign w:val="center"/>
          </w:tcPr>
          <w:p w14:paraId="4BE90E44">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r>
              <w:rPr>
                <w:rFonts w:hint="default" w:ascii="Times New Roman" w:hAnsi="Times New Roman" w:eastAsia="宋体" w:cs="Times New Roman"/>
                <w:snapToGrid/>
                <w:color w:val="auto"/>
                <w:spacing w:val="0"/>
                <w:w w:val="100"/>
                <w:kern w:val="24"/>
                <w:position w:val="0"/>
                <w:sz w:val="21"/>
                <w:szCs w:val="21"/>
                <w:highlight w:val="none"/>
                <w:vertAlign w:val="baseline"/>
                <w:lang w:val="en-US" w:eastAsia="zh-CN" w:bidi="ar"/>
              </w:rPr>
              <w:t>TSP</w:t>
            </w:r>
          </w:p>
        </w:tc>
        <w:tc>
          <w:tcPr>
            <w:tcW w:w="519" w:type="pct"/>
            <w:tcBorders>
              <w:tl2br w:val="nil"/>
              <w:tr2bl w:val="nil"/>
            </w:tcBorders>
            <w:shd w:val="clear" w:color="auto" w:fill="auto"/>
            <w:vAlign w:val="center"/>
          </w:tcPr>
          <w:p w14:paraId="77AB6CA3">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r>
              <w:rPr>
                <w:rFonts w:hint="default" w:ascii="Times New Roman" w:hAnsi="Times New Roman" w:eastAsia="宋体" w:cs="Times New Roman"/>
                <w:snapToGrid/>
                <w:color w:val="auto"/>
                <w:spacing w:val="0"/>
                <w:w w:val="100"/>
                <w:kern w:val="24"/>
                <w:position w:val="0"/>
                <w:sz w:val="21"/>
                <w:szCs w:val="21"/>
                <w:highlight w:val="none"/>
                <w:lang w:val="en-US" w:eastAsia="zh-CN"/>
              </w:rPr>
              <w:t>0.3</w:t>
            </w:r>
          </w:p>
        </w:tc>
        <w:tc>
          <w:tcPr>
            <w:tcW w:w="833" w:type="pct"/>
            <w:tcBorders>
              <w:tl2br w:val="nil"/>
              <w:tr2bl w:val="nil"/>
            </w:tcBorders>
            <w:vAlign w:val="center"/>
          </w:tcPr>
          <w:p w14:paraId="2B0C9327">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r>
              <w:rPr>
                <w:rFonts w:hint="default" w:ascii="Times New Roman" w:hAnsi="Times New Roman" w:eastAsia="宋体" w:cs="Times New Roman"/>
                <w:snapToGrid/>
                <w:color w:val="auto"/>
                <w:spacing w:val="0"/>
                <w:w w:val="100"/>
                <w:kern w:val="24"/>
                <w:position w:val="0"/>
                <w:sz w:val="21"/>
                <w:szCs w:val="21"/>
                <w:highlight w:val="none"/>
                <w:lang w:val="en-US" w:eastAsia="zh-CN"/>
              </w:rPr>
              <w:t>0.088~0.136</w:t>
            </w:r>
          </w:p>
        </w:tc>
        <w:tc>
          <w:tcPr>
            <w:tcW w:w="548" w:type="pct"/>
            <w:tcBorders>
              <w:tl2br w:val="nil"/>
              <w:tr2bl w:val="nil"/>
            </w:tcBorders>
            <w:vAlign w:val="center"/>
          </w:tcPr>
          <w:p w14:paraId="0BE3E679">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r>
              <w:rPr>
                <w:rFonts w:hint="default" w:ascii="Times New Roman" w:hAnsi="Times New Roman" w:eastAsia="宋体" w:cs="Times New Roman"/>
                <w:snapToGrid/>
                <w:color w:val="auto"/>
                <w:spacing w:val="0"/>
                <w:w w:val="100"/>
                <w:kern w:val="24"/>
                <w:position w:val="0"/>
                <w:sz w:val="21"/>
                <w:szCs w:val="21"/>
                <w:highlight w:val="none"/>
                <w:lang w:val="en-US" w:eastAsia="zh-CN"/>
              </w:rPr>
              <w:t>45.33</w:t>
            </w:r>
          </w:p>
        </w:tc>
        <w:tc>
          <w:tcPr>
            <w:tcW w:w="424" w:type="pct"/>
            <w:tcBorders>
              <w:tl2br w:val="nil"/>
              <w:tr2bl w:val="nil"/>
            </w:tcBorders>
            <w:vAlign w:val="center"/>
          </w:tcPr>
          <w:p w14:paraId="24596A61">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r>
              <w:rPr>
                <w:rFonts w:hint="default" w:ascii="Times New Roman" w:hAnsi="Times New Roman" w:cs="Times New Roman"/>
                <w:snapToGrid/>
                <w:color w:val="auto"/>
                <w:spacing w:val="0"/>
                <w:w w:val="100"/>
                <w:kern w:val="24"/>
                <w:position w:val="0"/>
                <w:sz w:val="21"/>
                <w:szCs w:val="21"/>
                <w:highlight w:val="none"/>
                <w:lang w:val="en-US" w:eastAsia="zh-CN"/>
              </w:rPr>
              <w:t>0</w:t>
            </w:r>
          </w:p>
        </w:tc>
        <w:tc>
          <w:tcPr>
            <w:tcW w:w="414" w:type="pct"/>
            <w:tcBorders>
              <w:tl2br w:val="nil"/>
              <w:tr2bl w:val="nil"/>
            </w:tcBorders>
            <w:vAlign w:val="center"/>
          </w:tcPr>
          <w:p w14:paraId="76BA211D">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r>
              <w:rPr>
                <w:rFonts w:hint="default" w:ascii="Times New Roman" w:hAnsi="Times New Roman" w:cs="Times New Roman"/>
                <w:snapToGrid/>
                <w:color w:val="auto"/>
                <w:spacing w:val="0"/>
                <w:w w:val="100"/>
                <w:kern w:val="24"/>
                <w:position w:val="0"/>
                <w:sz w:val="21"/>
                <w:szCs w:val="21"/>
                <w:highlight w:val="none"/>
                <w:lang w:val="en-US" w:eastAsia="zh-CN"/>
              </w:rPr>
              <w:t>达标</w:t>
            </w:r>
          </w:p>
        </w:tc>
      </w:tr>
      <w:tr w14:paraId="70264D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373" w:type="pct"/>
            <w:vMerge w:val="continue"/>
            <w:tcBorders>
              <w:tl2br w:val="nil"/>
              <w:tr2bl w:val="nil"/>
            </w:tcBorders>
            <w:vAlign w:val="center"/>
          </w:tcPr>
          <w:p w14:paraId="08B9B29B">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p>
        </w:tc>
        <w:tc>
          <w:tcPr>
            <w:tcW w:w="683" w:type="pct"/>
            <w:vMerge w:val="continue"/>
            <w:tcBorders>
              <w:tl2br w:val="nil"/>
              <w:tr2bl w:val="nil"/>
            </w:tcBorders>
            <w:vAlign w:val="center"/>
          </w:tcPr>
          <w:p w14:paraId="4053F1C6">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p>
        </w:tc>
        <w:tc>
          <w:tcPr>
            <w:tcW w:w="743" w:type="pct"/>
            <w:vMerge w:val="continue"/>
            <w:tcBorders>
              <w:tl2br w:val="nil"/>
              <w:tr2bl w:val="nil"/>
            </w:tcBorders>
            <w:vAlign w:val="center"/>
          </w:tcPr>
          <w:p w14:paraId="4DC7B39A">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p>
        </w:tc>
        <w:tc>
          <w:tcPr>
            <w:tcW w:w="460" w:type="pct"/>
            <w:tcBorders>
              <w:tl2br w:val="nil"/>
              <w:tr2bl w:val="nil"/>
            </w:tcBorders>
            <w:vAlign w:val="center"/>
          </w:tcPr>
          <w:p w14:paraId="2315ECA5">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r>
              <w:rPr>
                <w:rFonts w:hint="default" w:ascii="Times New Roman" w:hAnsi="Times New Roman" w:eastAsia="宋体" w:cs="Times New Roman"/>
                <w:snapToGrid/>
                <w:color w:val="auto"/>
                <w:spacing w:val="0"/>
                <w:w w:val="100"/>
                <w:kern w:val="24"/>
                <w:position w:val="0"/>
                <w:sz w:val="21"/>
                <w:szCs w:val="21"/>
                <w:highlight w:val="none"/>
                <w:vertAlign w:val="baseline"/>
                <w:lang w:val="en-US" w:eastAsia="zh-CN" w:bidi="ar"/>
              </w:rPr>
              <w:t>非甲烷总烃</w:t>
            </w:r>
          </w:p>
        </w:tc>
        <w:tc>
          <w:tcPr>
            <w:tcW w:w="519" w:type="pct"/>
            <w:tcBorders>
              <w:tl2br w:val="nil"/>
              <w:tr2bl w:val="nil"/>
            </w:tcBorders>
            <w:shd w:val="clear" w:color="auto" w:fill="auto"/>
            <w:vAlign w:val="center"/>
          </w:tcPr>
          <w:p w14:paraId="3043DE93">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r>
              <w:rPr>
                <w:rFonts w:hint="default" w:ascii="Times New Roman" w:hAnsi="Times New Roman" w:eastAsia="宋体" w:cs="Times New Roman"/>
                <w:snapToGrid/>
                <w:color w:val="auto"/>
                <w:spacing w:val="0"/>
                <w:w w:val="100"/>
                <w:kern w:val="24"/>
                <w:position w:val="0"/>
                <w:sz w:val="21"/>
                <w:szCs w:val="21"/>
                <w:highlight w:val="none"/>
                <w:lang w:val="en-US" w:eastAsia="zh-CN"/>
              </w:rPr>
              <w:t>2.0</w:t>
            </w:r>
          </w:p>
        </w:tc>
        <w:tc>
          <w:tcPr>
            <w:tcW w:w="833" w:type="pct"/>
            <w:tcBorders>
              <w:tl2br w:val="nil"/>
              <w:tr2bl w:val="nil"/>
            </w:tcBorders>
            <w:vAlign w:val="center"/>
          </w:tcPr>
          <w:p w14:paraId="5CD3E69D">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r>
              <w:rPr>
                <w:rFonts w:hint="default" w:ascii="Times New Roman" w:hAnsi="Times New Roman" w:eastAsia="宋体" w:cs="Times New Roman"/>
                <w:snapToGrid/>
                <w:color w:val="auto"/>
                <w:spacing w:val="0"/>
                <w:w w:val="100"/>
                <w:kern w:val="24"/>
                <w:position w:val="0"/>
                <w:sz w:val="21"/>
                <w:szCs w:val="21"/>
                <w:highlight w:val="none"/>
                <w:lang w:val="en-US" w:eastAsia="zh-CN"/>
              </w:rPr>
              <w:t>0.66~0.78</w:t>
            </w:r>
          </w:p>
        </w:tc>
        <w:tc>
          <w:tcPr>
            <w:tcW w:w="548" w:type="pct"/>
            <w:tcBorders>
              <w:tl2br w:val="nil"/>
              <w:tr2bl w:val="nil"/>
            </w:tcBorders>
            <w:vAlign w:val="center"/>
          </w:tcPr>
          <w:p w14:paraId="717E798C">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r>
              <w:rPr>
                <w:rFonts w:hint="default" w:ascii="Times New Roman" w:hAnsi="Times New Roman" w:eastAsia="宋体" w:cs="Times New Roman"/>
                <w:snapToGrid/>
                <w:color w:val="auto"/>
                <w:spacing w:val="0"/>
                <w:w w:val="100"/>
                <w:kern w:val="24"/>
                <w:position w:val="0"/>
                <w:sz w:val="21"/>
                <w:szCs w:val="21"/>
                <w:highlight w:val="none"/>
                <w:lang w:val="en-US" w:eastAsia="zh-CN"/>
              </w:rPr>
              <w:t>39.00</w:t>
            </w:r>
          </w:p>
        </w:tc>
        <w:tc>
          <w:tcPr>
            <w:tcW w:w="424" w:type="pct"/>
            <w:tcBorders>
              <w:tl2br w:val="nil"/>
              <w:tr2bl w:val="nil"/>
            </w:tcBorders>
            <w:vAlign w:val="center"/>
          </w:tcPr>
          <w:p w14:paraId="1F6A7637">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r>
              <w:rPr>
                <w:rFonts w:hint="default" w:ascii="Times New Roman" w:hAnsi="Times New Roman" w:cs="Times New Roman"/>
                <w:snapToGrid/>
                <w:color w:val="auto"/>
                <w:spacing w:val="0"/>
                <w:w w:val="100"/>
                <w:kern w:val="24"/>
                <w:position w:val="0"/>
                <w:sz w:val="21"/>
                <w:szCs w:val="21"/>
                <w:highlight w:val="none"/>
                <w:lang w:val="en-US" w:eastAsia="zh-CN"/>
              </w:rPr>
              <w:t>0</w:t>
            </w:r>
          </w:p>
        </w:tc>
        <w:tc>
          <w:tcPr>
            <w:tcW w:w="414" w:type="pct"/>
            <w:tcBorders>
              <w:tl2br w:val="nil"/>
              <w:tr2bl w:val="nil"/>
            </w:tcBorders>
            <w:vAlign w:val="center"/>
          </w:tcPr>
          <w:p w14:paraId="405A50F2">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r>
              <w:rPr>
                <w:rFonts w:hint="default" w:ascii="Times New Roman" w:hAnsi="Times New Roman" w:cs="Times New Roman"/>
                <w:snapToGrid/>
                <w:color w:val="auto"/>
                <w:spacing w:val="0"/>
                <w:w w:val="100"/>
                <w:kern w:val="24"/>
                <w:position w:val="0"/>
                <w:sz w:val="21"/>
                <w:szCs w:val="21"/>
                <w:highlight w:val="none"/>
                <w:lang w:val="en-US" w:eastAsia="zh-CN"/>
              </w:rPr>
              <w:t>达标</w:t>
            </w:r>
          </w:p>
        </w:tc>
      </w:tr>
      <w:tr w14:paraId="62CB01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373" w:type="pct"/>
            <w:vMerge w:val="restart"/>
            <w:tcBorders>
              <w:tl2br w:val="nil"/>
              <w:tr2bl w:val="nil"/>
            </w:tcBorders>
            <w:vAlign w:val="center"/>
          </w:tcPr>
          <w:p w14:paraId="10F507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r>
              <w:rPr>
                <w:rFonts w:hint="default" w:ascii="Times New Roman" w:hAnsi="Times New Roman" w:eastAsia="宋体" w:cs="Times New Roman"/>
                <w:snapToGrid/>
                <w:color w:val="auto"/>
                <w:spacing w:val="0"/>
                <w:w w:val="100"/>
                <w:kern w:val="24"/>
                <w:position w:val="0"/>
                <w:sz w:val="21"/>
                <w:szCs w:val="21"/>
                <w:highlight w:val="none"/>
                <w:vertAlign w:val="baseline"/>
                <w:lang w:val="en-US" w:eastAsia="zh-CN" w:bidi="ar"/>
              </w:rPr>
              <w:t>项目区下风向2#</w:t>
            </w:r>
          </w:p>
        </w:tc>
        <w:tc>
          <w:tcPr>
            <w:tcW w:w="683" w:type="pct"/>
            <w:vMerge w:val="restart"/>
            <w:tcBorders>
              <w:tl2br w:val="nil"/>
              <w:tr2bl w:val="nil"/>
            </w:tcBorders>
            <w:vAlign w:val="center"/>
          </w:tcPr>
          <w:p w14:paraId="6EF445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r>
              <w:rPr>
                <w:rFonts w:hint="default" w:ascii="Times New Roman" w:hAnsi="Times New Roman" w:cs="Times New Roman"/>
                <w:color w:val="auto"/>
                <w:spacing w:val="0"/>
                <w:sz w:val="21"/>
                <w:szCs w:val="21"/>
                <w:highlight w:val="none"/>
                <w:lang w:val="en-US" w:eastAsia="zh-CN"/>
              </w:rPr>
              <w:t>87°50′24.49″</w:t>
            </w:r>
          </w:p>
        </w:tc>
        <w:tc>
          <w:tcPr>
            <w:tcW w:w="743" w:type="pct"/>
            <w:vMerge w:val="restart"/>
            <w:tcBorders>
              <w:tl2br w:val="nil"/>
              <w:tr2bl w:val="nil"/>
            </w:tcBorders>
            <w:vAlign w:val="center"/>
          </w:tcPr>
          <w:p w14:paraId="4930D9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r>
              <w:rPr>
                <w:rFonts w:hint="default" w:ascii="Times New Roman" w:hAnsi="Times New Roman" w:cs="Times New Roman"/>
                <w:color w:val="auto"/>
                <w:spacing w:val="0"/>
                <w:sz w:val="21"/>
                <w:szCs w:val="21"/>
                <w:highlight w:val="none"/>
                <w:lang w:val="en-US" w:eastAsia="zh-CN"/>
              </w:rPr>
              <w:t>44°09′36.59″</w:t>
            </w:r>
          </w:p>
        </w:tc>
        <w:tc>
          <w:tcPr>
            <w:tcW w:w="460" w:type="pct"/>
            <w:tcBorders>
              <w:tl2br w:val="nil"/>
              <w:tr2bl w:val="nil"/>
            </w:tcBorders>
            <w:vAlign w:val="center"/>
          </w:tcPr>
          <w:p w14:paraId="1F63CA19">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snapToGrid/>
                <w:color w:val="auto"/>
                <w:spacing w:val="0"/>
                <w:w w:val="100"/>
                <w:kern w:val="24"/>
                <w:position w:val="0"/>
                <w:sz w:val="21"/>
                <w:szCs w:val="21"/>
                <w:highlight w:val="none"/>
                <w:lang w:val="en-US" w:eastAsia="zh-CN"/>
              </w:rPr>
            </w:pPr>
            <w:r>
              <w:rPr>
                <w:rFonts w:hint="default" w:ascii="Times New Roman" w:hAnsi="Times New Roman" w:eastAsia="宋体" w:cs="Times New Roman"/>
                <w:snapToGrid/>
                <w:color w:val="auto"/>
                <w:spacing w:val="0"/>
                <w:w w:val="100"/>
                <w:kern w:val="24"/>
                <w:position w:val="0"/>
                <w:sz w:val="21"/>
                <w:szCs w:val="21"/>
                <w:highlight w:val="none"/>
                <w:vertAlign w:val="baseline"/>
                <w:lang w:val="en-US" w:eastAsia="zh-CN" w:bidi="ar"/>
              </w:rPr>
              <w:t>TSP</w:t>
            </w:r>
          </w:p>
        </w:tc>
        <w:tc>
          <w:tcPr>
            <w:tcW w:w="519" w:type="pct"/>
            <w:tcBorders>
              <w:tl2br w:val="nil"/>
              <w:tr2bl w:val="nil"/>
            </w:tcBorders>
            <w:vAlign w:val="center"/>
          </w:tcPr>
          <w:p w14:paraId="7BF3A19F">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r>
              <w:rPr>
                <w:rFonts w:hint="default" w:ascii="Times New Roman" w:hAnsi="Times New Roman" w:eastAsia="宋体" w:cs="Times New Roman"/>
                <w:snapToGrid/>
                <w:color w:val="auto"/>
                <w:spacing w:val="0"/>
                <w:w w:val="100"/>
                <w:kern w:val="24"/>
                <w:position w:val="0"/>
                <w:sz w:val="21"/>
                <w:szCs w:val="21"/>
                <w:highlight w:val="none"/>
                <w:lang w:val="en-US" w:eastAsia="zh-CN"/>
              </w:rPr>
              <w:t>0.3</w:t>
            </w:r>
          </w:p>
        </w:tc>
        <w:tc>
          <w:tcPr>
            <w:tcW w:w="833" w:type="pct"/>
            <w:tcBorders>
              <w:tl2br w:val="nil"/>
              <w:tr2bl w:val="nil"/>
            </w:tcBorders>
            <w:vAlign w:val="center"/>
          </w:tcPr>
          <w:p w14:paraId="136D58A8">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r>
              <w:rPr>
                <w:rFonts w:hint="default" w:ascii="Times New Roman" w:hAnsi="Times New Roman" w:eastAsia="宋体" w:cs="Times New Roman"/>
                <w:snapToGrid/>
                <w:color w:val="auto"/>
                <w:spacing w:val="0"/>
                <w:w w:val="100"/>
                <w:kern w:val="24"/>
                <w:position w:val="0"/>
                <w:sz w:val="21"/>
                <w:szCs w:val="21"/>
                <w:highlight w:val="none"/>
                <w:lang w:val="en-US" w:eastAsia="zh-CN"/>
              </w:rPr>
              <w:t>0.097~0.142</w:t>
            </w:r>
          </w:p>
        </w:tc>
        <w:tc>
          <w:tcPr>
            <w:tcW w:w="548" w:type="pct"/>
            <w:tcBorders>
              <w:tl2br w:val="nil"/>
              <w:tr2bl w:val="nil"/>
            </w:tcBorders>
            <w:vAlign w:val="center"/>
          </w:tcPr>
          <w:p w14:paraId="65A041A4">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r>
              <w:rPr>
                <w:rFonts w:hint="default" w:ascii="Times New Roman" w:hAnsi="Times New Roman" w:eastAsia="宋体" w:cs="Times New Roman"/>
                <w:snapToGrid/>
                <w:color w:val="auto"/>
                <w:spacing w:val="0"/>
                <w:w w:val="100"/>
                <w:kern w:val="24"/>
                <w:position w:val="0"/>
                <w:sz w:val="21"/>
                <w:szCs w:val="21"/>
                <w:highlight w:val="none"/>
                <w:lang w:val="en-US" w:eastAsia="zh-CN"/>
              </w:rPr>
              <w:t>47.33</w:t>
            </w:r>
          </w:p>
        </w:tc>
        <w:tc>
          <w:tcPr>
            <w:tcW w:w="424" w:type="pct"/>
            <w:tcBorders>
              <w:tl2br w:val="nil"/>
              <w:tr2bl w:val="nil"/>
            </w:tcBorders>
            <w:vAlign w:val="center"/>
          </w:tcPr>
          <w:p w14:paraId="0BC3BCB2">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snapToGrid/>
                <w:color w:val="auto"/>
                <w:spacing w:val="0"/>
                <w:w w:val="100"/>
                <w:kern w:val="24"/>
                <w:position w:val="0"/>
                <w:sz w:val="21"/>
                <w:szCs w:val="21"/>
                <w:highlight w:val="none"/>
                <w:lang w:val="en-US" w:eastAsia="zh-CN"/>
              </w:rPr>
            </w:pPr>
            <w:r>
              <w:rPr>
                <w:rFonts w:hint="default" w:ascii="Times New Roman" w:hAnsi="Times New Roman" w:cs="Times New Roman"/>
                <w:snapToGrid/>
                <w:color w:val="auto"/>
                <w:spacing w:val="0"/>
                <w:w w:val="100"/>
                <w:kern w:val="24"/>
                <w:position w:val="0"/>
                <w:sz w:val="21"/>
                <w:szCs w:val="21"/>
                <w:highlight w:val="none"/>
                <w:lang w:val="en-US" w:eastAsia="zh-CN"/>
              </w:rPr>
              <w:t>0</w:t>
            </w:r>
          </w:p>
        </w:tc>
        <w:tc>
          <w:tcPr>
            <w:tcW w:w="414" w:type="pct"/>
            <w:tcBorders>
              <w:tl2br w:val="nil"/>
              <w:tr2bl w:val="nil"/>
            </w:tcBorders>
            <w:vAlign w:val="center"/>
          </w:tcPr>
          <w:p w14:paraId="0EAE4DF6">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snapToGrid/>
                <w:color w:val="auto"/>
                <w:spacing w:val="0"/>
                <w:w w:val="100"/>
                <w:kern w:val="24"/>
                <w:position w:val="0"/>
                <w:sz w:val="21"/>
                <w:szCs w:val="21"/>
                <w:highlight w:val="none"/>
                <w:lang w:val="en-US" w:eastAsia="zh-CN"/>
              </w:rPr>
            </w:pPr>
            <w:r>
              <w:rPr>
                <w:rFonts w:hint="default" w:ascii="Times New Roman" w:hAnsi="Times New Roman" w:cs="Times New Roman"/>
                <w:snapToGrid/>
                <w:color w:val="auto"/>
                <w:spacing w:val="0"/>
                <w:w w:val="100"/>
                <w:kern w:val="24"/>
                <w:position w:val="0"/>
                <w:sz w:val="21"/>
                <w:szCs w:val="21"/>
                <w:highlight w:val="none"/>
                <w:lang w:val="en-US" w:eastAsia="zh-CN"/>
              </w:rPr>
              <w:t>达标</w:t>
            </w:r>
          </w:p>
        </w:tc>
      </w:tr>
      <w:tr w14:paraId="563394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373" w:type="pct"/>
            <w:vMerge w:val="continue"/>
            <w:tcBorders>
              <w:tl2br w:val="nil"/>
              <w:tr2bl w:val="nil"/>
            </w:tcBorders>
            <w:vAlign w:val="center"/>
          </w:tcPr>
          <w:p w14:paraId="296E0D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vertAlign w:val="baseline"/>
                <w:lang w:val="en-US" w:eastAsia="zh-CN" w:bidi="ar"/>
              </w:rPr>
            </w:pPr>
          </w:p>
        </w:tc>
        <w:tc>
          <w:tcPr>
            <w:tcW w:w="683" w:type="pct"/>
            <w:vMerge w:val="continue"/>
            <w:tcBorders>
              <w:tl2br w:val="nil"/>
              <w:tr2bl w:val="nil"/>
            </w:tcBorders>
            <w:vAlign w:val="center"/>
          </w:tcPr>
          <w:p w14:paraId="12CD3E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spacing w:val="0"/>
                <w:sz w:val="21"/>
                <w:szCs w:val="21"/>
                <w:highlight w:val="none"/>
                <w:lang w:val="en-US" w:eastAsia="zh-CN"/>
              </w:rPr>
            </w:pPr>
          </w:p>
        </w:tc>
        <w:tc>
          <w:tcPr>
            <w:tcW w:w="743" w:type="pct"/>
            <w:vMerge w:val="continue"/>
            <w:tcBorders>
              <w:tl2br w:val="nil"/>
              <w:tr2bl w:val="nil"/>
            </w:tcBorders>
            <w:vAlign w:val="center"/>
          </w:tcPr>
          <w:p w14:paraId="6255C7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spacing w:val="0"/>
                <w:sz w:val="21"/>
                <w:szCs w:val="21"/>
                <w:highlight w:val="none"/>
                <w:lang w:val="en-US" w:eastAsia="zh-CN"/>
              </w:rPr>
            </w:pPr>
          </w:p>
        </w:tc>
        <w:tc>
          <w:tcPr>
            <w:tcW w:w="460" w:type="pct"/>
            <w:tcBorders>
              <w:tl2br w:val="nil"/>
              <w:tr2bl w:val="nil"/>
            </w:tcBorders>
            <w:vAlign w:val="center"/>
          </w:tcPr>
          <w:p w14:paraId="38ED9842">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snapToGrid/>
                <w:color w:val="auto"/>
                <w:spacing w:val="0"/>
                <w:w w:val="100"/>
                <w:kern w:val="24"/>
                <w:position w:val="0"/>
                <w:sz w:val="21"/>
                <w:szCs w:val="21"/>
                <w:highlight w:val="none"/>
                <w:lang w:val="en-US" w:eastAsia="zh-CN"/>
              </w:rPr>
            </w:pPr>
            <w:r>
              <w:rPr>
                <w:rFonts w:hint="default" w:ascii="Times New Roman" w:hAnsi="Times New Roman" w:eastAsia="宋体" w:cs="Times New Roman"/>
                <w:snapToGrid/>
                <w:color w:val="auto"/>
                <w:spacing w:val="0"/>
                <w:w w:val="100"/>
                <w:kern w:val="24"/>
                <w:position w:val="0"/>
                <w:sz w:val="21"/>
                <w:szCs w:val="21"/>
                <w:highlight w:val="none"/>
                <w:vertAlign w:val="baseline"/>
                <w:lang w:val="en-US" w:eastAsia="zh-CN" w:bidi="ar"/>
              </w:rPr>
              <w:t>非甲烷总烃</w:t>
            </w:r>
          </w:p>
        </w:tc>
        <w:tc>
          <w:tcPr>
            <w:tcW w:w="519" w:type="pct"/>
            <w:tcBorders>
              <w:tl2br w:val="nil"/>
              <w:tr2bl w:val="nil"/>
            </w:tcBorders>
            <w:vAlign w:val="center"/>
          </w:tcPr>
          <w:p w14:paraId="68D57E8F">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r>
              <w:rPr>
                <w:rFonts w:hint="default" w:ascii="Times New Roman" w:hAnsi="Times New Roman" w:eastAsia="宋体" w:cs="Times New Roman"/>
                <w:snapToGrid/>
                <w:color w:val="auto"/>
                <w:spacing w:val="0"/>
                <w:w w:val="100"/>
                <w:kern w:val="24"/>
                <w:position w:val="0"/>
                <w:sz w:val="21"/>
                <w:szCs w:val="21"/>
                <w:highlight w:val="none"/>
                <w:lang w:val="en-US" w:eastAsia="zh-CN"/>
              </w:rPr>
              <w:t>2.0</w:t>
            </w:r>
          </w:p>
        </w:tc>
        <w:tc>
          <w:tcPr>
            <w:tcW w:w="833" w:type="pct"/>
            <w:tcBorders>
              <w:tl2br w:val="nil"/>
              <w:tr2bl w:val="nil"/>
            </w:tcBorders>
            <w:vAlign w:val="center"/>
          </w:tcPr>
          <w:p w14:paraId="2F722D6B">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r>
              <w:rPr>
                <w:rFonts w:hint="default" w:ascii="Times New Roman" w:hAnsi="Times New Roman" w:eastAsia="宋体" w:cs="Times New Roman"/>
                <w:snapToGrid/>
                <w:color w:val="auto"/>
                <w:spacing w:val="0"/>
                <w:w w:val="100"/>
                <w:kern w:val="24"/>
                <w:position w:val="0"/>
                <w:sz w:val="21"/>
                <w:szCs w:val="21"/>
                <w:highlight w:val="none"/>
                <w:lang w:val="en-US" w:eastAsia="zh-CN"/>
              </w:rPr>
              <w:t>0.66~0.820</w:t>
            </w:r>
          </w:p>
        </w:tc>
        <w:tc>
          <w:tcPr>
            <w:tcW w:w="548" w:type="pct"/>
            <w:tcBorders>
              <w:tl2br w:val="nil"/>
              <w:tr2bl w:val="nil"/>
            </w:tcBorders>
            <w:vAlign w:val="center"/>
          </w:tcPr>
          <w:p w14:paraId="3F5D19B6">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4"/>
                <w:position w:val="0"/>
                <w:sz w:val="21"/>
                <w:szCs w:val="21"/>
                <w:highlight w:val="none"/>
                <w:lang w:val="en-US" w:eastAsia="zh-CN"/>
              </w:rPr>
            </w:pPr>
            <w:r>
              <w:rPr>
                <w:rFonts w:hint="default" w:ascii="Times New Roman" w:hAnsi="Times New Roman" w:eastAsia="宋体" w:cs="Times New Roman"/>
                <w:snapToGrid/>
                <w:color w:val="auto"/>
                <w:spacing w:val="0"/>
                <w:w w:val="100"/>
                <w:kern w:val="24"/>
                <w:position w:val="0"/>
                <w:sz w:val="21"/>
                <w:szCs w:val="21"/>
                <w:highlight w:val="none"/>
                <w:lang w:val="en-US" w:eastAsia="zh-CN"/>
              </w:rPr>
              <w:t>41.00</w:t>
            </w:r>
          </w:p>
        </w:tc>
        <w:tc>
          <w:tcPr>
            <w:tcW w:w="424" w:type="pct"/>
            <w:tcBorders>
              <w:tl2br w:val="nil"/>
              <w:tr2bl w:val="nil"/>
            </w:tcBorders>
            <w:vAlign w:val="center"/>
          </w:tcPr>
          <w:p w14:paraId="179BB3F5">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snapToGrid/>
                <w:color w:val="auto"/>
                <w:spacing w:val="0"/>
                <w:w w:val="100"/>
                <w:kern w:val="24"/>
                <w:position w:val="0"/>
                <w:sz w:val="21"/>
                <w:szCs w:val="21"/>
                <w:highlight w:val="none"/>
                <w:lang w:val="en-US" w:eastAsia="zh-CN"/>
              </w:rPr>
            </w:pPr>
            <w:r>
              <w:rPr>
                <w:rFonts w:hint="default" w:ascii="Times New Roman" w:hAnsi="Times New Roman" w:cs="Times New Roman"/>
                <w:snapToGrid/>
                <w:color w:val="auto"/>
                <w:spacing w:val="0"/>
                <w:w w:val="100"/>
                <w:kern w:val="24"/>
                <w:position w:val="0"/>
                <w:sz w:val="21"/>
                <w:szCs w:val="21"/>
                <w:highlight w:val="none"/>
                <w:lang w:val="en-US" w:eastAsia="zh-CN"/>
              </w:rPr>
              <w:t>0</w:t>
            </w:r>
          </w:p>
        </w:tc>
        <w:tc>
          <w:tcPr>
            <w:tcW w:w="414" w:type="pct"/>
            <w:tcBorders>
              <w:tl2br w:val="nil"/>
              <w:tr2bl w:val="nil"/>
            </w:tcBorders>
            <w:vAlign w:val="center"/>
          </w:tcPr>
          <w:p w14:paraId="2906B297">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snapToGrid/>
                <w:color w:val="auto"/>
                <w:spacing w:val="0"/>
                <w:w w:val="100"/>
                <w:kern w:val="24"/>
                <w:position w:val="0"/>
                <w:sz w:val="21"/>
                <w:szCs w:val="21"/>
                <w:highlight w:val="none"/>
                <w:lang w:val="en-US" w:eastAsia="zh-CN"/>
              </w:rPr>
            </w:pPr>
            <w:r>
              <w:rPr>
                <w:rFonts w:hint="default" w:ascii="Times New Roman" w:hAnsi="Times New Roman" w:cs="Times New Roman"/>
                <w:snapToGrid/>
                <w:color w:val="auto"/>
                <w:spacing w:val="0"/>
                <w:w w:val="100"/>
                <w:kern w:val="24"/>
                <w:position w:val="0"/>
                <w:sz w:val="21"/>
                <w:szCs w:val="21"/>
                <w:highlight w:val="none"/>
                <w:lang w:val="en-US" w:eastAsia="zh-CN"/>
              </w:rPr>
              <w:t>达标</w:t>
            </w:r>
          </w:p>
        </w:tc>
      </w:tr>
    </w:tbl>
    <w:p w14:paraId="4C512E6A">
      <w:pPr>
        <w:pStyle w:val="67"/>
        <w:keepNext w:val="0"/>
        <w:keepLines w:val="0"/>
        <w:pageBreakBefore w:val="0"/>
        <w:widowControl w:val="0"/>
        <w:kinsoku/>
        <w:wordWrap/>
        <w:overflowPunct/>
        <w:topLinePunct w:val="0"/>
        <w:autoSpaceDE/>
        <w:autoSpaceDN/>
        <w:bidi w:val="0"/>
        <w:adjustRightInd/>
        <w:snapToGrid/>
        <w:ind w:left="0" w:leftChars="0" w:right="0" w:rightChars="0" w:firstLine="480"/>
        <w:textAlignment w:val="auto"/>
        <w:outlineLvl w:val="9"/>
        <w:rPr>
          <w:color w:val="auto"/>
          <w:spacing w:val="0"/>
          <w:w w:val="100"/>
          <w:position w:val="0"/>
          <w:highlight w:val="none"/>
        </w:rPr>
      </w:pPr>
      <w:r>
        <w:rPr>
          <w:rFonts w:hint="default" w:ascii="Times New Roman" w:hAnsi="Times New Roman" w:eastAsia="宋体" w:cs="Times New Roman"/>
          <w:snapToGrid/>
          <w:color w:val="auto"/>
          <w:spacing w:val="0"/>
          <w:w w:val="100"/>
          <w:kern w:val="24"/>
          <w:position w:val="0"/>
          <w:sz w:val="24"/>
          <w:szCs w:val="24"/>
          <w:highlight w:val="none"/>
          <w:lang w:val="en-US" w:eastAsia="zh-CN"/>
        </w:rPr>
        <w:t>监测结果显示，</w:t>
      </w:r>
      <w:r>
        <w:rPr>
          <w:rFonts w:hint="eastAsia" w:cs="Times New Roman"/>
          <w:caps w:val="0"/>
          <w:snapToGrid/>
          <w:color w:val="auto"/>
          <w:spacing w:val="0"/>
          <w:w w:val="100"/>
          <w:kern w:val="0"/>
          <w:position w:val="0"/>
          <w:sz w:val="24"/>
          <w:highlight w:val="none"/>
          <w:lang w:val="en-US" w:eastAsia="zh-CN"/>
        </w:rPr>
        <w:t>TSP</w:t>
      </w:r>
      <w:r>
        <w:rPr>
          <w:rFonts w:hint="default" w:ascii="Times New Roman" w:hAnsi="Times New Roman" w:eastAsia="宋体" w:cs="Times New Roman"/>
          <w:caps w:val="0"/>
          <w:snapToGrid/>
          <w:color w:val="auto"/>
          <w:spacing w:val="0"/>
          <w:w w:val="100"/>
          <w:kern w:val="0"/>
          <w:position w:val="0"/>
          <w:sz w:val="24"/>
          <w:highlight w:val="none"/>
          <w:lang w:val="en-US" w:eastAsia="zh-CN"/>
        </w:rPr>
        <w:t>24小时平均浓度满足《环境空气质量标准》（GB3095-20</w:t>
      </w:r>
      <w:r>
        <w:rPr>
          <w:rFonts w:hint="eastAsia" w:ascii="Times New Roman" w:hAnsi="Times New Roman" w:eastAsia="宋体" w:cs="Times New Roman"/>
          <w:caps w:val="0"/>
          <w:snapToGrid/>
          <w:color w:val="auto"/>
          <w:spacing w:val="0"/>
          <w:w w:val="100"/>
          <w:kern w:val="0"/>
          <w:position w:val="0"/>
          <w:sz w:val="24"/>
          <w:highlight w:val="none"/>
          <w:lang w:val="en-US" w:eastAsia="zh-CN"/>
        </w:rPr>
        <w:t>26</w:t>
      </w:r>
      <w:r>
        <w:rPr>
          <w:rFonts w:hint="default" w:ascii="Times New Roman" w:hAnsi="Times New Roman" w:eastAsia="宋体" w:cs="Times New Roman"/>
          <w:caps w:val="0"/>
          <w:snapToGrid/>
          <w:color w:val="auto"/>
          <w:spacing w:val="0"/>
          <w:w w:val="100"/>
          <w:kern w:val="0"/>
          <w:position w:val="0"/>
          <w:sz w:val="24"/>
          <w:highlight w:val="none"/>
          <w:lang w:val="en-US" w:eastAsia="zh-CN"/>
        </w:rPr>
        <w:t>）二级标准限值；非甲烷总烃1小时浓度值满足《大气污染物综合排放标准详解》浓度限值要求。</w:t>
      </w:r>
    </w:p>
    <w:p w14:paraId="68C8700E">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bookmarkStart w:id="302" w:name="_Toc30732"/>
      <w:bookmarkStart w:id="303" w:name="_Toc31595"/>
      <w:r>
        <w:rPr>
          <w:rFonts w:hint="default"/>
          <w:color w:val="auto"/>
          <w:spacing w:val="0"/>
          <w:w w:val="100"/>
          <w:position w:val="0"/>
          <w:highlight w:val="none"/>
        </w:rPr>
        <w:t>4.3.2水环境质量现状</w:t>
      </w:r>
      <w:bookmarkEnd w:id="302"/>
      <w:bookmarkEnd w:id="303"/>
    </w:p>
    <w:p w14:paraId="0A5A9433">
      <w:pPr>
        <w:pStyle w:val="5"/>
        <w:keepNext w:val="0"/>
        <w:keepLines w:val="0"/>
        <w:pageBreakBefore w:val="0"/>
        <w:widowControl w:val="0"/>
        <w:kinsoku/>
        <w:wordWrap/>
        <w:overflowPunct/>
        <w:topLinePunct w:val="0"/>
        <w:autoSpaceDE/>
        <w:autoSpaceDN/>
        <w:bidi w:val="0"/>
        <w:adjustRightInd/>
        <w:snapToGrid/>
        <w:rPr>
          <w:rFonts w:hint="eastAsia" w:ascii="Times New Roman" w:hAnsi="Times New Roman" w:eastAsia="宋体"/>
          <w:color w:val="auto"/>
          <w:spacing w:val="0"/>
          <w:w w:val="100"/>
          <w:position w:val="0"/>
          <w:highlight w:val="none"/>
          <w:lang w:val="en-US" w:eastAsia="zh-CN"/>
        </w:rPr>
      </w:pPr>
      <w:r>
        <w:rPr>
          <w:rFonts w:hint="eastAsia" w:ascii="Times New Roman" w:hAnsi="Times New Roman" w:eastAsia="宋体"/>
          <w:color w:val="auto"/>
          <w:spacing w:val="0"/>
          <w:w w:val="100"/>
          <w:position w:val="0"/>
          <w:highlight w:val="none"/>
          <w:lang w:val="en-US" w:eastAsia="zh-CN"/>
        </w:rPr>
        <w:t>4.3.2.1</w:t>
      </w:r>
      <w:r>
        <w:rPr>
          <w:rFonts w:hint="default" w:ascii="Times New Roman" w:hAnsi="Times New Roman" w:eastAsia="宋体"/>
          <w:color w:val="auto"/>
          <w:spacing w:val="0"/>
          <w:w w:val="100"/>
          <w:position w:val="0"/>
          <w:highlight w:val="none"/>
          <w:lang w:val="en-US" w:eastAsia="zh-CN"/>
        </w:rPr>
        <w:t>地表水环境质量现状调查与评价</w:t>
      </w:r>
    </w:p>
    <w:p w14:paraId="2D338641">
      <w:pPr>
        <w:keepNext w:val="0"/>
        <w:keepLines w:val="0"/>
        <w:pageBreakBefore w:val="0"/>
        <w:widowControl w:val="0"/>
        <w:kinsoku/>
        <w:wordWrap/>
        <w:overflowPunct/>
        <w:topLinePunct w:val="0"/>
        <w:autoSpaceDE/>
        <w:autoSpaceDN/>
        <w:bidi w:val="0"/>
        <w:adjustRightInd/>
        <w:snapToGrid/>
        <w:spacing w:line="360" w:lineRule="auto"/>
        <w:ind w:left="0" w:firstLine="480"/>
        <w:rPr>
          <w:rFonts w:hint="default" w:ascii="Times New Roman" w:hAnsi="Times New Roman" w:eastAsia="宋体" w:cs="Times New Roman"/>
          <w:color w:val="auto"/>
          <w:spacing w:val="0"/>
          <w:w w:val="100"/>
          <w:position w:val="0"/>
          <w:sz w:val="24"/>
          <w:szCs w:val="24"/>
          <w:highlight w:val="none"/>
          <w:u w:val="none" w:color="auto"/>
        </w:rPr>
      </w:pPr>
      <w:r>
        <w:rPr>
          <w:rFonts w:hint="default" w:ascii="Times New Roman" w:hAnsi="Times New Roman" w:eastAsia="宋体" w:cs="Times New Roman"/>
          <w:color w:val="auto"/>
          <w:spacing w:val="0"/>
          <w:w w:val="100"/>
          <w:position w:val="0"/>
          <w:sz w:val="24"/>
          <w:szCs w:val="24"/>
          <w:highlight w:val="none"/>
          <w:u w:val="none" w:color="auto"/>
        </w:rPr>
        <w:t>本项目与地表水无水利联系，</w:t>
      </w:r>
      <w:r>
        <w:rPr>
          <w:rFonts w:hint="eastAsia" w:cs="Times New Roman"/>
          <w:color w:val="auto"/>
          <w:spacing w:val="0"/>
          <w:w w:val="100"/>
          <w:position w:val="0"/>
          <w:sz w:val="24"/>
          <w:szCs w:val="24"/>
          <w:highlight w:val="none"/>
          <w:u w:val="none" w:color="auto"/>
          <w:lang w:val="en-US" w:eastAsia="zh-CN"/>
        </w:rPr>
        <w:t>因此</w:t>
      </w:r>
      <w:r>
        <w:rPr>
          <w:rFonts w:hint="default" w:ascii="Times New Roman" w:hAnsi="Times New Roman" w:eastAsia="宋体" w:cs="Times New Roman"/>
          <w:color w:val="auto"/>
          <w:spacing w:val="0"/>
          <w:w w:val="100"/>
          <w:position w:val="0"/>
          <w:sz w:val="24"/>
          <w:szCs w:val="24"/>
          <w:highlight w:val="none"/>
          <w:u w:val="none" w:color="auto"/>
        </w:rPr>
        <w:t>不进行地表水环境现状调查。</w:t>
      </w:r>
    </w:p>
    <w:p w14:paraId="5B7B909D">
      <w:pPr>
        <w:pStyle w:val="5"/>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olor w:val="auto"/>
          <w:spacing w:val="0"/>
          <w:w w:val="100"/>
          <w:position w:val="0"/>
          <w:highlight w:val="none"/>
          <w:lang w:val="en-US" w:eastAsia="zh-CN"/>
        </w:rPr>
      </w:pPr>
      <w:r>
        <w:rPr>
          <w:rFonts w:hint="eastAsia" w:ascii="Times New Roman" w:hAnsi="Times New Roman" w:eastAsia="宋体"/>
          <w:color w:val="auto"/>
          <w:spacing w:val="0"/>
          <w:w w:val="100"/>
          <w:position w:val="0"/>
          <w:highlight w:val="none"/>
          <w:lang w:val="en-US" w:eastAsia="zh-CN"/>
        </w:rPr>
        <w:t>4.3.2.2</w:t>
      </w:r>
      <w:r>
        <w:rPr>
          <w:rFonts w:hint="default" w:ascii="Times New Roman" w:hAnsi="Times New Roman" w:eastAsia="宋体"/>
          <w:color w:val="auto"/>
          <w:spacing w:val="0"/>
          <w:w w:val="100"/>
          <w:position w:val="0"/>
          <w:highlight w:val="none"/>
          <w:lang w:val="en-US" w:eastAsia="zh-CN"/>
        </w:rPr>
        <w:t>地</w:t>
      </w:r>
      <w:r>
        <w:rPr>
          <w:rFonts w:hint="eastAsia" w:ascii="Times New Roman" w:hAnsi="Times New Roman" w:eastAsia="宋体"/>
          <w:color w:val="auto"/>
          <w:spacing w:val="0"/>
          <w:w w:val="100"/>
          <w:position w:val="0"/>
          <w:highlight w:val="none"/>
          <w:lang w:val="en-US" w:eastAsia="zh-CN"/>
        </w:rPr>
        <w:t>下</w:t>
      </w:r>
      <w:r>
        <w:rPr>
          <w:rFonts w:hint="default" w:ascii="Times New Roman" w:hAnsi="Times New Roman" w:eastAsia="宋体"/>
          <w:color w:val="auto"/>
          <w:spacing w:val="0"/>
          <w:w w:val="100"/>
          <w:position w:val="0"/>
          <w:highlight w:val="none"/>
          <w:lang w:val="en-US" w:eastAsia="zh-CN"/>
        </w:rPr>
        <w:t>水环境质量现状调查与评价</w:t>
      </w:r>
    </w:p>
    <w:p w14:paraId="2BF52CEE">
      <w:pPr>
        <w:keepNext w:val="0"/>
        <w:keepLines w:val="0"/>
        <w:pageBreakBefore w:val="0"/>
        <w:widowControl w:val="0"/>
        <w:kinsoku/>
        <w:wordWrap/>
        <w:overflowPunct/>
        <w:topLinePunct w:val="0"/>
        <w:autoSpaceDE/>
        <w:autoSpaceDN/>
        <w:bidi w:val="0"/>
        <w:adjustRightInd/>
        <w:snapToGrid/>
        <w:ind w:firstLine="480"/>
        <w:rPr>
          <w:color w:val="auto"/>
          <w:spacing w:val="0"/>
          <w:w w:val="100"/>
          <w:position w:val="0"/>
          <w:highlight w:val="none"/>
        </w:rPr>
      </w:pPr>
      <w:r>
        <w:rPr>
          <w:rFonts w:hint="default" w:ascii="Times New Roman" w:hAnsi="Times New Roman" w:eastAsia="宋体" w:cs="Times New Roman"/>
          <w:color w:val="auto"/>
          <w:spacing w:val="0"/>
          <w:w w:val="100"/>
          <w:position w:val="0"/>
          <w:sz w:val="24"/>
          <w:szCs w:val="24"/>
          <w:highlight w:val="none"/>
          <w:u w:val="none" w:color="auto"/>
        </w:rPr>
        <w:t>根据《环境影响评价技术导则 地下水环境》（HJ610-2016）要求：“根据建设项目对地下水影响的程度，结合《建设项目环境影响评价分类管理名录》，将建设项目分为四类，I类、II类、III类建设项目的地下水环境影响评价应执行该标准，IV类建设项目不开展地下水环境影响评价。”</w:t>
      </w:r>
      <w:r>
        <w:rPr>
          <w:rFonts w:hint="eastAsia" w:ascii="Times New Roman" w:hAnsi="Times New Roman" w:eastAsia="宋体" w:cs="Times New Roman"/>
          <w:color w:val="auto"/>
          <w:spacing w:val="0"/>
          <w:w w:val="100"/>
          <w:position w:val="0"/>
          <w:sz w:val="24"/>
          <w:szCs w:val="24"/>
          <w:highlight w:val="none"/>
          <w:u w:val="none" w:color="auto"/>
          <w:lang w:val="en-US" w:eastAsia="zh-CN"/>
        </w:rPr>
        <w:t>本</w:t>
      </w:r>
      <w:r>
        <w:rPr>
          <w:rFonts w:hint="default" w:ascii="Times New Roman" w:hAnsi="Times New Roman" w:eastAsia="宋体" w:cs="Times New Roman"/>
          <w:color w:val="auto"/>
          <w:spacing w:val="0"/>
          <w:w w:val="100"/>
          <w:position w:val="0"/>
          <w:sz w:val="24"/>
          <w:szCs w:val="24"/>
          <w:highlight w:val="none"/>
          <w:u w:val="none" w:color="auto"/>
        </w:rPr>
        <w:t>项目地下水评价等级为“三级”，需对项目区域地下水环境进行环境现状评价。</w:t>
      </w:r>
    </w:p>
    <w:p w14:paraId="1DFE58F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bookmarkStart w:id="304" w:name="_Toc25859"/>
      <w:r>
        <w:rPr>
          <w:rFonts w:hint="default" w:ascii="Times New Roman" w:hAnsi="Times New Roman" w:eastAsia="宋体" w:cs="Times New Roman"/>
          <w:snapToGrid/>
          <w:color w:val="auto"/>
          <w:spacing w:val="0"/>
          <w:w w:val="100"/>
          <w:kern w:val="28"/>
          <w:position w:val="0"/>
          <w:sz w:val="24"/>
          <w:szCs w:val="24"/>
          <w:highlight w:val="none"/>
          <w:lang w:val="en-US" w:eastAsia="zh-CN" w:bidi="ar"/>
        </w:rPr>
        <w:t>根据导则要求，三级评价项目潜水含水层水质监测点应不少于3个，可能受建设项目影响且具有饮用水开发利用价值的含水层1</w:t>
      </w:r>
      <w:r>
        <w:rPr>
          <w:rFonts w:hint="eastAsia" w:ascii="Times New Roman" w:hAnsi="Times New Roman" w:eastAsia="宋体" w:cs="Times New Roman"/>
          <w:snapToGrid/>
          <w:color w:val="auto"/>
          <w:spacing w:val="0"/>
          <w:w w:val="100"/>
          <w:kern w:val="28"/>
          <w:position w:val="0"/>
          <w:sz w:val="24"/>
          <w:szCs w:val="24"/>
          <w:highlight w:val="none"/>
          <w:lang w:val="en-US" w:eastAsia="zh-CN" w:bidi="ar"/>
        </w:rPr>
        <w:t>～</w:t>
      </w:r>
      <w:r>
        <w:rPr>
          <w:rFonts w:hint="default" w:ascii="Times New Roman" w:hAnsi="Times New Roman" w:eastAsia="宋体" w:cs="Times New Roman"/>
          <w:snapToGrid/>
          <w:color w:val="auto"/>
          <w:spacing w:val="0"/>
          <w:w w:val="100"/>
          <w:kern w:val="28"/>
          <w:position w:val="0"/>
          <w:sz w:val="24"/>
          <w:szCs w:val="24"/>
          <w:highlight w:val="none"/>
          <w:lang w:val="en-US" w:eastAsia="zh-CN" w:bidi="ar"/>
        </w:rPr>
        <w:t>2个。原则上建设项目场地上游及下游影响区的地下水水质监测点各不得少于1个；潜水含水层水质监测点应不少于3个</w:t>
      </w:r>
      <w:r>
        <w:rPr>
          <w:rFonts w:hint="eastAsia" w:ascii="Times New Roman" w:hAnsi="Times New Roman" w:eastAsia="宋体" w:cs="Times New Roman"/>
          <w:snapToGrid/>
          <w:color w:val="auto"/>
          <w:spacing w:val="0"/>
          <w:w w:val="100"/>
          <w:kern w:val="28"/>
          <w:position w:val="0"/>
          <w:sz w:val="24"/>
          <w:szCs w:val="24"/>
          <w:highlight w:val="none"/>
          <w:lang w:val="en-US" w:eastAsia="zh-CN"/>
        </w:rPr>
        <w:t>。项目区地下水径流流向自南向北，</w:t>
      </w:r>
      <w:r>
        <w:rPr>
          <w:rFonts w:hint="default" w:ascii="Times New Roman" w:hAnsi="Times New Roman" w:eastAsia="宋体" w:cs="Times New Roman"/>
          <w:snapToGrid/>
          <w:color w:val="auto"/>
          <w:spacing w:val="0"/>
          <w:w w:val="100"/>
          <w:kern w:val="28"/>
          <w:position w:val="0"/>
          <w:sz w:val="24"/>
          <w:szCs w:val="24"/>
          <w:highlight w:val="none"/>
          <w:lang w:bidi="ar"/>
        </w:rPr>
        <w:t>在项目区</w:t>
      </w:r>
      <w:r>
        <w:rPr>
          <w:rFonts w:hint="eastAsia" w:ascii="Times New Roman" w:hAnsi="Times New Roman" w:eastAsia="宋体" w:cs="Times New Roman"/>
          <w:snapToGrid/>
          <w:color w:val="auto"/>
          <w:spacing w:val="0"/>
          <w:w w:val="100"/>
          <w:kern w:val="28"/>
          <w:position w:val="0"/>
          <w:sz w:val="24"/>
          <w:szCs w:val="24"/>
          <w:highlight w:val="none"/>
          <w:lang w:val="en-US" w:eastAsia="zh-CN" w:bidi="ar"/>
        </w:rPr>
        <w:t>南侧</w:t>
      </w:r>
      <w:r>
        <w:rPr>
          <w:rFonts w:hint="default" w:ascii="Times New Roman" w:hAnsi="Times New Roman" w:eastAsia="宋体" w:cs="Times New Roman"/>
          <w:snapToGrid/>
          <w:color w:val="auto"/>
          <w:spacing w:val="0"/>
          <w:w w:val="100"/>
          <w:kern w:val="28"/>
          <w:position w:val="0"/>
          <w:sz w:val="24"/>
          <w:szCs w:val="24"/>
          <w:highlight w:val="none"/>
          <w:lang w:eastAsia="zh-CN" w:bidi="ar"/>
        </w:rPr>
        <w:t>、</w:t>
      </w:r>
      <w:r>
        <w:rPr>
          <w:rFonts w:hint="default" w:ascii="Times New Roman" w:hAnsi="Times New Roman" w:eastAsia="宋体" w:cs="Times New Roman"/>
          <w:snapToGrid/>
          <w:color w:val="auto"/>
          <w:spacing w:val="0"/>
          <w:w w:val="100"/>
          <w:kern w:val="28"/>
          <w:position w:val="0"/>
          <w:sz w:val="24"/>
          <w:szCs w:val="24"/>
          <w:highlight w:val="none"/>
          <w:lang w:val="en-US" w:eastAsia="zh-CN" w:bidi="ar"/>
        </w:rPr>
        <w:t>北侧共</w:t>
      </w:r>
      <w:r>
        <w:rPr>
          <w:rFonts w:hint="default" w:ascii="Times New Roman" w:hAnsi="Times New Roman" w:eastAsia="宋体" w:cs="Times New Roman"/>
          <w:snapToGrid/>
          <w:color w:val="auto"/>
          <w:spacing w:val="0"/>
          <w:w w:val="100"/>
          <w:kern w:val="28"/>
          <w:position w:val="0"/>
          <w:sz w:val="24"/>
          <w:szCs w:val="24"/>
          <w:highlight w:val="none"/>
          <w:lang w:bidi="ar"/>
        </w:rPr>
        <w:t>布设</w:t>
      </w:r>
      <w:r>
        <w:rPr>
          <w:rFonts w:hint="eastAsia" w:ascii="Times New Roman" w:hAnsi="Times New Roman" w:eastAsia="宋体" w:cs="Times New Roman"/>
          <w:snapToGrid/>
          <w:color w:val="auto"/>
          <w:spacing w:val="0"/>
          <w:w w:val="100"/>
          <w:kern w:val="28"/>
          <w:position w:val="0"/>
          <w:sz w:val="24"/>
          <w:szCs w:val="24"/>
          <w:highlight w:val="none"/>
          <w:lang w:val="en-US" w:eastAsia="zh-CN" w:bidi="ar"/>
        </w:rPr>
        <w:t>3</w:t>
      </w:r>
      <w:r>
        <w:rPr>
          <w:rFonts w:hint="default" w:ascii="Times New Roman" w:hAnsi="Times New Roman" w:eastAsia="宋体" w:cs="Times New Roman"/>
          <w:snapToGrid/>
          <w:color w:val="auto"/>
          <w:spacing w:val="0"/>
          <w:w w:val="100"/>
          <w:kern w:val="28"/>
          <w:position w:val="0"/>
          <w:sz w:val="24"/>
          <w:szCs w:val="24"/>
          <w:highlight w:val="none"/>
          <w:lang w:bidi="ar"/>
        </w:rPr>
        <w:t>个地下水监测点</w:t>
      </w:r>
      <w:r>
        <w:rPr>
          <w:rFonts w:hint="eastAsia" w:ascii="Times New Roman" w:hAnsi="Times New Roman" w:eastAsia="宋体" w:cs="Times New Roman"/>
          <w:snapToGrid/>
          <w:color w:val="auto"/>
          <w:spacing w:val="0"/>
          <w:w w:val="100"/>
          <w:kern w:val="28"/>
          <w:position w:val="0"/>
          <w:sz w:val="24"/>
          <w:szCs w:val="24"/>
          <w:highlight w:val="none"/>
          <w:lang w:eastAsia="zh-CN" w:bidi="ar"/>
        </w:rPr>
        <w:t>，</w:t>
      </w:r>
      <w:r>
        <w:rPr>
          <w:rFonts w:hint="eastAsia" w:ascii="Times New Roman" w:hAnsi="Times New Roman" w:eastAsia="宋体" w:cs="Times New Roman"/>
          <w:snapToGrid/>
          <w:color w:val="auto"/>
          <w:spacing w:val="0"/>
          <w:w w:val="100"/>
          <w:kern w:val="28"/>
          <w:position w:val="0"/>
          <w:sz w:val="24"/>
          <w:szCs w:val="24"/>
          <w:highlight w:val="none"/>
          <w:lang w:val="en-US" w:eastAsia="zh-CN" w:bidi="ar"/>
        </w:rPr>
        <w:t>场址地表水径流的上游、侧游及下游</w:t>
      </w:r>
      <w:r>
        <w:rPr>
          <w:rFonts w:hint="default" w:ascii="Times New Roman" w:hAnsi="Times New Roman" w:eastAsia="宋体" w:cs="Times New Roman"/>
          <w:snapToGrid/>
          <w:color w:val="auto"/>
          <w:spacing w:val="0"/>
          <w:w w:val="100"/>
          <w:kern w:val="28"/>
          <w:position w:val="0"/>
          <w:sz w:val="24"/>
          <w:szCs w:val="24"/>
          <w:highlight w:val="none"/>
          <w:lang w:bidi="ar"/>
        </w:rPr>
        <w:t>。</w:t>
      </w:r>
      <w:r>
        <w:rPr>
          <w:rFonts w:hint="eastAsia" w:ascii="Times New Roman" w:hAnsi="Times New Roman" w:eastAsia="宋体" w:cs="Times New Roman"/>
          <w:snapToGrid/>
          <w:color w:val="auto"/>
          <w:spacing w:val="0"/>
          <w:w w:val="100"/>
          <w:kern w:val="28"/>
          <w:position w:val="0"/>
          <w:sz w:val="24"/>
          <w:szCs w:val="24"/>
          <w:highlight w:val="none"/>
          <w:lang w:val="en-US" w:eastAsia="zh-CN" w:bidi="ar"/>
        </w:rPr>
        <w:t>本项目监测点水井均位于潜水层，监测点均在评价范围内，监测可以反映区域地下水水质。</w:t>
      </w:r>
    </w:p>
    <w:p w14:paraId="4C4E24ED">
      <w:pPr>
        <w:keepNext w:val="0"/>
        <w:keepLines w:val="0"/>
        <w:pageBreakBefore w:val="0"/>
        <w:widowControl w:val="0"/>
        <w:tabs>
          <w:tab w:val="left" w:pos="1576"/>
        </w:tabs>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zh-CN" w:eastAsia="zh-CN"/>
        </w:rPr>
      </w:pPr>
      <w:r>
        <w:rPr>
          <w:rFonts w:hint="default" w:ascii="Times New Roman" w:hAnsi="Times New Roman" w:eastAsia="宋体" w:cs="Times New Roman"/>
          <w:caps w:val="0"/>
          <w:snapToGrid/>
          <w:color w:val="auto"/>
          <w:spacing w:val="0"/>
          <w:w w:val="100"/>
          <w:kern w:val="0"/>
          <w:position w:val="0"/>
          <w:szCs w:val="24"/>
          <w:highlight w:val="none"/>
          <w:lang w:val="zh-CN"/>
        </w:rPr>
        <w:t>（</w:t>
      </w:r>
      <w:r>
        <w:rPr>
          <w:rFonts w:hint="default" w:ascii="Times New Roman" w:hAnsi="Times New Roman" w:eastAsia="宋体" w:cs="Times New Roman"/>
          <w:caps w:val="0"/>
          <w:snapToGrid/>
          <w:color w:val="auto"/>
          <w:spacing w:val="0"/>
          <w:w w:val="100"/>
          <w:kern w:val="0"/>
          <w:position w:val="0"/>
          <w:szCs w:val="24"/>
          <w:highlight w:val="none"/>
          <w:lang w:val="en-US" w:eastAsia="zh-CN"/>
        </w:rPr>
        <w:t>1</w:t>
      </w:r>
      <w:r>
        <w:rPr>
          <w:rFonts w:hint="default" w:ascii="Times New Roman" w:hAnsi="Times New Roman" w:eastAsia="宋体" w:cs="Times New Roman"/>
          <w:caps w:val="0"/>
          <w:snapToGrid/>
          <w:color w:val="auto"/>
          <w:spacing w:val="0"/>
          <w:w w:val="100"/>
          <w:kern w:val="0"/>
          <w:position w:val="0"/>
          <w:szCs w:val="24"/>
          <w:highlight w:val="none"/>
          <w:lang w:val="zh-CN"/>
        </w:rPr>
        <w:t>）</w:t>
      </w:r>
      <w:r>
        <w:rPr>
          <w:rFonts w:hint="default" w:ascii="Times New Roman" w:hAnsi="Times New Roman" w:eastAsia="宋体" w:cs="Times New Roman"/>
          <w:caps w:val="0"/>
          <w:snapToGrid/>
          <w:color w:val="auto"/>
          <w:spacing w:val="0"/>
          <w:w w:val="100"/>
          <w:kern w:val="0"/>
          <w:position w:val="0"/>
          <w:szCs w:val="24"/>
          <w:highlight w:val="none"/>
          <w:lang w:val="zh-CN" w:eastAsia="zh-CN"/>
        </w:rPr>
        <w:t>监测点位及时间</w:t>
      </w:r>
    </w:p>
    <w:p w14:paraId="1F86208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地下水</w:t>
      </w:r>
      <w:r>
        <w:rPr>
          <w:rFonts w:hint="default" w:ascii="Times New Roman" w:hAnsi="Times New Roman" w:eastAsia="宋体" w:cs="Times New Roman"/>
          <w:caps w:val="0"/>
          <w:snapToGrid/>
          <w:color w:val="auto"/>
          <w:spacing w:val="0"/>
          <w:w w:val="100"/>
          <w:kern w:val="0"/>
          <w:position w:val="0"/>
          <w:szCs w:val="24"/>
          <w:highlight w:val="none"/>
          <w:lang w:eastAsia="zh-CN"/>
        </w:rPr>
        <w:t>水质</w:t>
      </w:r>
      <w:r>
        <w:rPr>
          <w:rFonts w:hint="default" w:ascii="Times New Roman" w:hAnsi="Times New Roman" w:eastAsia="宋体" w:cs="Times New Roman"/>
          <w:caps w:val="0"/>
          <w:snapToGrid/>
          <w:color w:val="auto"/>
          <w:spacing w:val="0"/>
          <w:w w:val="100"/>
          <w:kern w:val="0"/>
          <w:position w:val="0"/>
          <w:szCs w:val="24"/>
          <w:highlight w:val="none"/>
        </w:rPr>
        <w:t>监测点位详见表</w:t>
      </w:r>
      <w:r>
        <w:rPr>
          <w:rFonts w:hint="default" w:ascii="Times New Roman" w:hAnsi="Times New Roman" w:eastAsia="宋体" w:cs="Times New Roman"/>
          <w:caps w:val="0"/>
          <w:snapToGrid/>
          <w:color w:val="auto"/>
          <w:spacing w:val="0"/>
          <w:w w:val="100"/>
          <w:kern w:val="0"/>
          <w:position w:val="0"/>
          <w:szCs w:val="24"/>
          <w:highlight w:val="none"/>
          <w:lang w:val="en-US" w:eastAsia="zh-CN"/>
        </w:rPr>
        <w:t>4.3</w:t>
      </w:r>
      <w:r>
        <w:rPr>
          <w:rFonts w:hint="eastAsia" w:ascii="Times New Roman" w:hAnsi="Times New Roman" w:eastAsia="宋体" w:cs="Times New Roman"/>
          <w:caps w:val="0"/>
          <w:snapToGrid/>
          <w:color w:val="auto"/>
          <w:spacing w:val="0"/>
          <w:w w:val="100"/>
          <w:kern w:val="0"/>
          <w:position w:val="0"/>
          <w:szCs w:val="24"/>
          <w:highlight w:val="none"/>
          <w:lang w:val="en-US" w:eastAsia="zh-CN"/>
        </w:rPr>
        <w:t>.2-1</w:t>
      </w:r>
      <w:r>
        <w:rPr>
          <w:rFonts w:hint="default" w:ascii="Times New Roman" w:hAnsi="Times New Roman" w:eastAsia="宋体" w:cs="Times New Roman"/>
          <w:caps w:val="0"/>
          <w:snapToGrid/>
          <w:color w:val="auto"/>
          <w:spacing w:val="0"/>
          <w:w w:val="100"/>
          <w:kern w:val="0"/>
          <w:position w:val="0"/>
          <w:szCs w:val="24"/>
          <w:highlight w:val="none"/>
        </w:rPr>
        <w:t>及图</w:t>
      </w:r>
      <w:r>
        <w:rPr>
          <w:rFonts w:hint="default" w:ascii="Times New Roman" w:hAnsi="Times New Roman" w:eastAsia="宋体" w:cs="Times New Roman"/>
          <w:caps w:val="0"/>
          <w:snapToGrid/>
          <w:color w:val="auto"/>
          <w:spacing w:val="0"/>
          <w:w w:val="100"/>
          <w:kern w:val="0"/>
          <w:position w:val="0"/>
          <w:szCs w:val="24"/>
          <w:highlight w:val="none"/>
          <w:lang w:val="en-US" w:eastAsia="zh-CN"/>
        </w:rPr>
        <w:t>4.3-</w:t>
      </w:r>
      <w:r>
        <w:rPr>
          <w:rFonts w:hint="eastAsia" w:ascii="Times New Roman" w:hAnsi="Times New Roman" w:eastAsia="宋体" w:cs="Times New Roman"/>
          <w:caps w:val="0"/>
          <w:snapToGrid/>
          <w:color w:val="auto"/>
          <w:spacing w:val="0"/>
          <w:w w:val="100"/>
          <w:kern w:val="0"/>
          <w:position w:val="0"/>
          <w:szCs w:val="24"/>
          <w:highlight w:val="none"/>
          <w:lang w:val="en-US" w:eastAsia="zh-CN"/>
        </w:rPr>
        <w:t>1</w:t>
      </w:r>
      <w:r>
        <w:rPr>
          <w:rFonts w:hint="default" w:ascii="Times New Roman" w:hAnsi="Times New Roman" w:eastAsia="宋体" w:cs="Times New Roman"/>
          <w:caps w:val="0"/>
          <w:snapToGrid/>
          <w:color w:val="auto"/>
          <w:spacing w:val="0"/>
          <w:w w:val="100"/>
          <w:kern w:val="0"/>
          <w:position w:val="0"/>
          <w:szCs w:val="24"/>
          <w:highlight w:val="none"/>
          <w:lang w:val="en-US" w:eastAsia="zh-CN"/>
        </w:rPr>
        <w:t>。</w:t>
      </w:r>
      <w:r>
        <w:rPr>
          <w:rFonts w:hint="default" w:ascii="Times New Roman" w:hAnsi="Times New Roman" w:eastAsia="宋体" w:cs="Times New Roman"/>
          <w:caps w:val="0"/>
          <w:snapToGrid/>
          <w:color w:val="auto"/>
          <w:spacing w:val="0"/>
          <w:w w:val="100"/>
          <w:kern w:val="0"/>
          <w:position w:val="0"/>
          <w:szCs w:val="24"/>
          <w:highlight w:val="none"/>
        </w:rPr>
        <w:t>监测时间为202</w:t>
      </w:r>
      <w:r>
        <w:rPr>
          <w:rFonts w:hint="default" w:ascii="Times New Roman" w:hAnsi="Times New Roman" w:eastAsia="宋体" w:cs="Times New Roman"/>
          <w:caps w:val="0"/>
          <w:snapToGrid/>
          <w:color w:val="auto"/>
          <w:spacing w:val="0"/>
          <w:w w:val="100"/>
          <w:kern w:val="0"/>
          <w:position w:val="0"/>
          <w:szCs w:val="24"/>
          <w:highlight w:val="none"/>
          <w:lang w:val="en-US" w:eastAsia="zh-CN"/>
        </w:rPr>
        <w:t>4</w:t>
      </w:r>
      <w:r>
        <w:rPr>
          <w:rFonts w:hint="default" w:ascii="Times New Roman" w:hAnsi="Times New Roman" w:eastAsia="宋体" w:cs="Times New Roman"/>
          <w:caps w:val="0"/>
          <w:snapToGrid/>
          <w:color w:val="auto"/>
          <w:spacing w:val="0"/>
          <w:w w:val="100"/>
          <w:kern w:val="0"/>
          <w:position w:val="0"/>
          <w:szCs w:val="24"/>
          <w:highlight w:val="none"/>
        </w:rPr>
        <w:t>年</w:t>
      </w:r>
      <w:r>
        <w:rPr>
          <w:rFonts w:hint="default" w:ascii="Times New Roman" w:hAnsi="Times New Roman" w:eastAsia="宋体" w:cs="Times New Roman"/>
          <w:caps w:val="0"/>
          <w:snapToGrid/>
          <w:color w:val="auto"/>
          <w:spacing w:val="0"/>
          <w:w w:val="100"/>
          <w:kern w:val="0"/>
          <w:position w:val="0"/>
          <w:szCs w:val="24"/>
          <w:highlight w:val="none"/>
          <w:lang w:val="en-US" w:eastAsia="zh-CN"/>
        </w:rPr>
        <w:t>11</w:t>
      </w:r>
      <w:r>
        <w:rPr>
          <w:rFonts w:hint="default" w:ascii="Times New Roman" w:hAnsi="Times New Roman" w:eastAsia="宋体" w:cs="Times New Roman"/>
          <w:caps w:val="0"/>
          <w:snapToGrid/>
          <w:color w:val="auto"/>
          <w:spacing w:val="0"/>
          <w:w w:val="100"/>
          <w:kern w:val="0"/>
          <w:position w:val="0"/>
          <w:szCs w:val="24"/>
          <w:highlight w:val="none"/>
        </w:rPr>
        <w:t>月7日，由</w:t>
      </w:r>
      <w:r>
        <w:rPr>
          <w:rFonts w:hint="default" w:ascii="Times New Roman" w:hAnsi="Times New Roman" w:eastAsia="宋体" w:cs="Times New Roman"/>
          <w:caps w:val="0"/>
          <w:snapToGrid/>
          <w:color w:val="auto"/>
          <w:spacing w:val="0"/>
          <w:w w:val="100"/>
          <w:kern w:val="0"/>
          <w:position w:val="0"/>
          <w:szCs w:val="24"/>
          <w:highlight w:val="none"/>
          <w:lang w:eastAsia="zh-CN"/>
        </w:rPr>
        <w:t>新疆锡水金山环境科技有限</w:t>
      </w:r>
      <w:r>
        <w:rPr>
          <w:rFonts w:hint="default" w:ascii="Times New Roman" w:hAnsi="Times New Roman" w:eastAsia="宋体" w:cs="Times New Roman"/>
          <w:caps w:val="0"/>
          <w:snapToGrid/>
          <w:color w:val="auto"/>
          <w:spacing w:val="0"/>
          <w:w w:val="100"/>
          <w:kern w:val="0"/>
          <w:position w:val="0"/>
          <w:szCs w:val="24"/>
          <w:highlight w:val="none"/>
        </w:rPr>
        <w:t>公司进行监测。</w:t>
      </w:r>
    </w:p>
    <w:p w14:paraId="12FE731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表</w:t>
      </w:r>
      <w:r>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rPr>
        <w:t>4.3</w:t>
      </w:r>
      <w:r>
        <w:rPr>
          <w:rFonts w:hint="eastAsia" w:cs="Times New Roman"/>
          <w:b/>
          <w:bCs/>
          <w:caps w:val="0"/>
          <w:snapToGrid/>
          <w:color w:val="auto"/>
          <w:spacing w:val="0"/>
          <w:w w:val="100"/>
          <w:kern w:val="0"/>
          <w:position w:val="0"/>
          <w:sz w:val="21"/>
          <w:szCs w:val="21"/>
          <w:highlight w:val="none"/>
          <w:lang w:val="en-US" w:eastAsia="zh-CN"/>
        </w:rPr>
        <w:t>.2-1</w:t>
      </w:r>
      <w:r>
        <w:rPr>
          <w:rFonts w:hint="default" w:ascii="Times New Roman" w:hAnsi="Times New Roman" w:eastAsia="宋体" w:cs="Times New Roman"/>
          <w:b/>
          <w:bCs/>
          <w:caps w:val="0"/>
          <w:snapToGrid/>
          <w:color w:val="auto"/>
          <w:spacing w:val="0"/>
          <w:w w:val="100"/>
          <w:kern w:val="0"/>
          <w:position w:val="0"/>
          <w:sz w:val="21"/>
          <w:szCs w:val="21"/>
          <w:highlight w:val="none"/>
        </w:rPr>
        <w:t xml:space="preserve">  地下水</w:t>
      </w:r>
      <w:r>
        <w:rPr>
          <w:rFonts w:hint="default" w:ascii="Times New Roman" w:hAnsi="Times New Roman" w:eastAsia="宋体" w:cs="Times New Roman"/>
          <w:b/>
          <w:bCs/>
          <w:caps w:val="0"/>
          <w:snapToGrid/>
          <w:color w:val="auto"/>
          <w:spacing w:val="0"/>
          <w:w w:val="100"/>
          <w:kern w:val="0"/>
          <w:position w:val="0"/>
          <w:sz w:val="21"/>
          <w:szCs w:val="21"/>
          <w:highlight w:val="none"/>
          <w:lang w:eastAsia="zh-CN"/>
        </w:rPr>
        <w:t>水质</w:t>
      </w:r>
      <w:r>
        <w:rPr>
          <w:rFonts w:hint="default" w:ascii="Times New Roman" w:hAnsi="Times New Roman" w:eastAsia="宋体" w:cs="Times New Roman"/>
          <w:b/>
          <w:bCs/>
          <w:caps w:val="0"/>
          <w:snapToGrid/>
          <w:color w:val="auto"/>
          <w:spacing w:val="0"/>
          <w:w w:val="100"/>
          <w:kern w:val="0"/>
          <w:position w:val="0"/>
          <w:sz w:val="21"/>
          <w:szCs w:val="21"/>
          <w:highlight w:val="none"/>
        </w:rPr>
        <w:t>监测点位一览表</w:t>
      </w:r>
    </w:p>
    <w:tbl>
      <w:tblPr>
        <w:tblStyle w:val="2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465"/>
        <w:gridCol w:w="845"/>
        <w:gridCol w:w="1635"/>
        <w:gridCol w:w="1663"/>
        <w:gridCol w:w="1343"/>
        <w:gridCol w:w="924"/>
        <w:gridCol w:w="1104"/>
        <w:gridCol w:w="753"/>
      </w:tblGrid>
      <w:tr w14:paraId="00B009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267" w:type="pct"/>
            <w:tcBorders>
              <w:tl2br w:val="nil"/>
              <w:tr2bl w:val="nil"/>
            </w:tcBorders>
            <w:noWrap w:val="0"/>
            <w:vAlign w:val="center"/>
          </w:tcPr>
          <w:p w14:paraId="1637F5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编号</w:t>
            </w:r>
          </w:p>
        </w:tc>
        <w:tc>
          <w:tcPr>
            <w:tcW w:w="484" w:type="pct"/>
            <w:tcBorders>
              <w:tl2br w:val="nil"/>
              <w:tr2bl w:val="nil"/>
            </w:tcBorders>
            <w:noWrap w:val="0"/>
            <w:vAlign w:val="center"/>
          </w:tcPr>
          <w:p w14:paraId="57C274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监测点名称</w:t>
            </w:r>
          </w:p>
        </w:tc>
        <w:tc>
          <w:tcPr>
            <w:tcW w:w="936" w:type="pct"/>
            <w:tcBorders>
              <w:tl2br w:val="nil"/>
              <w:tr2bl w:val="nil"/>
            </w:tcBorders>
            <w:noWrap w:val="0"/>
            <w:vAlign w:val="center"/>
          </w:tcPr>
          <w:p w14:paraId="20BBCC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监测点坐标</w:t>
            </w:r>
          </w:p>
        </w:tc>
        <w:tc>
          <w:tcPr>
            <w:tcW w:w="952" w:type="pct"/>
            <w:tcBorders>
              <w:tl2br w:val="nil"/>
              <w:tr2bl w:val="nil"/>
            </w:tcBorders>
            <w:noWrap w:val="0"/>
            <w:vAlign w:val="center"/>
          </w:tcPr>
          <w:p w14:paraId="70D0A9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与本项目位置关系</w:t>
            </w:r>
          </w:p>
        </w:tc>
        <w:tc>
          <w:tcPr>
            <w:tcW w:w="769" w:type="pct"/>
            <w:tcBorders>
              <w:tl2br w:val="nil"/>
              <w:tr2bl w:val="nil"/>
            </w:tcBorders>
            <w:noWrap w:val="0"/>
            <w:vAlign w:val="center"/>
          </w:tcPr>
          <w:p w14:paraId="0E6AA2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与区域地下水流向位置关系</w:t>
            </w:r>
          </w:p>
        </w:tc>
        <w:tc>
          <w:tcPr>
            <w:tcW w:w="529" w:type="pct"/>
            <w:tcBorders>
              <w:tl2br w:val="nil"/>
              <w:tr2bl w:val="nil"/>
            </w:tcBorders>
            <w:noWrap w:val="0"/>
            <w:vAlign w:val="center"/>
          </w:tcPr>
          <w:p w14:paraId="7B3F85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lang w:eastAsia="zh-CN"/>
              </w:rPr>
            </w:pPr>
            <w:r>
              <w:rPr>
                <w:rFonts w:hint="default" w:ascii="Times New Roman" w:hAnsi="Times New Roman" w:eastAsia="宋体" w:cs="Times New Roman"/>
                <w:b/>
                <w:bCs/>
                <w:caps w:val="0"/>
                <w:snapToGrid/>
                <w:color w:val="auto"/>
                <w:spacing w:val="0"/>
                <w:w w:val="100"/>
                <w:kern w:val="0"/>
                <w:position w:val="0"/>
                <w:sz w:val="21"/>
                <w:szCs w:val="21"/>
                <w:highlight w:val="none"/>
                <w:lang w:eastAsia="zh-CN"/>
              </w:rPr>
              <w:t>井深</w:t>
            </w:r>
          </w:p>
        </w:tc>
        <w:tc>
          <w:tcPr>
            <w:tcW w:w="632" w:type="pct"/>
            <w:tcBorders>
              <w:tl2br w:val="nil"/>
              <w:tr2bl w:val="nil"/>
            </w:tcBorders>
            <w:noWrap w:val="0"/>
            <w:vAlign w:val="center"/>
          </w:tcPr>
          <w:p w14:paraId="4C7134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b/>
                <w:bCs/>
                <w:caps w:val="0"/>
                <w:snapToGrid/>
                <w:color w:val="auto"/>
                <w:spacing w:val="0"/>
                <w:w w:val="100"/>
                <w:kern w:val="0"/>
                <w:position w:val="0"/>
                <w:sz w:val="21"/>
                <w:szCs w:val="21"/>
                <w:highlight w:val="none"/>
                <w:lang w:eastAsia="zh-CN"/>
              </w:rPr>
              <w:t>水位埋深</w:t>
            </w:r>
          </w:p>
        </w:tc>
        <w:tc>
          <w:tcPr>
            <w:tcW w:w="428" w:type="pct"/>
            <w:tcBorders>
              <w:tl2br w:val="nil"/>
              <w:tr2bl w:val="nil"/>
            </w:tcBorders>
            <w:noWrap w:val="0"/>
            <w:vAlign w:val="center"/>
          </w:tcPr>
          <w:p w14:paraId="099BAE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lang w:eastAsia="zh-CN"/>
              </w:rPr>
            </w:pPr>
            <w:r>
              <w:rPr>
                <w:rFonts w:hint="default" w:ascii="Times New Roman" w:hAnsi="Times New Roman" w:eastAsia="宋体" w:cs="Times New Roman"/>
                <w:b/>
                <w:bCs/>
                <w:caps w:val="0"/>
                <w:snapToGrid/>
                <w:color w:val="auto"/>
                <w:spacing w:val="0"/>
                <w:w w:val="100"/>
                <w:kern w:val="0"/>
                <w:position w:val="0"/>
                <w:sz w:val="21"/>
                <w:szCs w:val="21"/>
                <w:highlight w:val="none"/>
                <w:lang w:eastAsia="zh-CN"/>
              </w:rPr>
              <w:t>监测层位</w:t>
            </w:r>
          </w:p>
        </w:tc>
      </w:tr>
      <w:tr w14:paraId="365730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5000" w:type="pct"/>
            <w:gridSpan w:val="8"/>
            <w:tcBorders>
              <w:tl2br w:val="nil"/>
              <w:tr2bl w:val="nil"/>
            </w:tcBorders>
            <w:noWrap w:val="0"/>
            <w:vAlign w:val="center"/>
          </w:tcPr>
          <w:p w14:paraId="4C67D3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rPr>
            </w:pPr>
            <w:r>
              <w:rPr>
                <w:rFonts w:hint="eastAsia" w:cs="Times New Roman"/>
                <w:b/>
                <w:bCs/>
                <w:caps w:val="0"/>
                <w:snapToGrid/>
                <w:color w:val="auto"/>
                <w:spacing w:val="0"/>
                <w:w w:val="100"/>
                <w:kern w:val="0"/>
                <w:position w:val="0"/>
                <w:sz w:val="21"/>
                <w:szCs w:val="21"/>
                <w:highlight w:val="none"/>
                <w:lang w:val="en-US" w:eastAsia="zh-CN"/>
              </w:rPr>
              <w:t>水质监测井信息</w:t>
            </w:r>
          </w:p>
        </w:tc>
      </w:tr>
      <w:tr w14:paraId="1D37CF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67" w:type="pct"/>
            <w:tcBorders>
              <w:tl2br w:val="nil"/>
              <w:tr2bl w:val="nil"/>
            </w:tcBorders>
            <w:noWrap w:val="0"/>
            <w:vAlign w:val="center"/>
          </w:tcPr>
          <w:p w14:paraId="7FD8D3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D</w:t>
            </w: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1</w:t>
            </w:r>
          </w:p>
        </w:tc>
        <w:tc>
          <w:tcPr>
            <w:tcW w:w="484" w:type="pct"/>
            <w:tcBorders>
              <w:tl2br w:val="nil"/>
              <w:tr2bl w:val="nil"/>
            </w:tcBorders>
            <w:noWrap w:val="0"/>
            <w:vAlign w:val="center"/>
          </w:tcPr>
          <w:p w14:paraId="7A4DFC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园区监测井1#</w:t>
            </w:r>
          </w:p>
        </w:tc>
        <w:tc>
          <w:tcPr>
            <w:tcW w:w="936" w:type="pct"/>
            <w:tcBorders>
              <w:tl2br w:val="nil"/>
              <w:tr2bl w:val="nil"/>
            </w:tcBorders>
            <w:noWrap w:val="0"/>
            <w:vAlign w:val="center"/>
          </w:tcPr>
          <w:p w14:paraId="5B7889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 xml:space="preserve"> </w:t>
            </w:r>
          </w:p>
        </w:tc>
        <w:tc>
          <w:tcPr>
            <w:tcW w:w="952" w:type="pct"/>
            <w:tcBorders>
              <w:tl2br w:val="nil"/>
              <w:tr2bl w:val="nil"/>
            </w:tcBorders>
            <w:noWrap w:val="0"/>
            <w:vAlign w:val="center"/>
          </w:tcPr>
          <w:p w14:paraId="5C851A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东南</w:t>
            </w:r>
            <w:r>
              <w:rPr>
                <w:rFonts w:hint="default" w:ascii="Times New Roman" w:hAnsi="Times New Roman" w:eastAsia="宋体" w:cs="Times New Roman"/>
                <w:caps w:val="0"/>
                <w:snapToGrid/>
                <w:color w:val="auto"/>
                <w:spacing w:val="0"/>
                <w:w w:val="100"/>
                <w:kern w:val="0"/>
                <w:position w:val="0"/>
                <w:sz w:val="21"/>
                <w:szCs w:val="21"/>
                <w:highlight w:val="none"/>
              </w:rPr>
              <w:t>，</w:t>
            </w: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1.4</w:t>
            </w:r>
            <w:r>
              <w:rPr>
                <w:rFonts w:hint="default" w:ascii="Times New Roman" w:hAnsi="Times New Roman" w:eastAsia="宋体" w:cs="Times New Roman"/>
                <w:caps w:val="0"/>
                <w:snapToGrid/>
                <w:color w:val="auto"/>
                <w:spacing w:val="0"/>
                <w:w w:val="100"/>
                <w:kern w:val="0"/>
                <w:position w:val="0"/>
                <w:sz w:val="21"/>
                <w:szCs w:val="21"/>
                <w:highlight w:val="none"/>
              </w:rPr>
              <w:t>km</w:t>
            </w:r>
          </w:p>
        </w:tc>
        <w:tc>
          <w:tcPr>
            <w:tcW w:w="769" w:type="pct"/>
            <w:tcBorders>
              <w:tl2br w:val="nil"/>
              <w:tr2bl w:val="nil"/>
            </w:tcBorders>
            <w:noWrap w:val="0"/>
            <w:vAlign w:val="center"/>
          </w:tcPr>
          <w:p w14:paraId="4212B1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上游</w:t>
            </w:r>
          </w:p>
        </w:tc>
        <w:tc>
          <w:tcPr>
            <w:tcW w:w="529" w:type="pct"/>
            <w:tcBorders>
              <w:tl2br w:val="nil"/>
              <w:tr2bl w:val="nil"/>
            </w:tcBorders>
            <w:noWrap w:val="0"/>
            <w:vAlign w:val="center"/>
          </w:tcPr>
          <w:p w14:paraId="50C8E1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30</w:t>
            </w: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m</w:t>
            </w:r>
          </w:p>
        </w:tc>
        <w:tc>
          <w:tcPr>
            <w:tcW w:w="632" w:type="pct"/>
            <w:tcBorders>
              <w:tl2br w:val="nil"/>
              <w:tr2bl w:val="nil"/>
            </w:tcBorders>
            <w:noWrap w:val="0"/>
            <w:vAlign w:val="center"/>
          </w:tcPr>
          <w:p w14:paraId="458359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7.5</w:t>
            </w: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m</w:t>
            </w:r>
          </w:p>
        </w:tc>
        <w:tc>
          <w:tcPr>
            <w:tcW w:w="428" w:type="pct"/>
            <w:tcBorders>
              <w:tl2br w:val="nil"/>
              <w:tr2bl w:val="nil"/>
            </w:tcBorders>
            <w:noWrap w:val="0"/>
            <w:vAlign w:val="center"/>
          </w:tcPr>
          <w:p w14:paraId="678D09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rPr>
              <w:t>潜水</w:t>
            </w:r>
          </w:p>
        </w:tc>
      </w:tr>
      <w:tr w14:paraId="577108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67" w:type="pct"/>
            <w:tcBorders>
              <w:tl2br w:val="nil"/>
              <w:tr2bl w:val="nil"/>
            </w:tcBorders>
            <w:noWrap w:val="0"/>
            <w:vAlign w:val="center"/>
          </w:tcPr>
          <w:p w14:paraId="243662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D</w:t>
            </w: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2</w:t>
            </w:r>
          </w:p>
        </w:tc>
        <w:tc>
          <w:tcPr>
            <w:tcW w:w="484" w:type="pct"/>
            <w:tcBorders>
              <w:tl2br w:val="nil"/>
              <w:tr2bl w:val="nil"/>
            </w:tcBorders>
            <w:noWrap w:val="0"/>
            <w:vAlign w:val="center"/>
          </w:tcPr>
          <w:p w14:paraId="5F0F07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eastAsia" w:cs="Times New Roman"/>
                <w:caps w:val="0"/>
                <w:snapToGrid/>
                <w:color w:val="auto"/>
                <w:spacing w:val="0"/>
                <w:w w:val="100"/>
                <w:kern w:val="0"/>
                <w:position w:val="0"/>
                <w:sz w:val="21"/>
                <w:szCs w:val="21"/>
                <w:highlight w:val="none"/>
                <w:lang w:val="en-US" w:eastAsia="zh-CN"/>
              </w:rPr>
              <w:t>园区监测井2#</w:t>
            </w:r>
          </w:p>
        </w:tc>
        <w:tc>
          <w:tcPr>
            <w:tcW w:w="936" w:type="pct"/>
            <w:tcBorders>
              <w:tl2br w:val="nil"/>
              <w:tr2bl w:val="nil"/>
            </w:tcBorders>
            <w:noWrap w:val="0"/>
            <w:vAlign w:val="center"/>
          </w:tcPr>
          <w:p w14:paraId="189202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 xml:space="preserve"> </w:t>
            </w:r>
          </w:p>
        </w:tc>
        <w:tc>
          <w:tcPr>
            <w:tcW w:w="952" w:type="pct"/>
            <w:tcBorders>
              <w:tl2br w:val="nil"/>
              <w:tr2bl w:val="nil"/>
            </w:tcBorders>
            <w:noWrap w:val="0"/>
            <w:vAlign w:val="center"/>
          </w:tcPr>
          <w:p w14:paraId="70D588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西南</w:t>
            </w:r>
            <w:r>
              <w:rPr>
                <w:rFonts w:hint="default" w:ascii="Times New Roman" w:hAnsi="Times New Roman" w:eastAsia="宋体" w:cs="Times New Roman"/>
                <w:caps w:val="0"/>
                <w:snapToGrid/>
                <w:color w:val="auto"/>
                <w:spacing w:val="0"/>
                <w:w w:val="100"/>
                <w:kern w:val="0"/>
                <w:position w:val="0"/>
                <w:sz w:val="21"/>
                <w:szCs w:val="21"/>
                <w:highlight w:val="none"/>
              </w:rPr>
              <w:t>，</w:t>
            </w: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0.45km</w:t>
            </w:r>
          </w:p>
        </w:tc>
        <w:tc>
          <w:tcPr>
            <w:tcW w:w="769" w:type="pct"/>
            <w:tcBorders>
              <w:tl2br w:val="nil"/>
              <w:tr2bl w:val="nil"/>
            </w:tcBorders>
            <w:noWrap w:val="0"/>
            <w:vAlign w:val="center"/>
          </w:tcPr>
          <w:p w14:paraId="196446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侧</w:t>
            </w:r>
            <w:r>
              <w:rPr>
                <w:rFonts w:hint="default" w:ascii="Times New Roman" w:hAnsi="Times New Roman" w:eastAsia="宋体" w:cs="Times New Roman"/>
                <w:caps w:val="0"/>
                <w:snapToGrid/>
                <w:color w:val="auto"/>
                <w:spacing w:val="0"/>
                <w:w w:val="100"/>
                <w:kern w:val="0"/>
                <w:position w:val="0"/>
                <w:sz w:val="21"/>
                <w:szCs w:val="21"/>
                <w:highlight w:val="none"/>
              </w:rPr>
              <w:t>游</w:t>
            </w:r>
          </w:p>
        </w:tc>
        <w:tc>
          <w:tcPr>
            <w:tcW w:w="529" w:type="pct"/>
            <w:tcBorders>
              <w:tl2br w:val="nil"/>
              <w:tr2bl w:val="nil"/>
            </w:tcBorders>
            <w:noWrap w:val="0"/>
            <w:vAlign w:val="center"/>
          </w:tcPr>
          <w:p w14:paraId="2FC5FD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2</w:t>
            </w: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5m</w:t>
            </w:r>
          </w:p>
        </w:tc>
        <w:tc>
          <w:tcPr>
            <w:tcW w:w="632" w:type="pct"/>
            <w:tcBorders>
              <w:tl2br w:val="nil"/>
              <w:tr2bl w:val="nil"/>
            </w:tcBorders>
            <w:noWrap w:val="0"/>
            <w:vAlign w:val="center"/>
          </w:tcPr>
          <w:p w14:paraId="3EDAD8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9</w:t>
            </w:r>
            <w:r>
              <w:rPr>
                <w:rFonts w:hint="default" w:cs="Times New Roman"/>
                <w:caps w:val="0"/>
                <w:snapToGrid/>
                <w:color w:val="auto"/>
                <w:spacing w:val="0"/>
                <w:w w:val="100"/>
                <w:kern w:val="0"/>
                <w:position w:val="0"/>
                <w:sz w:val="21"/>
                <w:szCs w:val="21"/>
                <w:highlight w:val="none"/>
                <w:lang w:val="en-US" w:eastAsia="zh-CN"/>
              </w:rPr>
              <w:t>m</w:t>
            </w:r>
          </w:p>
        </w:tc>
        <w:tc>
          <w:tcPr>
            <w:tcW w:w="428" w:type="pct"/>
            <w:tcBorders>
              <w:tl2br w:val="nil"/>
              <w:tr2bl w:val="nil"/>
            </w:tcBorders>
            <w:noWrap w:val="0"/>
            <w:vAlign w:val="center"/>
          </w:tcPr>
          <w:p w14:paraId="59E883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caps w:val="0"/>
                <w:snapToGrid/>
                <w:color w:val="auto"/>
                <w:spacing w:val="0"/>
                <w:w w:val="100"/>
                <w:kern w:val="0"/>
                <w:position w:val="0"/>
                <w:sz w:val="21"/>
                <w:szCs w:val="21"/>
                <w:highlight w:val="none"/>
              </w:rPr>
              <w:t>潜水</w:t>
            </w:r>
          </w:p>
        </w:tc>
      </w:tr>
      <w:tr w14:paraId="5DC2D9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267" w:type="pct"/>
            <w:tcBorders>
              <w:tl2br w:val="nil"/>
              <w:tr2bl w:val="nil"/>
            </w:tcBorders>
            <w:noWrap w:val="0"/>
            <w:vAlign w:val="center"/>
          </w:tcPr>
          <w:p w14:paraId="437217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D3</w:t>
            </w:r>
          </w:p>
        </w:tc>
        <w:tc>
          <w:tcPr>
            <w:tcW w:w="484" w:type="pct"/>
            <w:tcBorders>
              <w:tl2br w:val="nil"/>
              <w:tr2bl w:val="nil"/>
            </w:tcBorders>
            <w:noWrap w:val="0"/>
            <w:vAlign w:val="center"/>
          </w:tcPr>
          <w:p w14:paraId="71C5C9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eastAsia" w:cs="Times New Roman"/>
                <w:caps w:val="0"/>
                <w:snapToGrid/>
                <w:color w:val="auto"/>
                <w:spacing w:val="0"/>
                <w:w w:val="100"/>
                <w:kern w:val="0"/>
                <w:position w:val="0"/>
                <w:sz w:val="21"/>
                <w:szCs w:val="21"/>
                <w:highlight w:val="none"/>
                <w:lang w:val="en-US" w:eastAsia="zh-CN"/>
              </w:rPr>
              <w:t>园区监测井3#</w:t>
            </w:r>
          </w:p>
        </w:tc>
        <w:tc>
          <w:tcPr>
            <w:tcW w:w="936" w:type="pct"/>
            <w:tcBorders>
              <w:tl2br w:val="nil"/>
              <w:tr2bl w:val="nil"/>
            </w:tcBorders>
            <w:noWrap w:val="0"/>
            <w:vAlign w:val="center"/>
          </w:tcPr>
          <w:p w14:paraId="1D18D4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 xml:space="preserve"> </w:t>
            </w:r>
          </w:p>
        </w:tc>
        <w:tc>
          <w:tcPr>
            <w:tcW w:w="952" w:type="pct"/>
            <w:tcBorders>
              <w:tl2br w:val="nil"/>
              <w:tr2bl w:val="nil"/>
            </w:tcBorders>
            <w:noWrap w:val="0"/>
            <w:vAlign w:val="center"/>
          </w:tcPr>
          <w:p w14:paraId="292AE1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西北，3.9km</w:t>
            </w:r>
          </w:p>
        </w:tc>
        <w:tc>
          <w:tcPr>
            <w:tcW w:w="769" w:type="pct"/>
            <w:tcBorders>
              <w:tl2br w:val="nil"/>
              <w:tr2bl w:val="nil"/>
            </w:tcBorders>
            <w:noWrap w:val="0"/>
            <w:vAlign w:val="center"/>
          </w:tcPr>
          <w:p w14:paraId="7657C7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下游</w:t>
            </w:r>
          </w:p>
        </w:tc>
        <w:tc>
          <w:tcPr>
            <w:tcW w:w="529" w:type="pct"/>
            <w:tcBorders>
              <w:tl2br w:val="nil"/>
              <w:tr2bl w:val="nil"/>
            </w:tcBorders>
            <w:noWrap w:val="0"/>
            <w:vAlign w:val="center"/>
          </w:tcPr>
          <w:p w14:paraId="7D4481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30</w:t>
            </w: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m</w:t>
            </w:r>
          </w:p>
        </w:tc>
        <w:tc>
          <w:tcPr>
            <w:tcW w:w="632" w:type="pct"/>
            <w:tcBorders>
              <w:tl2br w:val="nil"/>
              <w:tr2bl w:val="nil"/>
            </w:tcBorders>
            <w:noWrap w:val="0"/>
            <w:vAlign w:val="center"/>
          </w:tcPr>
          <w:p w14:paraId="56418C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6</w:t>
            </w:r>
            <w:r>
              <w:rPr>
                <w:rFonts w:hint="default" w:cs="Times New Roman"/>
                <w:caps w:val="0"/>
                <w:snapToGrid/>
                <w:color w:val="auto"/>
                <w:spacing w:val="0"/>
                <w:w w:val="100"/>
                <w:kern w:val="0"/>
                <w:position w:val="0"/>
                <w:sz w:val="21"/>
                <w:szCs w:val="21"/>
                <w:highlight w:val="none"/>
                <w:lang w:val="en-US" w:eastAsia="zh-CN"/>
              </w:rPr>
              <w:t>m</w:t>
            </w:r>
          </w:p>
        </w:tc>
        <w:tc>
          <w:tcPr>
            <w:tcW w:w="428" w:type="pct"/>
            <w:tcBorders>
              <w:tl2br w:val="nil"/>
              <w:tr2bl w:val="nil"/>
            </w:tcBorders>
            <w:noWrap w:val="0"/>
            <w:vAlign w:val="center"/>
          </w:tcPr>
          <w:p w14:paraId="716E6B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rPr>
              <w:t>潜水</w:t>
            </w:r>
          </w:p>
        </w:tc>
      </w:tr>
    </w:tbl>
    <w:p w14:paraId="50F99CBD">
      <w:pPr>
        <w:keepNext w:val="0"/>
        <w:keepLines w:val="0"/>
        <w:pageBreakBefore w:val="0"/>
        <w:widowControl w:val="0"/>
        <w:kinsoku/>
        <w:wordWrap/>
        <w:overflowPunct/>
        <w:topLinePunct w:val="0"/>
        <w:autoSpaceDE/>
        <w:autoSpaceDN/>
        <w:bidi w:val="0"/>
        <w:adjustRightInd/>
        <w:snapToGrid/>
        <w:spacing w:before="157" w:beforeLines="5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b/>
          <w:bCs/>
          <w:caps w:val="0"/>
          <w:snapToGrid/>
          <w:color w:val="auto"/>
          <w:spacing w:val="0"/>
          <w:w w:val="100"/>
          <w:kern w:val="0"/>
          <w:position w:val="0"/>
          <w:sz w:val="21"/>
          <w:szCs w:val="21"/>
          <w:highlight w:val="none"/>
        </w:rPr>
        <w:t>表</w:t>
      </w:r>
      <w:r>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rPr>
        <w:t>4.3</w:t>
      </w:r>
      <w:r>
        <w:rPr>
          <w:rFonts w:hint="eastAsia" w:cs="Times New Roman"/>
          <w:b/>
          <w:bCs/>
          <w:caps w:val="0"/>
          <w:snapToGrid/>
          <w:color w:val="auto"/>
          <w:spacing w:val="0"/>
          <w:w w:val="100"/>
          <w:kern w:val="0"/>
          <w:position w:val="0"/>
          <w:sz w:val="21"/>
          <w:szCs w:val="21"/>
          <w:highlight w:val="none"/>
          <w:lang w:val="en-US" w:eastAsia="zh-CN"/>
        </w:rPr>
        <w:t>.2-2</w:t>
      </w:r>
      <w:r>
        <w:rPr>
          <w:rFonts w:hint="default" w:ascii="Times New Roman" w:hAnsi="Times New Roman" w:eastAsia="宋体" w:cs="Times New Roman"/>
          <w:b/>
          <w:bCs/>
          <w:caps w:val="0"/>
          <w:snapToGrid/>
          <w:color w:val="auto"/>
          <w:spacing w:val="0"/>
          <w:w w:val="100"/>
          <w:kern w:val="0"/>
          <w:position w:val="0"/>
          <w:sz w:val="21"/>
          <w:szCs w:val="21"/>
          <w:highlight w:val="none"/>
        </w:rPr>
        <w:t xml:space="preserve">  地下水</w:t>
      </w:r>
      <w:r>
        <w:rPr>
          <w:rFonts w:hint="default" w:ascii="Times New Roman" w:hAnsi="Times New Roman" w:eastAsia="宋体" w:cs="Times New Roman"/>
          <w:b/>
          <w:bCs/>
          <w:caps w:val="0"/>
          <w:snapToGrid/>
          <w:color w:val="auto"/>
          <w:spacing w:val="0"/>
          <w:w w:val="100"/>
          <w:kern w:val="0"/>
          <w:position w:val="0"/>
          <w:sz w:val="21"/>
          <w:szCs w:val="21"/>
          <w:highlight w:val="none"/>
          <w:lang w:eastAsia="zh-CN"/>
        </w:rPr>
        <w:t>水</w:t>
      </w:r>
      <w:r>
        <w:rPr>
          <w:rFonts w:hint="eastAsia" w:ascii="Times New Roman" w:hAnsi="Times New Roman" w:eastAsia="宋体" w:cs="Times New Roman"/>
          <w:b/>
          <w:bCs/>
          <w:caps w:val="0"/>
          <w:snapToGrid/>
          <w:color w:val="auto"/>
          <w:spacing w:val="0"/>
          <w:w w:val="100"/>
          <w:kern w:val="0"/>
          <w:position w:val="0"/>
          <w:sz w:val="21"/>
          <w:szCs w:val="21"/>
          <w:highlight w:val="none"/>
          <w:lang w:val="en-US" w:eastAsia="zh-CN"/>
        </w:rPr>
        <w:t>位</w:t>
      </w:r>
      <w:r>
        <w:rPr>
          <w:rFonts w:hint="default" w:ascii="Times New Roman" w:hAnsi="Times New Roman" w:eastAsia="宋体" w:cs="Times New Roman"/>
          <w:b/>
          <w:bCs/>
          <w:caps w:val="0"/>
          <w:snapToGrid/>
          <w:color w:val="auto"/>
          <w:spacing w:val="0"/>
          <w:w w:val="100"/>
          <w:kern w:val="0"/>
          <w:position w:val="0"/>
          <w:sz w:val="21"/>
          <w:szCs w:val="21"/>
          <w:highlight w:val="none"/>
        </w:rPr>
        <w:t>监测点位一览表</w:t>
      </w:r>
    </w:p>
    <w:tbl>
      <w:tblPr>
        <w:tblStyle w:val="25"/>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1072"/>
        <w:gridCol w:w="2752"/>
        <w:gridCol w:w="1072"/>
        <w:gridCol w:w="1916"/>
        <w:gridCol w:w="1917"/>
      </w:tblGrid>
      <w:tr w14:paraId="45160E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614" w:type="pct"/>
            <w:tcBorders>
              <w:tl2br w:val="nil"/>
              <w:tr2bl w:val="nil"/>
            </w:tcBorders>
            <w:noWrap w:val="0"/>
            <w:vAlign w:val="center"/>
          </w:tcPr>
          <w:p w14:paraId="2F3C38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编号</w:t>
            </w:r>
          </w:p>
        </w:tc>
        <w:tc>
          <w:tcPr>
            <w:tcW w:w="1576" w:type="pct"/>
            <w:tcBorders>
              <w:tl2br w:val="nil"/>
              <w:tr2bl w:val="nil"/>
            </w:tcBorders>
            <w:noWrap w:val="0"/>
            <w:vAlign w:val="center"/>
          </w:tcPr>
          <w:p w14:paraId="091393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监测点坐标</w:t>
            </w:r>
          </w:p>
        </w:tc>
        <w:tc>
          <w:tcPr>
            <w:tcW w:w="614" w:type="pct"/>
            <w:tcBorders>
              <w:tl2br w:val="nil"/>
              <w:tr2bl w:val="nil"/>
            </w:tcBorders>
            <w:noWrap w:val="0"/>
            <w:vAlign w:val="center"/>
          </w:tcPr>
          <w:p w14:paraId="262A2F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lang w:eastAsia="zh-CN"/>
              </w:rPr>
            </w:pPr>
            <w:r>
              <w:rPr>
                <w:rFonts w:hint="default" w:ascii="Times New Roman" w:hAnsi="Times New Roman" w:eastAsia="宋体" w:cs="Times New Roman"/>
                <w:b/>
                <w:bCs/>
                <w:caps w:val="0"/>
                <w:snapToGrid/>
                <w:color w:val="auto"/>
                <w:spacing w:val="0"/>
                <w:w w:val="100"/>
                <w:kern w:val="0"/>
                <w:position w:val="0"/>
                <w:sz w:val="21"/>
                <w:szCs w:val="21"/>
                <w:highlight w:val="none"/>
                <w:lang w:eastAsia="zh-CN"/>
              </w:rPr>
              <w:t>井深</w:t>
            </w:r>
          </w:p>
        </w:tc>
        <w:tc>
          <w:tcPr>
            <w:tcW w:w="1097" w:type="pct"/>
            <w:tcBorders>
              <w:tl2br w:val="nil"/>
              <w:tr2bl w:val="nil"/>
            </w:tcBorders>
            <w:noWrap w:val="0"/>
            <w:vAlign w:val="center"/>
          </w:tcPr>
          <w:p w14:paraId="1D10FD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b/>
                <w:bCs/>
                <w:caps w:val="0"/>
                <w:snapToGrid/>
                <w:color w:val="auto"/>
                <w:spacing w:val="0"/>
                <w:w w:val="100"/>
                <w:kern w:val="0"/>
                <w:position w:val="0"/>
                <w:sz w:val="21"/>
                <w:szCs w:val="21"/>
                <w:highlight w:val="none"/>
                <w:lang w:eastAsia="zh-CN"/>
              </w:rPr>
              <w:t>水位埋深</w:t>
            </w:r>
          </w:p>
        </w:tc>
        <w:tc>
          <w:tcPr>
            <w:tcW w:w="1097" w:type="pct"/>
            <w:tcBorders>
              <w:tl2br w:val="nil"/>
              <w:tr2bl w:val="nil"/>
            </w:tcBorders>
            <w:noWrap w:val="0"/>
            <w:vAlign w:val="center"/>
          </w:tcPr>
          <w:p w14:paraId="5EDCFF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lang w:eastAsia="zh-CN"/>
              </w:rPr>
            </w:pPr>
            <w:r>
              <w:rPr>
                <w:rFonts w:hint="default" w:ascii="Times New Roman" w:hAnsi="Times New Roman" w:eastAsia="宋体" w:cs="Times New Roman"/>
                <w:b/>
                <w:bCs/>
                <w:caps w:val="0"/>
                <w:snapToGrid/>
                <w:color w:val="auto"/>
                <w:spacing w:val="0"/>
                <w:w w:val="100"/>
                <w:kern w:val="0"/>
                <w:position w:val="0"/>
                <w:sz w:val="21"/>
                <w:szCs w:val="21"/>
                <w:highlight w:val="none"/>
                <w:lang w:eastAsia="zh-CN"/>
              </w:rPr>
              <w:t>监测层位</w:t>
            </w:r>
          </w:p>
        </w:tc>
      </w:tr>
      <w:tr w14:paraId="6523EF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614" w:type="pct"/>
            <w:tcBorders>
              <w:tl2br w:val="nil"/>
              <w:tr2bl w:val="nil"/>
            </w:tcBorders>
            <w:noWrap w:val="0"/>
            <w:vAlign w:val="center"/>
          </w:tcPr>
          <w:p w14:paraId="684829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D1</w:t>
            </w:r>
          </w:p>
        </w:tc>
        <w:tc>
          <w:tcPr>
            <w:tcW w:w="1576" w:type="pct"/>
            <w:tcBorders>
              <w:tl2br w:val="nil"/>
              <w:tr2bl w:val="nil"/>
            </w:tcBorders>
            <w:noWrap w:val="0"/>
            <w:vAlign w:val="center"/>
          </w:tcPr>
          <w:p w14:paraId="607FF3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 xml:space="preserve"> </w:t>
            </w:r>
          </w:p>
        </w:tc>
        <w:tc>
          <w:tcPr>
            <w:tcW w:w="614" w:type="pct"/>
            <w:tcBorders>
              <w:tl2br w:val="nil"/>
              <w:tr2bl w:val="nil"/>
            </w:tcBorders>
            <w:noWrap w:val="0"/>
            <w:vAlign w:val="center"/>
          </w:tcPr>
          <w:p w14:paraId="50D0FE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30</w:t>
            </w: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m</w:t>
            </w:r>
          </w:p>
        </w:tc>
        <w:tc>
          <w:tcPr>
            <w:tcW w:w="1097" w:type="pct"/>
            <w:tcBorders>
              <w:tl2br w:val="nil"/>
              <w:tr2bl w:val="nil"/>
            </w:tcBorders>
            <w:noWrap w:val="0"/>
            <w:vAlign w:val="center"/>
          </w:tcPr>
          <w:p w14:paraId="3471D1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7.5</w:t>
            </w: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m</w:t>
            </w:r>
          </w:p>
        </w:tc>
        <w:tc>
          <w:tcPr>
            <w:tcW w:w="1097" w:type="pct"/>
            <w:tcBorders>
              <w:tl2br w:val="nil"/>
              <w:tr2bl w:val="nil"/>
            </w:tcBorders>
            <w:noWrap w:val="0"/>
            <w:vAlign w:val="center"/>
          </w:tcPr>
          <w:p w14:paraId="220370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潜水</w:t>
            </w:r>
          </w:p>
        </w:tc>
      </w:tr>
      <w:tr w14:paraId="51F25F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614" w:type="pct"/>
            <w:tcBorders>
              <w:tl2br w:val="nil"/>
              <w:tr2bl w:val="nil"/>
            </w:tcBorders>
            <w:noWrap w:val="0"/>
            <w:vAlign w:val="center"/>
          </w:tcPr>
          <w:p w14:paraId="4F31AC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D2</w:t>
            </w:r>
          </w:p>
        </w:tc>
        <w:tc>
          <w:tcPr>
            <w:tcW w:w="1576" w:type="pct"/>
            <w:tcBorders>
              <w:tl2br w:val="nil"/>
              <w:tr2bl w:val="nil"/>
            </w:tcBorders>
            <w:noWrap w:val="0"/>
            <w:vAlign w:val="center"/>
          </w:tcPr>
          <w:p w14:paraId="5B729B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 xml:space="preserve"> </w:t>
            </w:r>
          </w:p>
        </w:tc>
        <w:tc>
          <w:tcPr>
            <w:tcW w:w="614" w:type="pct"/>
            <w:tcBorders>
              <w:tl2br w:val="nil"/>
              <w:tr2bl w:val="nil"/>
            </w:tcBorders>
            <w:noWrap w:val="0"/>
            <w:vAlign w:val="center"/>
          </w:tcPr>
          <w:p w14:paraId="291993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2</w:t>
            </w: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5m</w:t>
            </w:r>
          </w:p>
        </w:tc>
        <w:tc>
          <w:tcPr>
            <w:tcW w:w="1097" w:type="pct"/>
            <w:tcBorders>
              <w:tl2br w:val="nil"/>
              <w:tr2bl w:val="nil"/>
            </w:tcBorders>
            <w:noWrap w:val="0"/>
            <w:vAlign w:val="center"/>
          </w:tcPr>
          <w:p w14:paraId="7B80B4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9</w:t>
            </w:r>
            <w:r>
              <w:rPr>
                <w:rFonts w:hint="default" w:cs="Times New Roman"/>
                <w:caps w:val="0"/>
                <w:snapToGrid/>
                <w:color w:val="auto"/>
                <w:spacing w:val="0"/>
                <w:w w:val="100"/>
                <w:kern w:val="0"/>
                <w:position w:val="0"/>
                <w:sz w:val="21"/>
                <w:szCs w:val="21"/>
                <w:highlight w:val="none"/>
                <w:lang w:val="en-US" w:eastAsia="zh-CN"/>
              </w:rPr>
              <w:t>m</w:t>
            </w:r>
          </w:p>
        </w:tc>
        <w:tc>
          <w:tcPr>
            <w:tcW w:w="1097" w:type="pct"/>
            <w:tcBorders>
              <w:tl2br w:val="nil"/>
              <w:tr2bl w:val="nil"/>
            </w:tcBorders>
            <w:noWrap w:val="0"/>
            <w:vAlign w:val="center"/>
          </w:tcPr>
          <w:p w14:paraId="3C55CB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潜水</w:t>
            </w:r>
          </w:p>
        </w:tc>
      </w:tr>
      <w:tr w14:paraId="0E392A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614" w:type="pct"/>
            <w:tcBorders>
              <w:tl2br w:val="nil"/>
              <w:tr2bl w:val="nil"/>
            </w:tcBorders>
            <w:noWrap w:val="0"/>
            <w:vAlign w:val="center"/>
          </w:tcPr>
          <w:p w14:paraId="53E6E8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D3</w:t>
            </w:r>
          </w:p>
        </w:tc>
        <w:tc>
          <w:tcPr>
            <w:tcW w:w="1576" w:type="pct"/>
            <w:tcBorders>
              <w:tl2br w:val="nil"/>
              <w:tr2bl w:val="nil"/>
            </w:tcBorders>
            <w:noWrap w:val="0"/>
            <w:vAlign w:val="center"/>
          </w:tcPr>
          <w:p w14:paraId="111C36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 xml:space="preserve"> </w:t>
            </w:r>
          </w:p>
        </w:tc>
        <w:tc>
          <w:tcPr>
            <w:tcW w:w="614" w:type="pct"/>
            <w:tcBorders>
              <w:tl2br w:val="nil"/>
              <w:tr2bl w:val="nil"/>
            </w:tcBorders>
            <w:noWrap w:val="0"/>
            <w:vAlign w:val="center"/>
          </w:tcPr>
          <w:p w14:paraId="426CA0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30</w:t>
            </w: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m</w:t>
            </w:r>
          </w:p>
        </w:tc>
        <w:tc>
          <w:tcPr>
            <w:tcW w:w="1097" w:type="pct"/>
            <w:tcBorders>
              <w:tl2br w:val="nil"/>
              <w:tr2bl w:val="nil"/>
            </w:tcBorders>
            <w:noWrap w:val="0"/>
            <w:vAlign w:val="center"/>
          </w:tcPr>
          <w:p w14:paraId="12CB84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6</w:t>
            </w:r>
            <w:r>
              <w:rPr>
                <w:rFonts w:hint="default" w:cs="Times New Roman"/>
                <w:caps w:val="0"/>
                <w:snapToGrid/>
                <w:color w:val="auto"/>
                <w:spacing w:val="0"/>
                <w:w w:val="100"/>
                <w:kern w:val="0"/>
                <w:position w:val="0"/>
                <w:sz w:val="21"/>
                <w:szCs w:val="21"/>
                <w:highlight w:val="none"/>
                <w:lang w:val="en-US" w:eastAsia="zh-CN"/>
              </w:rPr>
              <w:t>m</w:t>
            </w:r>
          </w:p>
        </w:tc>
        <w:tc>
          <w:tcPr>
            <w:tcW w:w="1097" w:type="pct"/>
            <w:tcBorders>
              <w:tl2br w:val="nil"/>
              <w:tr2bl w:val="nil"/>
            </w:tcBorders>
            <w:noWrap w:val="0"/>
            <w:vAlign w:val="center"/>
          </w:tcPr>
          <w:p w14:paraId="312BE5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潜水</w:t>
            </w:r>
          </w:p>
        </w:tc>
      </w:tr>
      <w:tr w14:paraId="703B82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614" w:type="pct"/>
            <w:tcBorders>
              <w:tl2br w:val="nil"/>
              <w:tr2bl w:val="nil"/>
            </w:tcBorders>
            <w:noWrap w:val="0"/>
            <w:vAlign w:val="center"/>
          </w:tcPr>
          <w:p w14:paraId="6955B9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D4</w:t>
            </w:r>
          </w:p>
        </w:tc>
        <w:tc>
          <w:tcPr>
            <w:tcW w:w="1576" w:type="pct"/>
            <w:tcBorders>
              <w:tl2br w:val="nil"/>
              <w:tr2bl w:val="nil"/>
            </w:tcBorders>
            <w:noWrap w:val="0"/>
            <w:vAlign w:val="center"/>
          </w:tcPr>
          <w:p w14:paraId="297346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 xml:space="preserve"> </w:t>
            </w:r>
          </w:p>
        </w:tc>
        <w:tc>
          <w:tcPr>
            <w:tcW w:w="614" w:type="pct"/>
            <w:tcBorders>
              <w:tl2br w:val="nil"/>
              <w:tr2bl w:val="nil"/>
            </w:tcBorders>
            <w:noWrap w:val="0"/>
            <w:vAlign w:val="center"/>
          </w:tcPr>
          <w:p w14:paraId="7DEC79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27m</w:t>
            </w:r>
          </w:p>
        </w:tc>
        <w:tc>
          <w:tcPr>
            <w:tcW w:w="1097" w:type="pct"/>
            <w:tcBorders>
              <w:tl2br w:val="nil"/>
              <w:tr2bl w:val="nil"/>
            </w:tcBorders>
            <w:noWrap w:val="0"/>
            <w:vAlign w:val="center"/>
          </w:tcPr>
          <w:p w14:paraId="31D346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8m</w:t>
            </w:r>
          </w:p>
        </w:tc>
        <w:tc>
          <w:tcPr>
            <w:tcW w:w="1097" w:type="pct"/>
            <w:tcBorders>
              <w:tl2br w:val="nil"/>
              <w:tr2bl w:val="nil"/>
            </w:tcBorders>
            <w:noWrap w:val="0"/>
            <w:vAlign w:val="center"/>
          </w:tcPr>
          <w:p w14:paraId="2A3BC6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潜水</w:t>
            </w:r>
          </w:p>
        </w:tc>
      </w:tr>
      <w:tr w14:paraId="5690AE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614" w:type="pct"/>
            <w:tcBorders>
              <w:tl2br w:val="nil"/>
              <w:tr2bl w:val="nil"/>
            </w:tcBorders>
            <w:noWrap w:val="0"/>
            <w:vAlign w:val="center"/>
          </w:tcPr>
          <w:p w14:paraId="00E596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D5</w:t>
            </w:r>
          </w:p>
        </w:tc>
        <w:tc>
          <w:tcPr>
            <w:tcW w:w="1576" w:type="pct"/>
            <w:tcBorders>
              <w:tl2br w:val="nil"/>
              <w:tr2bl w:val="nil"/>
            </w:tcBorders>
            <w:noWrap w:val="0"/>
            <w:vAlign w:val="center"/>
          </w:tcPr>
          <w:p w14:paraId="3F9D51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 xml:space="preserve"> </w:t>
            </w:r>
          </w:p>
        </w:tc>
        <w:tc>
          <w:tcPr>
            <w:tcW w:w="614" w:type="pct"/>
            <w:tcBorders>
              <w:tl2br w:val="nil"/>
              <w:tr2bl w:val="nil"/>
            </w:tcBorders>
            <w:noWrap w:val="0"/>
            <w:vAlign w:val="center"/>
          </w:tcPr>
          <w:p w14:paraId="788A2A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30m</w:t>
            </w:r>
          </w:p>
        </w:tc>
        <w:tc>
          <w:tcPr>
            <w:tcW w:w="1097" w:type="pct"/>
            <w:tcBorders>
              <w:tl2br w:val="nil"/>
              <w:tr2bl w:val="nil"/>
            </w:tcBorders>
            <w:noWrap w:val="0"/>
            <w:vAlign w:val="center"/>
          </w:tcPr>
          <w:p w14:paraId="584CDB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9m</w:t>
            </w:r>
          </w:p>
        </w:tc>
        <w:tc>
          <w:tcPr>
            <w:tcW w:w="1097" w:type="pct"/>
            <w:tcBorders>
              <w:tl2br w:val="nil"/>
              <w:tr2bl w:val="nil"/>
            </w:tcBorders>
            <w:noWrap w:val="0"/>
            <w:vAlign w:val="center"/>
          </w:tcPr>
          <w:p w14:paraId="07E35A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潜水</w:t>
            </w:r>
          </w:p>
        </w:tc>
      </w:tr>
      <w:tr w14:paraId="4C5061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614" w:type="pct"/>
            <w:tcBorders>
              <w:tl2br w:val="nil"/>
              <w:tr2bl w:val="nil"/>
            </w:tcBorders>
            <w:noWrap w:val="0"/>
            <w:vAlign w:val="center"/>
          </w:tcPr>
          <w:p w14:paraId="01BE07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D6</w:t>
            </w:r>
          </w:p>
        </w:tc>
        <w:tc>
          <w:tcPr>
            <w:tcW w:w="1576" w:type="pct"/>
            <w:tcBorders>
              <w:tl2br w:val="nil"/>
              <w:tr2bl w:val="nil"/>
            </w:tcBorders>
            <w:noWrap w:val="0"/>
            <w:vAlign w:val="center"/>
          </w:tcPr>
          <w:p w14:paraId="23C009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 xml:space="preserve"> </w:t>
            </w:r>
          </w:p>
        </w:tc>
        <w:tc>
          <w:tcPr>
            <w:tcW w:w="614" w:type="pct"/>
            <w:tcBorders>
              <w:tl2br w:val="nil"/>
              <w:tr2bl w:val="nil"/>
            </w:tcBorders>
            <w:noWrap w:val="0"/>
            <w:vAlign w:val="center"/>
          </w:tcPr>
          <w:p w14:paraId="0527F7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ascii="Times New Roman" w:hAnsi="Times New Roman" w:eastAsia="宋体" w:cs="Times New Roman"/>
                <w:caps w:val="0"/>
                <w:snapToGrid/>
                <w:color w:val="auto"/>
                <w:spacing w:val="0"/>
                <w:w w:val="100"/>
                <w:kern w:val="0"/>
                <w:position w:val="0"/>
                <w:sz w:val="21"/>
                <w:szCs w:val="21"/>
                <w:highlight w:val="none"/>
                <w:lang w:val="en-US" w:eastAsia="zh-CN"/>
              </w:rPr>
              <w:t>25m</w:t>
            </w:r>
          </w:p>
        </w:tc>
        <w:tc>
          <w:tcPr>
            <w:tcW w:w="1097" w:type="pct"/>
            <w:tcBorders>
              <w:tl2br w:val="nil"/>
              <w:tr2bl w:val="nil"/>
            </w:tcBorders>
            <w:noWrap w:val="0"/>
            <w:vAlign w:val="center"/>
          </w:tcPr>
          <w:p w14:paraId="3C3D7E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14m</w:t>
            </w:r>
          </w:p>
        </w:tc>
        <w:tc>
          <w:tcPr>
            <w:tcW w:w="1097" w:type="pct"/>
            <w:tcBorders>
              <w:tl2br w:val="nil"/>
              <w:tr2bl w:val="nil"/>
            </w:tcBorders>
            <w:noWrap w:val="0"/>
            <w:vAlign w:val="center"/>
          </w:tcPr>
          <w:p w14:paraId="443A21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潜水</w:t>
            </w:r>
          </w:p>
        </w:tc>
      </w:tr>
    </w:tbl>
    <w:p w14:paraId="67E145D6">
      <w:pPr>
        <w:keepNext w:val="0"/>
        <w:keepLines w:val="0"/>
        <w:pageBreakBefore w:val="0"/>
        <w:widowControl w:val="0"/>
        <w:tabs>
          <w:tab w:val="left" w:pos="1576"/>
        </w:tabs>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（2）监测项目及分析方法</w:t>
      </w:r>
    </w:p>
    <w:p w14:paraId="6715B95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bCs/>
          <w:caps w:val="0"/>
          <w:snapToGrid/>
          <w:color w:val="auto"/>
          <w:spacing w:val="0"/>
          <w:w w:val="100"/>
          <w:kern w:val="0"/>
          <w:position w:val="0"/>
          <w:szCs w:val="21"/>
          <w:highlight w:val="none"/>
          <w:lang w:eastAsia="zh-CN"/>
        </w:rPr>
      </w:pPr>
      <w:r>
        <w:rPr>
          <w:rFonts w:hint="default" w:ascii="Times New Roman" w:hAnsi="Times New Roman" w:eastAsia="宋体" w:cs="Times New Roman"/>
          <w:bCs/>
          <w:caps w:val="0"/>
          <w:snapToGrid/>
          <w:color w:val="auto"/>
          <w:spacing w:val="0"/>
          <w:w w:val="100"/>
          <w:kern w:val="0"/>
          <w:position w:val="0"/>
          <w:szCs w:val="21"/>
          <w:highlight w:val="none"/>
          <w:lang w:eastAsia="zh-CN"/>
        </w:rPr>
        <w:t>监测项目：pH、总硬度、溶解性总固体、硫酸盐、氯化物、铁、锰、铜、锌、铝、挥发酚、阴离子表面活性剂、耗氧量、氨氮、硫化物、总大肠菌群、硝酸盐氮、亚硝酸盐氮、氰化物、氟化物、碘化物、汞、砷、硒、镉、六价铬、铅、镍、钴、银、</w:t>
      </w:r>
      <w:r>
        <w:rPr>
          <w:rFonts w:hint="default" w:ascii="Times New Roman" w:hAnsi="Times New Roman" w:eastAsia="宋体" w:cs="Times New Roman"/>
          <w:bCs/>
          <w:caps w:val="0"/>
          <w:snapToGrid/>
          <w:color w:val="auto"/>
          <w:spacing w:val="0"/>
          <w:w w:val="100"/>
          <w:kern w:val="0"/>
          <w:position w:val="0"/>
          <w:szCs w:val="21"/>
          <w:highlight w:val="none"/>
          <w:lang w:val="zh-CN" w:eastAsia="zh-CN"/>
        </w:rPr>
        <w:t>K</w:t>
      </w:r>
      <w:r>
        <w:rPr>
          <w:rFonts w:hint="default" w:ascii="Times New Roman" w:hAnsi="Times New Roman" w:eastAsia="宋体" w:cs="Times New Roman"/>
          <w:bCs/>
          <w:caps w:val="0"/>
          <w:snapToGrid/>
          <w:color w:val="auto"/>
          <w:spacing w:val="0"/>
          <w:w w:val="100"/>
          <w:kern w:val="0"/>
          <w:position w:val="0"/>
          <w:szCs w:val="21"/>
          <w:highlight w:val="none"/>
          <w:vertAlign w:val="superscript"/>
          <w:lang w:val="zh-CN" w:eastAsia="zh-CN"/>
        </w:rPr>
        <w:t>+</w:t>
      </w:r>
      <w:r>
        <w:rPr>
          <w:rFonts w:hint="default" w:ascii="Times New Roman" w:hAnsi="Times New Roman" w:eastAsia="宋体" w:cs="Times New Roman"/>
          <w:bCs/>
          <w:caps w:val="0"/>
          <w:snapToGrid/>
          <w:color w:val="auto"/>
          <w:spacing w:val="0"/>
          <w:w w:val="100"/>
          <w:kern w:val="0"/>
          <w:position w:val="0"/>
          <w:szCs w:val="21"/>
          <w:highlight w:val="none"/>
          <w:lang w:val="zh-CN" w:eastAsia="zh-CN"/>
        </w:rPr>
        <w:t>、Na</w:t>
      </w:r>
      <w:r>
        <w:rPr>
          <w:rFonts w:hint="default" w:ascii="Times New Roman" w:hAnsi="Times New Roman" w:eastAsia="宋体" w:cs="Times New Roman"/>
          <w:bCs/>
          <w:caps w:val="0"/>
          <w:snapToGrid/>
          <w:color w:val="auto"/>
          <w:spacing w:val="0"/>
          <w:w w:val="100"/>
          <w:kern w:val="0"/>
          <w:position w:val="0"/>
          <w:szCs w:val="21"/>
          <w:highlight w:val="none"/>
          <w:vertAlign w:val="superscript"/>
          <w:lang w:val="zh-CN" w:eastAsia="zh-CN"/>
        </w:rPr>
        <w:t>+</w:t>
      </w:r>
      <w:r>
        <w:rPr>
          <w:rFonts w:hint="default" w:ascii="Times New Roman" w:hAnsi="Times New Roman" w:eastAsia="宋体" w:cs="Times New Roman"/>
          <w:bCs/>
          <w:caps w:val="0"/>
          <w:snapToGrid/>
          <w:color w:val="auto"/>
          <w:spacing w:val="0"/>
          <w:w w:val="100"/>
          <w:kern w:val="0"/>
          <w:position w:val="0"/>
          <w:szCs w:val="21"/>
          <w:highlight w:val="none"/>
          <w:lang w:val="zh-CN" w:eastAsia="zh-CN"/>
        </w:rPr>
        <w:t>、Ca</w:t>
      </w:r>
      <w:r>
        <w:rPr>
          <w:rFonts w:hint="default" w:ascii="Times New Roman" w:hAnsi="Times New Roman" w:eastAsia="宋体" w:cs="Times New Roman"/>
          <w:bCs/>
          <w:caps w:val="0"/>
          <w:snapToGrid/>
          <w:color w:val="auto"/>
          <w:spacing w:val="0"/>
          <w:w w:val="100"/>
          <w:kern w:val="0"/>
          <w:position w:val="0"/>
          <w:szCs w:val="21"/>
          <w:highlight w:val="none"/>
          <w:vertAlign w:val="superscript"/>
          <w:lang w:val="zh-CN" w:eastAsia="zh-CN"/>
        </w:rPr>
        <w:t>2+</w:t>
      </w:r>
      <w:r>
        <w:rPr>
          <w:rFonts w:hint="default" w:ascii="Times New Roman" w:hAnsi="Times New Roman" w:eastAsia="宋体" w:cs="Times New Roman"/>
          <w:bCs/>
          <w:caps w:val="0"/>
          <w:snapToGrid/>
          <w:color w:val="auto"/>
          <w:spacing w:val="0"/>
          <w:w w:val="100"/>
          <w:kern w:val="0"/>
          <w:position w:val="0"/>
          <w:szCs w:val="21"/>
          <w:highlight w:val="none"/>
          <w:lang w:val="zh-CN" w:eastAsia="zh-CN"/>
        </w:rPr>
        <w:t>、Mg</w:t>
      </w:r>
      <w:r>
        <w:rPr>
          <w:rFonts w:hint="default" w:ascii="Times New Roman" w:hAnsi="Times New Roman" w:eastAsia="宋体" w:cs="Times New Roman"/>
          <w:bCs/>
          <w:caps w:val="0"/>
          <w:snapToGrid/>
          <w:color w:val="auto"/>
          <w:spacing w:val="0"/>
          <w:w w:val="100"/>
          <w:kern w:val="0"/>
          <w:position w:val="0"/>
          <w:szCs w:val="21"/>
          <w:highlight w:val="none"/>
          <w:vertAlign w:val="superscript"/>
          <w:lang w:val="zh-CN" w:eastAsia="zh-CN"/>
        </w:rPr>
        <w:t>2+</w:t>
      </w:r>
      <w:r>
        <w:rPr>
          <w:rFonts w:hint="default" w:ascii="Times New Roman" w:hAnsi="Times New Roman" w:eastAsia="宋体" w:cs="Times New Roman"/>
          <w:bCs/>
          <w:caps w:val="0"/>
          <w:snapToGrid/>
          <w:color w:val="auto"/>
          <w:spacing w:val="0"/>
          <w:w w:val="100"/>
          <w:kern w:val="0"/>
          <w:position w:val="0"/>
          <w:szCs w:val="21"/>
          <w:highlight w:val="none"/>
          <w:lang w:val="zh-CN" w:eastAsia="zh-CN"/>
        </w:rPr>
        <w:t>、CO</w:t>
      </w:r>
      <w:r>
        <w:rPr>
          <w:rFonts w:hint="default" w:ascii="Times New Roman" w:hAnsi="Times New Roman" w:eastAsia="宋体" w:cs="Times New Roman"/>
          <w:bCs/>
          <w:caps w:val="0"/>
          <w:snapToGrid/>
          <w:color w:val="auto"/>
          <w:spacing w:val="0"/>
          <w:w w:val="100"/>
          <w:kern w:val="0"/>
          <w:position w:val="0"/>
          <w:szCs w:val="21"/>
          <w:highlight w:val="none"/>
          <w:vertAlign w:val="subscript"/>
          <w:lang w:val="zh-CN" w:eastAsia="zh-CN"/>
        </w:rPr>
        <w:t>3</w:t>
      </w:r>
      <w:r>
        <w:rPr>
          <w:rFonts w:hint="default" w:ascii="Times New Roman" w:hAnsi="Times New Roman" w:eastAsia="宋体" w:cs="Times New Roman"/>
          <w:bCs/>
          <w:caps w:val="0"/>
          <w:snapToGrid/>
          <w:color w:val="auto"/>
          <w:spacing w:val="0"/>
          <w:w w:val="100"/>
          <w:kern w:val="0"/>
          <w:position w:val="0"/>
          <w:szCs w:val="21"/>
          <w:highlight w:val="none"/>
          <w:vertAlign w:val="superscript"/>
          <w:lang w:val="zh-CN" w:eastAsia="zh-CN"/>
        </w:rPr>
        <w:t>2-</w:t>
      </w:r>
      <w:r>
        <w:rPr>
          <w:rFonts w:hint="default" w:ascii="Times New Roman" w:hAnsi="Times New Roman" w:eastAsia="宋体" w:cs="Times New Roman"/>
          <w:bCs/>
          <w:caps w:val="0"/>
          <w:snapToGrid/>
          <w:color w:val="auto"/>
          <w:spacing w:val="0"/>
          <w:w w:val="100"/>
          <w:kern w:val="0"/>
          <w:position w:val="0"/>
          <w:szCs w:val="21"/>
          <w:highlight w:val="none"/>
          <w:lang w:val="zh-CN" w:eastAsia="zh-CN"/>
        </w:rPr>
        <w:t>、SO</w:t>
      </w:r>
      <w:r>
        <w:rPr>
          <w:rFonts w:hint="default" w:ascii="Times New Roman" w:hAnsi="Times New Roman" w:eastAsia="宋体" w:cs="Times New Roman"/>
          <w:bCs/>
          <w:caps w:val="0"/>
          <w:snapToGrid/>
          <w:color w:val="auto"/>
          <w:spacing w:val="0"/>
          <w:w w:val="100"/>
          <w:kern w:val="0"/>
          <w:position w:val="0"/>
          <w:szCs w:val="21"/>
          <w:highlight w:val="none"/>
          <w:vertAlign w:val="subscript"/>
          <w:lang w:val="zh-CN" w:eastAsia="zh-CN"/>
        </w:rPr>
        <w:t>4</w:t>
      </w:r>
      <w:r>
        <w:rPr>
          <w:rFonts w:hint="default" w:ascii="Times New Roman" w:hAnsi="Times New Roman" w:eastAsia="宋体" w:cs="Times New Roman"/>
          <w:bCs/>
          <w:caps w:val="0"/>
          <w:snapToGrid/>
          <w:color w:val="auto"/>
          <w:spacing w:val="0"/>
          <w:w w:val="100"/>
          <w:kern w:val="0"/>
          <w:position w:val="0"/>
          <w:szCs w:val="21"/>
          <w:highlight w:val="none"/>
          <w:vertAlign w:val="superscript"/>
          <w:lang w:val="zh-CN" w:eastAsia="zh-CN"/>
        </w:rPr>
        <w:t>2-</w:t>
      </w:r>
      <w:r>
        <w:rPr>
          <w:rFonts w:hint="default" w:ascii="Times New Roman" w:hAnsi="Times New Roman" w:eastAsia="宋体" w:cs="Times New Roman"/>
          <w:bCs/>
          <w:caps w:val="0"/>
          <w:snapToGrid/>
          <w:color w:val="auto"/>
          <w:spacing w:val="0"/>
          <w:w w:val="100"/>
          <w:kern w:val="0"/>
          <w:position w:val="0"/>
          <w:szCs w:val="21"/>
          <w:highlight w:val="none"/>
          <w:lang w:val="zh-CN" w:eastAsia="zh-CN"/>
        </w:rPr>
        <w:t>、Cl</w:t>
      </w:r>
      <w:r>
        <w:rPr>
          <w:rFonts w:hint="default" w:ascii="Times New Roman" w:hAnsi="Times New Roman" w:eastAsia="宋体" w:cs="Times New Roman"/>
          <w:bCs/>
          <w:caps w:val="0"/>
          <w:snapToGrid/>
          <w:color w:val="auto"/>
          <w:spacing w:val="0"/>
          <w:w w:val="100"/>
          <w:kern w:val="0"/>
          <w:position w:val="0"/>
          <w:szCs w:val="21"/>
          <w:highlight w:val="none"/>
          <w:vertAlign w:val="superscript"/>
          <w:lang w:val="zh-CN" w:eastAsia="zh-CN"/>
        </w:rPr>
        <w:t>-</w:t>
      </w:r>
      <w:r>
        <w:rPr>
          <w:rFonts w:hint="default" w:ascii="Times New Roman" w:hAnsi="Times New Roman" w:eastAsia="宋体" w:cs="Times New Roman"/>
          <w:bCs/>
          <w:caps w:val="0"/>
          <w:snapToGrid/>
          <w:color w:val="auto"/>
          <w:spacing w:val="0"/>
          <w:w w:val="100"/>
          <w:kern w:val="0"/>
          <w:position w:val="0"/>
          <w:szCs w:val="21"/>
          <w:highlight w:val="none"/>
          <w:lang w:val="zh-CN" w:eastAsia="zh-CN"/>
        </w:rPr>
        <w:t>、HCO</w:t>
      </w:r>
      <w:r>
        <w:rPr>
          <w:rFonts w:hint="default" w:ascii="Times New Roman" w:hAnsi="Times New Roman" w:eastAsia="宋体" w:cs="Times New Roman"/>
          <w:bCs/>
          <w:caps w:val="0"/>
          <w:snapToGrid/>
          <w:color w:val="auto"/>
          <w:spacing w:val="0"/>
          <w:w w:val="100"/>
          <w:kern w:val="0"/>
          <w:position w:val="0"/>
          <w:szCs w:val="21"/>
          <w:highlight w:val="none"/>
          <w:vertAlign w:val="subscript"/>
          <w:lang w:val="zh-CN" w:eastAsia="zh-CN"/>
        </w:rPr>
        <w:t>3</w:t>
      </w:r>
      <w:r>
        <w:rPr>
          <w:rFonts w:hint="default" w:ascii="Times New Roman" w:hAnsi="Times New Roman" w:eastAsia="宋体" w:cs="Times New Roman"/>
          <w:bCs/>
          <w:caps w:val="0"/>
          <w:snapToGrid/>
          <w:color w:val="auto"/>
          <w:spacing w:val="0"/>
          <w:w w:val="100"/>
          <w:kern w:val="0"/>
          <w:position w:val="0"/>
          <w:szCs w:val="21"/>
          <w:highlight w:val="none"/>
          <w:vertAlign w:val="superscript"/>
          <w:lang w:val="zh-CN" w:eastAsia="zh-CN"/>
        </w:rPr>
        <w:t>-</w:t>
      </w:r>
      <w:r>
        <w:rPr>
          <w:rFonts w:hint="default" w:ascii="Times New Roman" w:hAnsi="Times New Roman" w:eastAsia="宋体" w:cs="Times New Roman"/>
          <w:bCs/>
          <w:caps w:val="0"/>
          <w:snapToGrid/>
          <w:color w:val="auto"/>
          <w:spacing w:val="0"/>
          <w:w w:val="100"/>
          <w:kern w:val="0"/>
          <w:position w:val="0"/>
          <w:szCs w:val="21"/>
          <w:highlight w:val="none"/>
          <w:lang w:val="zh-CN" w:eastAsia="zh-CN"/>
        </w:rPr>
        <w:t>等。</w:t>
      </w:r>
    </w:p>
    <w:p w14:paraId="5AC7CC8B">
      <w:pPr>
        <w:keepNext w:val="0"/>
        <w:keepLines w:val="0"/>
        <w:pageBreakBefore w:val="0"/>
        <w:widowControl w:val="0"/>
        <w:tabs>
          <w:tab w:val="left" w:pos="1576"/>
        </w:tabs>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（3）评价方法及评价标准</w:t>
      </w:r>
    </w:p>
    <w:p w14:paraId="71C28DC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bCs/>
          <w:caps w:val="0"/>
          <w:snapToGrid/>
          <w:color w:val="auto"/>
          <w:spacing w:val="0"/>
          <w:w w:val="100"/>
          <w:kern w:val="0"/>
          <w:position w:val="0"/>
          <w:szCs w:val="21"/>
          <w:highlight w:val="none"/>
        </w:rPr>
      </w:pPr>
      <w:r>
        <w:rPr>
          <w:rFonts w:hint="default" w:ascii="Times New Roman" w:hAnsi="Times New Roman" w:eastAsia="宋体" w:cs="Times New Roman"/>
          <w:bCs/>
          <w:caps w:val="0"/>
          <w:snapToGrid/>
          <w:color w:val="auto"/>
          <w:spacing w:val="0"/>
          <w:w w:val="100"/>
          <w:kern w:val="0"/>
          <w:position w:val="0"/>
          <w:szCs w:val="21"/>
          <w:highlight w:val="none"/>
          <w:lang w:val="en-US" w:eastAsia="zh-CN"/>
        </w:rPr>
        <w:t>1</w:t>
      </w:r>
      <w:r>
        <w:rPr>
          <w:rFonts w:hint="default" w:ascii="Times New Roman" w:hAnsi="Times New Roman" w:eastAsia="宋体" w:cs="Times New Roman"/>
          <w:bCs/>
          <w:caps w:val="0"/>
          <w:snapToGrid/>
          <w:color w:val="auto"/>
          <w:spacing w:val="0"/>
          <w:w w:val="100"/>
          <w:kern w:val="0"/>
          <w:position w:val="0"/>
          <w:szCs w:val="21"/>
          <w:highlight w:val="none"/>
          <w:lang w:eastAsia="zh-CN"/>
        </w:rPr>
        <w:t>）</w:t>
      </w:r>
      <w:r>
        <w:rPr>
          <w:rFonts w:hint="default" w:ascii="Times New Roman" w:hAnsi="Times New Roman" w:eastAsia="宋体" w:cs="Times New Roman"/>
          <w:bCs/>
          <w:caps w:val="0"/>
          <w:snapToGrid/>
          <w:color w:val="auto"/>
          <w:spacing w:val="0"/>
          <w:w w:val="100"/>
          <w:kern w:val="0"/>
          <w:position w:val="0"/>
          <w:szCs w:val="21"/>
          <w:highlight w:val="none"/>
        </w:rPr>
        <w:t>评价方法</w:t>
      </w:r>
    </w:p>
    <w:p w14:paraId="577F906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bCs/>
          <w:caps w:val="0"/>
          <w:snapToGrid/>
          <w:color w:val="auto"/>
          <w:spacing w:val="0"/>
          <w:w w:val="100"/>
          <w:kern w:val="0"/>
          <w:position w:val="0"/>
          <w:szCs w:val="21"/>
          <w:highlight w:val="none"/>
        </w:rPr>
      </w:pPr>
      <w:r>
        <w:rPr>
          <w:rFonts w:hint="default" w:ascii="Times New Roman" w:hAnsi="Times New Roman" w:eastAsia="宋体" w:cs="Times New Roman"/>
          <w:bCs/>
          <w:caps w:val="0"/>
          <w:snapToGrid/>
          <w:color w:val="auto"/>
          <w:spacing w:val="0"/>
          <w:w w:val="100"/>
          <w:kern w:val="0"/>
          <w:position w:val="0"/>
          <w:szCs w:val="21"/>
          <w:highlight w:val="none"/>
        </w:rPr>
        <w:t>采用标准指数法进行评价。标准指数法分为下列两种情况：</w:t>
      </w:r>
    </w:p>
    <w:p w14:paraId="0DFCF2D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bCs/>
          <w:caps w:val="0"/>
          <w:snapToGrid/>
          <w:color w:val="auto"/>
          <w:spacing w:val="0"/>
          <w:w w:val="100"/>
          <w:kern w:val="0"/>
          <w:position w:val="0"/>
          <w:szCs w:val="21"/>
          <w:highlight w:val="none"/>
        </w:rPr>
      </w:pPr>
      <w:r>
        <w:rPr>
          <w:rFonts w:hint="default" w:ascii="Times New Roman" w:hAnsi="Times New Roman" w:eastAsia="宋体" w:cs="Times New Roman"/>
          <w:bCs/>
          <w:caps w:val="0"/>
          <w:snapToGrid/>
          <w:color w:val="auto"/>
          <w:spacing w:val="0"/>
          <w:w w:val="100"/>
          <w:kern w:val="0"/>
          <w:position w:val="0"/>
          <w:szCs w:val="21"/>
          <w:highlight w:val="none"/>
        </w:rPr>
        <w:t>对于评价标准为定值的水质因子，其标准指数计算方法为：</w:t>
      </w:r>
    </w:p>
    <w:p w14:paraId="6E87E61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default" w:ascii="Times New Roman" w:hAnsi="Times New Roman" w:eastAsia="宋体" w:cs="Times New Roman"/>
          <w:bCs/>
          <w:caps w:val="0"/>
          <w:snapToGrid/>
          <w:color w:val="auto"/>
          <w:spacing w:val="0"/>
          <w:w w:val="100"/>
          <w:kern w:val="0"/>
          <w:position w:val="0"/>
          <w:szCs w:val="21"/>
          <w:highlight w:val="none"/>
        </w:rPr>
      </w:pPr>
      <w:r>
        <w:rPr>
          <w:rFonts w:hint="default" w:ascii="Times New Roman" w:hAnsi="Times New Roman" w:eastAsia="宋体" w:cs="Times New Roman"/>
          <w:bCs/>
          <w:caps w:val="0"/>
          <w:snapToGrid/>
          <w:color w:val="auto"/>
          <w:spacing w:val="0"/>
          <w:w w:val="100"/>
          <w:kern w:val="0"/>
          <w:position w:val="0"/>
          <w:szCs w:val="21"/>
          <w:highlight w:val="none"/>
        </w:rPr>
        <w:t>P</w:t>
      </w:r>
      <w:r>
        <w:rPr>
          <w:rFonts w:hint="default" w:ascii="Times New Roman" w:hAnsi="Times New Roman" w:eastAsia="宋体" w:cs="Times New Roman"/>
          <w:bCs/>
          <w:caps w:val="0"/>
          <w:snapToGrid/>
          <w:color w:val="auto"/>
          <w:spacing w:val="0"/>
          <w:w w:val="100"/>
          <w:kern w:val="0"/>
          <w:position w:val="0"/>
          <w:szCs w:val="21"/>
          <w:highlight w:val="none"/>
          <w:vertAlign w:val="subscript"/>
        </w:rPr>
        <w:t>i</w:t>
      </w:r>
      <w:r>
        <w:rPr>
          <w:rFonts w:hint="default" w:ascii="Times New Roman" w:hAnsi="Times New Roman" w:eastAsia="宋体" w:cs="Times New Roman"/>
          <w:bCs/>
          <w:caps w:val="0"/>
          <w:snapToGrid/>
          <w:color w:val="auto"/>
          <w:spacing w:val="0"/>
          <w:w w:val="100"/>
          <w:kern w:val="0"/>
          <w:position w:val="0"/>
          <w:szCs w:val="21"/>
          <w:highlight w:val="none"/>
        </w:rPr>
        <w:t>=C</w:t>
      </w:r>
      <w:r>
        <w:rPr>
          <w:rFonts w:hint="default" w:ascii="Times New Roman" w:hAnsi="Times New Roman" w:eastAsia="宋体" w:cs="Times New Roman"/>
          <w:bCs/>
          <w:caps w:val="0"/>
          <w:snapToGrid/>
          <w:color w:val="auto"/>
          <w:spacing w:val="0"/>
          <w:w w:val="100"/>
          <w:kern w:val="0"/>
          <w:position w:val="0"/>
          <w:szCs w:val="21"/>
          <w:highlight w:val="none"/>
          <w:vertAlign w:val="subscript"/>
        </w:rPr>
        <w:t>i</w:t>
      </w:r>
      <w:r>
        <w:rPr>
          <w:rFonts w:hint="default" w:ascii="Times New Roman" w:hAnsi="Times New Roman" w:eastAsia="宋体" w:cs="Times New Roman"/>
          <w:bCs/>
          <w:caps w:val="0"/>
          <w:snapToGrid/>
          <w:color w:val="auto"/>
          <w:spacing w:val="0"/>
          <w:w w:val="100"/>
          <w:kern w:val="0"/>
          <w:position w:val="0"/>
          <w:szCs w:val="21"/>
          <w:highlight w:val="none"/>
        </w:rPr>
        <w:t>/Cs</w:t>
      </w:r>
      <w:r>
        <w:rPr>
          <w:rFonts w:hint="default" w:ascii="Times New Roman" w:hAnsi="Times New Roman" w:eastAsia="宋体" w:cs="Times New Roman"/>
          <w:bCs/>
          <w:caps w:val="0"/>
          <w:snapToGrid/>
          <w:color w:val="auto"/>
          <w:spacing w:val="0"/>
          <w:w w:val="100"/>
          <w:kern w:val="0"/>
          <w:position w:val="0"/>
          <w:szCs w:val="21"/>
          <w:highlight w:val="none"/>
          <w:vertAlign w:val="subscript"/>
        </w:rPr>
        <w:t>i</w:t>
      </w:r>
    </w:p>
    <w:p w14:paraId="4393F28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bCs/>
          <w:caps w:val="0"/>
          <w:snapToGrid/>
          <w:color w:val="auto"/>
          <w:spacing w:val="0"/>
          <w:w w:val="100"/>
          <w:kern w:val="0"/>
          <w:position w:val="0"/>
          <w:szCs w:val="21"/>
          <w:highlight w:val="none"/>
        </w:rPr>
      </w:pPr>
      <w:r>
        <w:rPr>
          <w:rFonts w:hint="default" w:ascii="Times New Roman" w:hAnsi="Times New Roman" w:eastAsia="宋体" w:cs="Times New Roman"/>
          <w:bCs/>
          <w:caps w:val="0"/>
          <w:snapToGrid/>
          <w:color w:val="auto"/>
          <w:spacing w:val="0"/>
          <w:w w:val="100"/>
          <w:kern w:val="0"/>
          <w:position w:val="0"/>
          <w:szCs w:val="21"/>
          <w:highlight w:val="none"/>
        </w:rPr>
        <w:t>式中：P</w:t>
      </w:r>
      <w:r>
        <w:rPr>
          <w:rFonts w:hint="default" w:ascii="Times New Roman" w:hAnsi="Times New Roman" w:eastAsia="宋体" w:cs="Times New Roman"/>
          <w:bCs/>
          <w:caps w:val="0"/>
          <w:snapToGrid/>
          <w:color w:val="auto"/>
          <w:spacing w:val="0"/>
          <w:w w:val="100"/>
          <w:kern w:val="0"/>
          <w:position w:val="0"/>
          <w:szCs w:val="21"/>
          <w:highlight w:val="none"/>
          <w:vertAlign w:val="subscript"/>
        </w:rPr>
        <w:t>i</w:t>
      </w:r>
      <w:r>
        <w:rPr>
          <w:rFonts w:hint="default" w:ascii="Times New Roman" w:hAnsi="Times New Roman" w:eastAsia="宋体" w:cs="Times New Roman"/>
          <w:bCs/>
          <w:caps w:val="0"/>
          <w:snapToGrid/>
          <w:color w:val="auto"/>
          <w:spacing w:val="0"/>
          <w:w w:val="100"/>
          <w:kern w:val="0"/>
          <w:position w:val="0"/>
          <w:szCs w:val="21"/>
          <w:highlight w:val="none"/>
        </w:rPr>
        <w:t>—第i个水质因子的标准指数；</w:t>
      </w:r>
    </w:p>
    <w:p w14:paraId="0CA7BFE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1200" w:firstLineChars="500"/>
        <w:textAlignment w:val="auto"/>
        <w:outlineLvl w:val="9"/>
        <w:rPr>
          <w:rFonts w:hint="default" w:ascii="Times New Roman" w:hAnsi="Times New Roman" w:eastAsia="宋体" w:cs="Times New Roman"/>
          <w:bCs/>
          <w:caps w:val="0"/>
          <w:snapToGrid/>
          <w:color w:val="auto"/>
          <w:spacing w:val="0"/>
          <w:w w:val="100"/>
          <w:kern w:val="0"/>
          <w:position w:val="0"/>
          <w:szCs w:val="21"/>
          <w:highlight w:val="none"/>
        </w:rPr>
      </w:pPr>
      <w:r>
        <w:rPr>
          <w:rFonts w:hint="default" w:ascii="Times New Roman" w:hAnsi="Times New Roman" w:eastAsia="宋体" w:cs="Times New Roman"/>
          <w:bCs/>
          <w:caps w:val="0"/>
          <w:snapToGrid/>
          <w:color w:val="auto"/>
          <w:spacing w:val="0"/>
          <w:w w:val="100"/>
          <w:kern w:val="0"/>
          <w:position w:val="0"/>
          <w:szCs w:val="21"/>
          <w:highlight w:val="none"/>
        </w:rPr>
        <w:t>C</w:t>
      </w:r>
      <w:r>
        <w:rPr>
          <w:rFonts w:hint="default" w:ascii="Times New Roman" w:hAnsi="Times New Roman" w:eastAsia="宋体" w:cs="Times New Roman"/>
          <w:bCs/>
          <w:caps w:val="0"/>
          <w:snapToGrid/>
          <w:color w:val="auto"/>
          <w:spacing w:val="0"/>
          <w:w w:val="100"/>
          <w:kern w:val="0"/>
          <w:position w:val="0"/>
          <w:szCs w:val="21"/>
          <w:highlight w:val="none"/>
          <w:vertAlign w:val="subscript"/>
        </w:rPr>
        <w:t>i</w:t>
      </w:r>
      <w:r>
        <w:rPr>
          <w:rFonts w:hint="default" w:ascii="Times New Roman" w:hAnsi="Times New Roman" w:eastAsia="宋体" w:cs="Times New Roman"/>
          <w:bCs/>
          <w:caps w:val="0"/>
          <w:snapToGrid/>
          <w:color w:val="auto"/>
          <w:spacing w:val="0"/>
          <w:w w:val="100"/>
          <w:kern w:val="0"/>
          <w:position w:val="0"/>
          <w:szCs w:val="21"/>
          <w:highlight w:val="none"/>
        </w:rPr>
        <w:t>—第i个水质因子的监测浓度值，mg/L；</w:t>
      </w:r>
    </w:p>
    <w:p w14:paraId="22D066A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1200" w:firstLineChars="500"/>
        <w:textAlignment w:val="auto"/>
        <w:outlineLvl w:val="9"/>
        <w:rPr>
          <w:rFonts w:hint="default" w:ascii="Times New Roman" w:hAnsi="Times New Roman" w:eastAsia="宋体" w:cs="Times New Roman"/>
          <w:bCs/>
          <w:caps w:val="0"/>
          <w:snapToGrid/>
          <w:color w:val="auto"/>
          <w:spacing w:val="0"/>
          <w:w w:val="100"/>
          <w:kern w:val="0"/>
          <w:position w:val="0"/>
          <w:szCs w:val="21"/>
          <w:highlight w:val="none"/>
        </w:rPr>
      </w:pPr>
      <w:r>
        <w:rPr>
          <w:rFonts w:hint="default" w:ascii="Times New Roman" w:hAnsi="Times New Roman" w:eastAsia="宋体" w:cs="Times New Roman"/>
          <w:bCs/>
          <w:caps w:val="0"/>
          <w:snapToGrid/>
          <w:color w:val="auto"/>
          <w:spacing w:val="0"/>
          <w:w w:val="100"/>
          <w:kern w:val="0"/>
          <w:position w:val="0"/>
          <w:szCs w:val="21"/>
          <w:highlight w:val="none"/>
        </w:rPr>
        <w:t>C</w:t>
      </w:r>
      <w:r>
        <w:rPr>
          <w:rFonts w:hint="default" w:ascii="Times New Roman" w:hAnsi="Times New Roman" w:eastAsia="宋体" w:cs="Times New Roman"/>
          <w:bCs/>
          <w:caps w:val="0"/>
          <w:snapToGrid/>
          <w:color w:val="auto"/>
          <w:spacing w:val="0"/>
          <w:w w:val="100"/>
          <w:kern w:val="0"/>
          <w:position w:val="0"/>
          <w:szCs w:val="21"/>
          <w:highlight w:val="none"/>
          <w:vertAlign w:val="subscript"/>
        </w:rPr>
        <w:t>si</w:t>
      </w:r>
      <w:r>
        <w:rPr>
          <w:rFonts w:hint="default" w:ascii="Times New Roman" w:hAnsi="Times New Roman" w:eastAsia="宋体" w:cs="Times New Roman"/>
          <w:bCs/>
          <w:caps w:val="0"/>
          <w:snapToGrid/>
          <w:color w:val="auto"/>
          <w:spacing w:val="0"/>
          <w:w w:val="100"/>
          <w:kern w:val="0"/>
          <w:position w:val="0"/>
          <w:szCs w:val="21"/>
          <w:highlight w:val="none"/>
        </w:rPr>
        <w:t>—第i个水质因子的标准浓度值，mg/L。</w:t>
      </w:r>
    </w:p>
    <w:p w14:paraId="4236A94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bCs/>
          <w:caps w:val="0"/>
          <w:snapToGrid/>
          <w:color w:val="auto"/>
          <w:spacing w:val="0"/>
          <w:w w:val="100"/>
          <w:kern w:val="0"/>
          <w:position w:val="0"/>
          <w:szCs w:val="21"/>
          <w:highlight w:val="none"/>
        </w:rPr>
      </w:pPr>
      <w:r>
        <w:rPr>
          <w:rFonts w:hint="default" w:ascii="Times New Roman" w:hAnsi="Times New Roman" w:eastAsia="宋体" w:cs="Times New Roman"/>
          <w:bCs/>
          <w:caps w:val="0"/>
          <w:snapToGrid/>
          <w:color w:val="auto"/>
          <w:spacing w:val="0"/>
          <w:w w:val="100"/>
          <w:kern w:val="0"/>
          <w:position w:val="0"/>
          <w:szCs w:val="21"/>
          <w:highlight w:val="none"/>
        </w:rPr>
        <w:t>对于评价标准为区间值的水质因子，其标准指数计算方法为：</w:t>
      </w:r>
    </w:p>
    <w:p w14:paraId="4214220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default" w:ascii="Times New Roman" w:hAnsi="Times New Roman" w:eastAsia="宋体" w:cs="Times New Roman"/>
          <w:bCs/>
          <w:caps w:val="0"/>
          <w:snapToGrid/>
          <w:color w:val="auto"/>
          <w:spacing w:val="0"/>
          <w:w w:val="100"/>
          <w:kern w:val="0"/>
          <w:position w:val="0"/>
          <w:szCs w:val="21"/>
          <w:highlight w:val="none"/>
          <w:vertAlign w:val="subscript"/>
        </w:rPr>
      </w:pPr>
      <w:r>
        <w:rPr>
          <w:rFonts w:hint="default" w:ascii="Times New Roman" w:hAnsi="Times New Roman" w:eastAsia="宋体" w:cs="Times New Roman"/>
          <w:bCs/>
          <w:caps w:val="0"/>
          <w:snapToGrid/>
          <w:color w:val="auto"/>
          <w:spacing w:val="0"/>
          <w:w w:val="100"/>
          <w:kern w:val="0"/>
          <w:position w:val="0"/>
          <w:szCs w:val="21"/>
          <w:highlight w:val="none"/>
        </w:rPr>
        <w:t>p</w:t>
      </w:r>
      <w:r>
        <w:rPr>
          <w:rFonts w:hint="default" w:ascii="Times New Roman" w:hAnsi="Times New Roman" w:eastAsia="宋体" w:cs="Times New Roman"/>
          <w:bCs/>
          <w:caps w:val="0"/>
          <w:snapToGrid/>
          <w:color w:val="auto"/>
          <w:spacing w:val="0"/>
          <w:w w:val="100"/>
          <w:kern w:val="0"/>
          <w:position w:val="0"/>
          <w:szCs w:val="21"/>
          <w:highlight w:val="none"/>
          <w:vertAlign w:val="subscript"/>
        </w:rPr>
        <w:t>pH</w:t>
      </w:r>
      <w:r>
        <w:rPr>
          <w:rFonts w:hint="default" w:ascii="Times New Roman" w:hAnsi="Times New Roman" w:eastAsia="宋体" w:cs="Times New Roman"/>
          <w:bCs/>
          <w:caps w:val="0"/>
          <w:snapToGrid/>
          <w:color w:val="auto"/>
          <w:spacing w:val="0"/>
          <w:w w:val="100"/>
          <w:kern w:val="0"/>
          <w:position w:val="0"/>
          <w:szCs w:val="21"/>
          <w:highlight w:val="none"/>
        </w:rPr>
        <w:t>=（7.0-pH）/（7.0-pH</w:t>
      </w:r>
      <w:r>
        <w:rPr>
          <w:rFonts w:hint="default" w:ascii="Times New Roman" w:hAnsi="Times New Roman" w:eastAsia="宋体" w:cs="Times New Roman"/>
          <w:bCs/>
          <w:caps w:val="0"/>
          <w:snapToGrid/>
          <w:color w:val="auto"/>
          <w:spacing w:val="0"/>
          <w:w w:val="100"/>
          <w:kern w:val="0"/>
          <w:position w:val="0"/>
          <w:szCs w:val="21"/>
          <w:highlight w:val="none"/>
          <w:vertAlign w:val="subscript"/>
        </w:rPr>
        <w:t>sd</w:t>
      </w:r>
      <w:r>
        <w:rPr>
          <w:rFonts w:hint="default" w:ascii="Times New Roman" w:hAnsi="Times New Roman" w:eastAsia="宋体" w:cs="Times New Roman"/>
          <w:bCs/>
          <w:caps w:val="0"/>
          <w:snapToGrid/>
          <w:color w:val="auto"/>
          <w:spacing w:val="0"/>
          <w:w w:val="100"/>
          <w:kern w:val="0"/>
          <w:position w:val="0"/>
          <w:szCs w:val="21"/>
          <w:highlight w:val="none"/>
        </w:rPr>
        <w:t>）    pH≤7.0时</w:t>
      </w:r>
    </w:p>
    <w:p w14:paraId="48F4587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default" w:ascii="Times New Roman" w:hAnsi="Times New Roman" w:eastAsia="宋体" w:cs="Times New Roman"/>
          <w:bCs/>
          <w:caps w:val="0"/>
          <w:snapToGrid/>
          <w:color w:val="auto"/>
          <w:spacing w:val="0"/>
          <w:w w:val="100"/>
          <w:kern w:val="0"/>
          <w:position w:val="0"/>
          <w:szCs w:val="21"/>
          <w:highlight w:val="none"/>
        </w:rPr>
      </w:pPr>
      <w:r>
        <w:rPr>
          <w:rFonts w:hint="default" w:ascii="Times New Roman" w:hAnsi="Times New Roman" w:eastAsia="宋体" w:cs="Times New Roman"/>
          <w:bCs/>
          <w:caps w:val="0"/>
          <w:snapToGrid/>
          <w:color w:val="auto"/>
          <w:spacing w:val="0"/>
          <w:w w:val="100"/>
          <w:kern w:val="0"/>
          <w:position w:val="0"/>
          <w:szCs w:val="21"/>
          <w:highlight w:val="none"/>
        </w:rPr>
        <w:t>p</w:t>
      </w:r>
      <w:r>
        <w:rPr>
          <w:rFonts w:hint="default" w:ascii="Times New Roman" w:hAnsi="Times New Roman" w:eastAsia="宋体" w:cs="Times New Roman"/>
          <w:bCs/>
          <w:caps w:val="0"/>
          <w:snapToGrid/>
          <w:color w:val="auto"/>
          <w:spacing w:val="0"/>
          <w:w w:val="100"/>
          <w:kern w:val="0"/>
          <w:position w:val="0"/>
          <w:szCs w:val="21"/>
          <w:highlight w:val="none"/>
          <w:vertAlign w:val="subscript"/>
        </w:rPr>
        <w:t>pH</w:t>
      </w:r>
      <w:r>
        <w:rPr>
          <w:rFonts w:hint="default" w:ascii="Times New Roman" w:hAnsi="Times New Roman" w:eastAsia="宋体" w:cs="Times New Roman"/>
          <w:bCs/>
          <w:caps w:val="0"/>
          <w:snapToGrid/>
          <w:color w:val="auto"/>
          <w:spacing w:val="0"/>
          <w:w w:val="100"/>
          <w:kern w:val="0"/>
          <w:position w:val="0"/>
          <w:szCs w:val="21"/>
          <w:highlight w:val="none"/>
        </w:rPr>
        <w:t>=（pH-7.0）/（pH</w:t>
      </w:r>
      <w:r>
        <w:rPr>
          <w:rFonts w:hint="default" w:ascii="Times New Roman" w:hAnsi="Times New Roman" w:eastAsia="宋体" w:cs="Times New Roman"/>
          <w:bCs/>
          <w:caps w:val="0"/>
          <w:snapToGrid/>
          <w:color w:val="auto"/>
          <w:spacing w:val="0"/>
          <w:w w:val="100"/>
          <w:kern w:val="0"/>
          <w:position w:val="0"/>
          <w:szCs w:val="21"/>
          <w:highlight w:val="none"/>
          <w:vertAlign w:val="subscript"/>
        </w:rPr>
        <w:t>s</w:t>
      </w:r>
      <w:r>
        <w:rPr>
          <w:rFonts w:hint="default" w:ascii="Times New Roman" w:hAnsi="Times New Roman" w:eastAsia="宋体" w:cs="Times New Roman"/>
          <w:bCs/>
          <w:caps w:val="0"/>
          <w:snapToGrid/>
          <w:color w:val="auto"/>
          <w:spacing w:val="0"/>
          <w:w w:val="100"/>
          <w:kern w:val="0"/>
          <w:position w:val="0"/>
          <w:szCs w:val="21"/>
          <w:highlight w:val="none"/>
          <w:vertAlign w:val="subscript"/>
          <w:lang w:val="en-US" w:eastAsia="zh-CN"/>
        </w:rPr>
        <w:t>u</w:t>
      </w:r>
      <w:r>
        <w:rPr>
          <w:rFonts w:hint="default" w:ascii="Times New Roman" w:hAnsi="Times New Roman" w:eastAsia="宋体" w:cs="Times New Roman"/>
          <w:bCs/>
          <w:caps w:val="0"/>
          <w:snapToGrid/>
          <w:color w:val="auto"/>
          <w:spacing w:val="0"/>
          <w:w w:val="100"/>
          <w:kern w:val="0"/>
          <w:position w:val="0"/>
          <w:szCs w:val="21"/>
          <w:highlight w:val="none"/>
        </w:rPr>
        <w:t>-7.0）    pH＞7.0时</w:t>
      </w:r>
    </w:p>
    <w:p w14:paraId="7B15660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bCs/>
          <w:caps w:val="0"/>
          <w:snapToGrid/>
          <w:color w:val="auto"/>
          <w:spacing w:val="0"/>
          <w:w w:val="100"/>
          <w:kern w:val="0"/>
          <w:position w:val="0"/>
          <w:szCs w:val="21"/>
          <w:highlight w:val="none"/>
        </w:rPr>
      </w:pPr>
      <w:r>
        <w:rPr>
          <w:rFonts w:hint="default" w:ascii="Times New Roman" w:hAnsi="Times New Roman" w:eastAsia="宋体" w:cs="Times New Roman"/>
          <w:bCs/>
          <w:caps w:val="0"/>
          <w:snapToGrid/>
          <w:color w:val="auto"/>
          <w:spacing w:val="0"/>
          <w:w w:val="100"/>
          <w:kern w:val="0"/>
          <w:position w:val="0"/>
          <w:szCs w:val="21"/>
          <w:highlight w:val="none"/>
        </w:rPr>
        <w:t>式中：p</w:t>
      </w:r>
      <w:r>
        <w:rPr>
          <w:rFonts w:hint="default" w:ascii="Times New Roman" w:hAnsi="Times New Roman" w:eastAsia="宋体" w:cs="Times New Roman"/>
          <w:bCs/>
          <w:caps w:val="0"/>
          <w:snapToGrid/>
          <w:color w:val="auto"/>
          <w:spacing w:val="0"/>
          <w:w w:val="100"/>
          <w:kern w:val="0"/>
          <w:position w:val="0"/>
          <w:szCs w:val="21"/>
          <w:highlight w:val="none"/>
          <w:vertAlign w:val="subscript"/>
        </w:rPr>
        <w:t>pH</w:t>
      </w:r>
      <w:r>
        <w:rPr>
          <w:rFonts w:hint="default" w:ascii="Times New Roman" w:hAnsi="Times New Roman" w:eastAsia="宋体" w:cs="Times New Roman"/>
          <w:bCs/>
          <w:caps w:val="0"/>
          <w:snapToGrid/>
          <w:color w:val="auto"/>
          <w:spacing w:val="0"/>
          <w:w w:val="100"/>
          <w:kern w:val="0"/>
          <w:position w:val="0"/>
          <w:szCs w:val="21"/>
          <w:highlight w:val="none"/>
        </w:rPr>
        <w:t>—pH的标准指数，无量纲；</w:t>
      </w:r>
    </w:p>
    <w:p w14:paraId="682176A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1200" w:firstLineChars="500"/>
        <w:textAlignment w:val="auto"/>
        <w:outlineLvl w:val="9"/>
        <w:rPr>
          <w:rFonts w:hint="default" w:ascii="Times New Roman" w:hAnsi="Times New Roman" w:eastAsia="宋体" w:cs="Times New Roman"/>
          <w:bCs/>
          <w:caps w:val="0"/>
          <w:snapToGrid/>
          <w:color w:val="auto"/>
          <w:spacing w:val="0"/>
          <w:w w:val="100"/>
          <w:kern w:val="0"/>
          <w:position w:val="0"/>
          <w:szCs w:val="21"/>
          <w:highlight w:val="none"/>
        </w:rPr>
      </w:pPr>
      <w:r>
        <w:rPr>
          <w:rFonts w:hint="default" w:ascii="Times New Roman" w:hAnsi="Times New Roman" w:eastAsia="宋体" w:cs="Times New Roman"/>
          <w:bCs/>
          <w:caps w:val="0"/>
          <w:snapToGrid/>
          <w:color w:val="auto"/>
          <w:spacing w:val="0"/>
          <w:w w:val="100"/>
          <w:kern w:val="0"/>
          <w:position w:val="0"/>
          <w:szCs w:val="21"/>
          <w:highlight w:val="none"/>
        </w:rPr>
        <w:t>pH—pH的监测值；</w:t>
      </w:r>
    </w:p>
    <w:p w14:paraId="59F29D7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1200" w:firstLineChars="500"/>
        <w:textAlignment w:val="auto"/>
        <w:outlineLvl w:val="9"/>
        <w:rPr>
          <w:rFonts w:hint="default" w:ascii="Times New Roman" w:hAnsi="Times New Roman" w:eastAsia="宋体" w:cs="Times New Roman"/>
          <w:bCs/>
          <w:caps w:val="0"/>
          <w:snapToGrid/>
          <w:color w:val="auto"/>
          <w:spacing w:val="0"/>
          <w:w w:val="100"/>
          <w:kern w:val="0"/>
          <w:position w:val="0"/>
          <w:szCs w:val="21"/>
          <w:highlight w:val="none"/>
        </w:rPr>
      </w:pPr>
      <w:r>
        <w:rPr>
          <w:rFonts w:hint="default" w:ascii="Times New Roman" w:hAnsi="Times New Roman" w:eastAsia="宋体" w:cs="Times New Roman"/>
          <w:bCs/>
          <w:caps w:val="0"/>
          <w:snapToGrid/>
          <w:color w:val="auto"/>
          <w:spacing w:val="0"/>
          <w:w w:val="100"/>
          <w:kern w:val="0"/>
          <w:position w:val="0"/>
          <w:szCs w:val="21"/>
          <w:highlight w:val="none"/>
        </w:rPr>
        <w:t>pH</w:t>
      </w:r>
      <w:r>
        <w:rPr>
          <w:rFonts w:hint="default" w:ascii="Times New Roman" w:hAnsi="Times New Roman" w:eastAsia="宋体" w:cs="Times New Roman"/>
          <w:bCs/>
          <w:caps w:val="0"/>
          <w:snapToGrid/>
          <w:color w:val="auto"/>
          <w:spacing w:val="0"/>
          <w:w w:val="100"/>
          <w:kern w:val="0"/>
          <w:position w:val="0"/>
          <w:szCs w:val="21"/>
          <w:highlight w:val="none"/>
          <w:vertAlign w:val="subscript"/>
        </w:rPr>
        <w:t>sd</w:t>
      </w:r>
      <w:r>
        <w:rPr>
          <w:rFonts w:hint="default" w:ascii="Times New Roman" w:hAnsi="Times New Roman" w:eastAsia="宋体" w:cs="Times New Roman"/>
          <w:bCs/>
          <w:caps w:val="0"/>
          <w:snapToGrid/>
          <w:color w:val="auto"/>
          <w:spacing w:val="0"/>
          <w:w w:val="100"/>
          <w:kern w:val="0"/>
          <w:position w:val="0"/>
          <w:szCs w:val="21"/>
          <w:highlight w:val="none"/>
        </w:rPr>
        <w:t>—标准中pH的下限值；</w:t>
      </w:r>
    </w:p>
    <w:p w14:paraId="734C2B8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1200" w:firstLineChars="500"/>
        <w:textAlignment w:val="auto"/>
        <w:outlineLvl w:val="9"/>
        <w:rPr>
          <w:rFonts w:hint="default" w:ascii="Times New Roman" w:hAnsi="Times New Roman" w:eastAsia="宋体" w:cs="Times New Roman"/>
          <w:bCs/>
          <w:caps w:val="0"/>
          <w:snapToGrid/>
          <w:color w:val="auto"/>
          <w:spacing w:val="0"/>
          <w:w w:val="100"/>
          <w:kern w:val="0"/>
          <w:position w:val="0"/>
          <w:szCs w:val="21"/>
          <w:highlight w:val="none"/>
        </w:rPr>
      </w:pPr>
      <w:r>
        <w:rPr>
          <w:rFonts w:hint="default" w:ascii="Times New Roman" w:hAnsi="Times New Roman" w:eastAsia="宋体" w:cs="Times New Roman"/>
          <w:bCs/>
          <w:caps w:val="0"/>
          <w:snapToGrid/>
          <w:color w:val="auto"/>
          <w:spacing w:val="0"/>
          <w:w w:val="100"/>
          <w:kern w:val="0"/>
          <w:position w:val="0"/>
          <w:szCs w:val="21"/>
          <w:highlight w:val="none"/>
        </w:rPr>
        <w:t>pH</w:t>
      </w:r>
      <w:r>
        <w:rPr>
          <w:rFonts w:hint="default" w:ascii="Times New Roman" w:hAnsi="Times New Roman" w:eastAsia="宋体" w:cs="Times New Roman"/>
          <w:bCs/>
          <w:caps w:val="0"/>
          <w:snapToGrid/>
          <w:color w:val="auto"/>
          <w:spacing w:val="0"/>
          <w:w w:val="100"/>
          <w:kern w:val="0"/>
          <w:position w:val="0"/>
          <w:szCs w:val="21"/>
          <w:highlight w:val="none"/>
          <w:vertAlign w:val="subscript"/>
        </w:rPr>
        <w:t>su</w:t>
      </w:r>
      <w:r>
        <w:rPr>
          <w:rFonts w:hint="default" w:ascii="Times New Roman" w:hAnsi="Times New Roman" w:eastAsia="宋体" w:cs="Times New Roman"/>
          <w:bCs/>
          <w:caps w:val="0"/>
          <w:snapToGrid/>
          <w:color w:val="auto"/>
          <w:spacing w:val="0"/>
          <w:w w:val="100"/>
          <w:kern w:val="0"/>
          <w:position w:val="0"/>
          <w:szCs w:val="21"/>
          <w:highlight w:val="none"/>
        </w:rPr>
        <w:t>—标准中pH的上限值。</w:t>
      </w:r>
    </w:p>
    <w:p w14:paraId="03D741F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bCs/>
          <w:caps w:val="0"/>
          <w:snapToGrid/>
          <w:color w:val="auto"/>
          <w:spacing w:val="0"/>
          <w:w w:val="100"/>
          <w:kern w:val="0"/>
          <w:position w:val="0"/>
          <w:szCs w:val="21"/>
          <w:highlight w:val="none"/>
        </w:rPr>
      </w:pPr>
      <w:r>
        <w:rPr>
          <w:rFonts w:hint="default" w:ascii="Times New Roman" w:hAnsi="Times New Roman" w:eastAsia="宋体" w:cs="Times New Roman"/>
          <w:bCs/>
          <w:caps w:val="0"/>
          <w:snapToGrid/>
          <w:color w:val="auto"/>
          <w:spacing w:val="0"/>
          <w:w w:val="100"/>
          <w:kern w:val="0"/>
          <w:position w:val="0"/>
          <w:szCs w:val="21"/>
          <w:highlight w:val="none"/>
        </w:rPr>
        <w:t>标准指数大于1，表明该水质因子已超标。</w:t>
      </w:r>
    </w:p>
    <w:p w14:paraId="45A2C86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bCs/>
          <w:caps w:val="0"/>
          <w:snapToGrid/>
          <w:color w:val="auto"/>
          <w:spacing w:val="0"/>
          <w:w w:val="100"/>
          <w:kern w:val="0"/>
          <w:position w:val="0"/>
          <w:szCs w:val="21"/>
          <w:highlight w:val="none"/>
          <w:lang w:val="en-US" w:eastAsia="zh-CN"/>
        </w:rPr>
      </w:pPr>
      <w:r>
        <w:rPr>
          <w:rFonts w:hint="default" w:ascii="Times New Roman" w:hAnsi="Times New Roman" w:eastAsia="宋体" w:cs="Times New Roman"/>
          <w:bCs/>
          <w:caps w:val="0"/>
          <w:snapToGrid/>
          <w:color w:val="auto"/>
          <w:spacing w:val="0"/>
          <w:w w:val="100"/>
          <w:kern w:val="0"/>
          <w:position w:val="0"/>
          <w:szCs w:val="21"/>
          <w:highlight w:val="none"/>
          <w:lang w:val="en-US" w:eastAsia="zh-CN"/>
        </w:rPr>
        <w:t>2</w:t>
      </w:r>
      <w:r>
        <w:rPr>
          <w:rFonts w:hint="default" w:ascii="Times New Roman" w:hAnsi="Times New Roman" w:eastAsia="宋体" w:cs="Times New Roman"/>
          <w:bCs/>
          <w:caps w:val="0"/>
          <w:snapToGrid/>
          <w:color w:val="auto"/>
          <w:spacing w:val="0"/>
          <w:w w:val="100"/>
          <w:kern w:val="0"/>
          <w:position w:val="0"/>
          <w:szCs w:val="21"/>
          <w:highlight w:val="none"/>
          <w:lang w:eastAsia="zh-CN"/>
        </w:rPr>
        <w:t>）</w:t>
      </w:r>
      <w:r>
        <w:rPr>
          <w:rFonts w:hint="default" w:ascii="Times New Roman" w:hAnsi="Times New Roman" w:eastAsia="宋体" w:cs="Times New Roman"/>
          <w:bCs/>
          <w:caps w:val="0"/>
          <w:snapToGrid/>
          <w:color w:val="auto"/>
          <w:spacing w:val="0"/>
          <w:w w:val="100"/>
          <w:kern w:val="0"/>
          <w:position w:val="0"/>
          <w:szCs w:val="21"/>
          <w:highlight w:val="none"/>
        </w:rPr>
        <w:t>评价标准</w:t>
      </w:r>
      <w:r>
        <w:rPr>
          <w:rFonts w:hint="default" w:ascii="Times New Roman" w:hAnsi="Times New Roman" w:eastAsia="宋体" w:cs="Times New Roman"/>
          <w:bCs/>
          <w:caps w:val="0"/>
          <w:snapToGrid/>
          <w:color w:val="auto"/>
          <w:spacing w:val="0"/>
          <w:w w:val="100"/>
          <w:kern w:val="0"/>
          <w:position w:val="0"/>
          <w:szCs w:val="21"/>
          <w:highlight w:val="none"/>
          <w:lang w:val="en-US" w:eastAsia="zh-CN"/>
        </w:rPr>
        <w:t>及监测结果</w:t>
      </w:r>
    </w:p>
    <w:p w14:paraId="0597A54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bCs/>
          <w:caps w:val="0"/>
          <w:snapToGrid/>
          <w:color w:val="auto"/>
          <w:spacing w:val="0"/>
          <w:w w:val="100"/>
          <w:kern w:val="0"/>
          <w:position w:val="0"/>
          <w:szCs w:val="21"/>
          <w:highlight w:val="none"/>
          <w:lang w:val="en-US" w:eastAsia="zh-CN"/>
        </w:rPr>
      </w:pPr>
      <w:r>
        <w:rPr>
          <w:rFonts w:hint="default" w:ascii="Times New Roman" w:hAnsi="Times New Roman" w:eastAsia="宋体" w:cs="Times New Roman"/>
          <w:bCs/>
          <w:caps w:val="0"/>
          <w:snapToGrid/>
          <w:color w:val="auto"/>
          <w:spacing w:val="0"/>
          <w:w w:val="100"/>
          <w:kern w:val="0"/>
          <w:position w:val="0"/>
          <w:szCs w:val="21"/>
          <w:highlight w:val="none"/>
        </w:rPr>
        <w:t>评价区地下水环境功能区划为类，本次地下水质量现状评价采用《地下水质量标准》（GB/T14848-2017）类标准。</w:t>
      </w:r>
      <w:r>
        <w:rPr>
          <w:rFonts w:hint="default" w:ascii="Times New Roman" w:hAnsi="Times New Roman" w:eastAsia="宋体" w:cs="Times New Roman"/>
          <w:bCs/>
          <w:caps w:val="0"/>
          <w:snapToGrid/>
          <w:color w:val="auto"/>
          <w:spacing w:val="0"/>
          <w:w w:val="100"/>
          <w:kern w:val="0"/>
          <w:position w:val="0"/>
          <w:szCs w:val="21"/>
          <w:highlight w:val="none"/>
          <w:lang w:val="en-US" w:eastAsia="zh-CN"/>
        </w:rPr>
        <w:t>监测结果见表4.3</w:t>
      </w:r>
      <w:r>
        <w:rPr>
          <w:rFonts w:hint="eastAsia" w:cs="Times New Roman"/>
          <w:bCs/>
          <w:caps w:val="0"/>
          <w:snapToGrid/>
          <w:color w:val="auto"/>
          <w:spacing w:val="0"/>
          <w:w w:val="100"/>
          <w:kern w:val="0"/>
          <w:position w:val="0"/>
          <w:szCs w:val="21"/>
          <w:highlight w:val="none"/>
          <w:lang w:val="en-US" w:eastAsia="zh-CN"/>
        </w:rPr>
        <w:t>.2-3</w:t>
      </w:r>
      <w:r>
        <w:rPr>
          <w:rFonts w:hint="default" w:ascii="Times New Roman" w:hAnsi="Times New Roman" w:eastAsia="宋体" w:cs="Times New Roman"/>
          <w:bCs/>
          <w:caps w:val="0"/>
          <w:snapToGrid/>
          <w:color w:val="auto"/>
          <w:spacing w:val="0"/>
          <w:w w:val="100"/>
          <w:kern w:val="0"/>
          <w:position w:val="0"/>
          <w:szCs w:val="21"/>
          <w:highlight w:val="none"/>
          <w:lang w:val="en-US" w:eastAsia="zh-CN"/>
        </w:rPr>
        <w:t>。</w:t>
      </w:r>
    </w:p>
    <w:p w14:paraId="3837ED4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表</w:t>
      </w:r>
      <w:r>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rPr>
        <w:t>4.3</w:t>
      </w:r>
      <w:r>
        <w:rPr>
          <w:rFonts w:hint="eastAsia" w:cs="Times New Roman"/>
          <w:b/>
          <w:bCs/>
          <w:caps w:val="0"/>
          <w:snapToGrid/>
          <w:color w:val="auto"/>
          <w:spacing w:val="0"/>
          <w:w w:val="100"/>
          <w:kern w:val="0"/>
          <w:position w:val="0"/>
          <w:sz w:val="21"/>
          <w:szCs w:val="21"/>
          <w:highlight w:val="none"/>
          <w:lang w:val="en-US" w:eastAsia="zh-CN"/>
        </w:rPr>
        <w:t>.2-3</w:t>
      </w:r>
      <w:r>
        <w:rPr>
          <w:rFonts w:hint="default" w:ascii="Times New Roman" w:hAnsi="Times New Roman" w:eastAsia="宋体" w:cs="Times New Roman"/>
          <w:b/>
          <w:bCs/>
          <w:caps w:val="0"/>
          <w:snapToGrid/>
          <w:color w:val="auto"/>
          <w:spacing w:val="0"/>
          <w:w w:val="100"/>
          <w:kern w:val="0"/>
          <w:position w:val="0"/>
          <w:sz w:val="21"/>
          <w:szCs w:val="21"/>
          <w:highlight w:val="none"/>
        </w:rPr>
        <w:t xml:space="preserve">  地下水水质监测分析结果一览表</w:t>
      </w:r>
    </w:p>
    <w:tbl>
      <w:tblPr>
        <w:tblStyle w:val="2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15" w:type="dxa"/>
          <w:left w:w="108" w:type="dxa"/>
          <w:bottom w:w="15" w:type="dxa"/>
          <w:right w:w="108" w:type="dxa"/>
        </w:tblCellMar>
      </w:tblPr>
      <w:tblGrid>
        <w:gridCol w:w="503"/>
        <w:gridCol w:w="988"/>
        <w:gridCol w:w="1337"/>
        <w:gridCol w:w="855"/>
        <w:gridCol w:w="1027"/>
        <w:gridCol w:w="690"/>
        <w:gridCol w:w="1027"/>
        <w:gridCol w:w="690"/>
        <w:gridCol w:w="1027"/>
        <w:gridCol w:w="690"/>
      </w:tblGrid>
      <w:tr w14:paraId="784330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08" w:type="dxa"/>
            <w:bottom w:w="15" w:type="dxa"/>
            <w:right w:w="108" w:type="dxa"/>
          </w:tblCellMar>
        </w:tblPrEx>
        <w:trPr>
          <w:trHeight w:val="294" w:hRule="atLeast"/>
          <w:tblHeader/>
        </w:trPr>
        <w:tc>
          <w:tcPr>
            <w:tcW w:w="285" w:type="pct"/>
            <w:vMerge w:val="restart"/>
            <w:tcBorders>
              <w:tl2br w:val="nil"/>
              <w:tr2bl w:val="nil"/>
            </w:tcBorders>
            <w:noWrap w:val="0"/>
            <w:vAlign w:val="center"/>
          </w:tcPr>
          <w:p w14:paraId="4CD82B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序号</w:t>
            </w:r>
          </w:p>
        </w:tc>
        <w:tc>
          <w:tcPr>
            <w:tcW w:w="559" w:type="pct"/>
            <w:vMerge w:val="restart"/>
            <w:tcBorders>
              <w:tl2br w:val="nil"/>
              <w:tr2bl w:val="nil"/>
            </w:tcBorders>
            <w:noWrap w:val="0"/>
            <w:vAlign w:val="center"/>
          </w:tcPr>
          <w:p w14:paraId="0DBAB3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检测</w:t>
            </w:r>
          </w:p>
          <w:p w14:paraId="15784E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项目</w:t>
            </w:r>
          </w:p>
        </w:tc>
        <w:tc>
          <w:tcPr>
            <w:tcW w:w="756" w:type="pct"/>
            <w:vMerge w:val="restart"/>
            <w:tcBorders>
              <w:tl2br w:val="nil"/>
              <w:tr2bl w:val="nil"/>
            </w:tcBorders>
            <w:noWrap w:val="0"/>
            <w:vAlign w:val="center"/>
          </w:tcPr>
          <w:p w14:paraId="0F47BA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单位</w:t>
            </w:r>
          </w:p>
        </w:tc>
        <w:tc>
          <w:tcPr>
            <w:tcW w:w="483" w:type="pct"/>
            <w:vMerge w:val="restart"/>
            <w:tcBorders>
              <w:tl2br w:val="nil"/>
              <w:tr2bl w:val="nil"/>
            </w:tcBorders>
            <w:noWrap w:val="0"/>
            <w:vAlign w:val="center"/>
          </w:tcPr>
          <w:p w14:paraId="50639C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标准值</w:t>
            </w:r>
          </w:p>
        </w:tc>
        <w:tc>
          <w:tcPr>
            <w:tcW w:w="971" w:type="pct"/>
            <w:gridSpan w:val="2"/>
            <w:tcBorders>
              <w:tl2br w:val="nil"/>
              <w:tr2bl w:val="nil"/>
            </w:tcBorders>
            <w:noWrap w:val="0"/>
            <w:vAlign w:val="center"/>
          </w:tcPr>
          <w:p w14:paraId="23A61B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D1</w:t>
            </w:r>
          </w:p>
        </w:tc>
        <w:tc>
          <w:tcPr>
            <w:tcW w:w="971" w:type="pct"/>
            <w:gridSpan w:val="2"/>
            <w:tcBorders>
              <w:tl2br w:val="nil"/>
              <w:tr2bl w:val="nil"/>
            </w:tcBorders>
            <w:noWrap w:val="0"/>
            <w:vAlign w:val="center"/>
          </w:tcPr>
          <w:p w14:paraId="5F931C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D2</w:t>
            </w:r>
          </w:p>
        </w:tc>
        <w:tc>
          <w:tcPr>
            <w:tcW w:w="971" w:type="pct"/>
            <w:gridSpan w:val="2"/>
            <w:tcBorders>
              <w:tl2br w:val="nil"/>
              <w:tr2bl w:val="nil"/>
            </w:tcBorders>
            <w:noWrap w:val="0"/>
            <w:vAlign w:val="center"/>
          </w:tcPr>
          <w:p w14:paraId="231E1F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D3</w:t>
            </w:r>
          </w:p>
        </w:tc>
      </w:tr>
      <w:tr w14:paraId="4CDA93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08" w:type="dxa"/>
            <w:bottom w:w="15" w:type="dxa"/>
            <w:right w:w="108" w:type="dxa"/>
          </w:tblCellMar>
        </w:tblPrEx>
        <w:trPr>
          <w:trHeight w:val="454" w:hRule="atLeast"/>
          <w:tblHeader/>
        </w:trPr>
        <w:tc>
          <w:tcPr>
            <w:tcW w:w="285" w:type="pct"/>
            <w:vMerge w:val="continue"/>
            <w:tcBorders>
              <w:tl2br w:val="nil"/>
              <w:tr2bl w:val="nil"/>
            </w:tcBorders>
            <w:noWrap w:val="0"/>
            <w:vAlign w:val="center"/>
          </w:tcPr>
          <w:p w14:paraId="378E0B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p>
        </w:tc>
        <w:tc>
          <w:tcPr>
            <w:tcW w:w="559" w:type="pct"/>
            <w:vMerge w:val="continue"/>
            <w:tcBorders>
              <w:tl2br w:val="nil"/>
              <w:tr2bl w:val="nil"/>
            </w:tcBorders>
            <w:noWrap w:val="0"/>
            <w:vAlign w:val="center"/>
          </w:tcPr>
          <w:p w14:paraId="7353A1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p>
        </w:tc>
        <w:tc>
          <w:tcPr>
            <w:tcW w:w="756" w:type="pct"/>
            <w:vMerge w:val="continue"/>
            <w:tcBorders>
              <w:tl2br w:val="nil"/>
              <w:tr2bl w:val="nil"/>
            </w:tcBorders>
            <w:noWrap w:val="0"/>
            <w:vAlign w:val="center"/>
          </w:tcPr>
          <w:p w14:paraId="2A76E4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p>
        </w:tc>
        <w:tc>
          <w:tcPr>
            <w:tcW w:w="483" w:type="pct"/>
            <w:vMerge w:val="continue"/>
            <w:tcBorders>
              <w:tl2br w:val="nil"/>
              <w:tr2bl w:val="nil"/>
            </w:tcBorders>
            <w:noWrap w:val="0"/>
            <w:vAlign w:val="center"/>
          </w:tcPr>
          <w:p w14:paraId="739036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p>
        </w:tc>
        <w:tc>
          <w:tcPr>
            <w:tcW w:w="581" w:type="pct"/>
            <w:tcBorders>
              <w:tl2br w:val="nil"/>
              <w:tr2bl w:val="nil"/>
            </w:tcBorders>
            <w:noWrap w:val="0"/>
            <w:vAlign w:val="center"/>
          </w:tcPr>
          <w:p w14:paraId="336502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检测</w:t>
            </w:r>
          </w:p>
          <w:p w14:paraId="6567F8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结果</w:t>
            </w:r>
          </w:p>
        </w:tc>
        <w:tc>
          <w:tcPr>
            <w:tcW w:w="389" w:type="pct"/>
            <w:tcBorders>
              <w:tl2br w:val="nil"/>
              <w:tr2bl w:val="nil"/>
            </w:tcBorders>
            <w:noWrap w:val="0"/>
            <w:vAlign w:val="center"/>
          </w:tcPr>
          <w:p w14:paraId="71C54D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标准</w:t>
            </w:r>
          </w:p>
          <w:p w14:paraId="4C1AC4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指数</w:t>
            </w:r>
          </w:p>
        </w:tc>
        <w:tc>
          <w:tcPr>
            <w:tcW w:w="581" w:type="pct"/>
            <w:tcBorders>
              <w:tl2br w:val="nil"/>
              <w:tr2bl w:val="nil"/>
            </w:tcBorders>
            <w:noWrap w:val="0"/>
            <w:vAlign w:val="center"/>
          </w:tcPr>
          <w:p w14:paraId="3996FE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检测</w:t>
            </w:r>
          </w:p>
          <w:p w14:paraId="75A152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结果</w:t>
            </w:r>
          </w:p>
        </w:tc>
        <w:tc>
          <w:tcPr>
            <w:tcW w:w="389" w:type="pct"/>
            <w:tcBorders>
              <w:tl2br w:val="nil"/>
              <w:tr2bl w:val="nil"/>
            </w:tcBorders>
            <w:noWrap w:val="0"/>
            <w:vAlign w:val="center"/>
          </w:tcPr>
          <w:p w14:paraId="194EE7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标准</w:t>
            </w:r>
          </w:p>
          <w:p w14:paraId="11E0F0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指数</w:t>
            </w:r>
          </w:p>
        </w:tc>
        <w:tc>
          <w:tcPr>
            <w:tcW w:w="581" w:type="pct"/>
            <w:tcBorders>
              <w:tl2br w:val="nil"/>
              <w:tr2bl w:val="nil"/>
            </w:tcBorders>
            <w:noWrap w:val="0"/>
            <w:vAlign w:val="center"/>
          </w:tcPr>
          <w:p w14:paraId="559DC9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检测</w:t>
            </w:r>
          </w:p>
          <w:p w14:paraId="162EAE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结果</w:t>
            </w:r>
          </w:p>
        </w:tc>
        <w:tc>
          <w:tcPr>
            <w:tcW w:w="389" w:type="pct"/>
            <w:tcBorders>
              <w:tl2br w:val="nil"/>
              <w:tr2bl w:val="nil"/>
            </w:tcBorders>
            <w:noWrap w:val="0"/>
            <w:vAlign w:val="center"/>
          </w:tcPr>
          <w:p w14:paraId="577B32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标准</w:t>
            </w:r>
          </w:p>
          <w:p w14:paraId="791EFA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指数</w:t>
            </w:r>
          </w:p>
        </w:tc>
      </w:tr>
      <w:tr w14:paraId="6266D5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08" w:type="dxa"/>
            <w:bottom w:w="15" w:type="dxa"/>
            <w:right w:w="108" w:type="dxa"/>
          </w:tblCellMar>
        </w:tblPrEx>
        <w:trPr>
          <w:trHeight w:val="90" w:hRule="atLeast"/>
        </w:trPr>
        <w:tc>
          <w:tcPr>
            <w:tcW w:w="285" w:type="pct"/>
            <w:tcBorders>
              <w:tl2br w:val="nil"/>
              <w:tr2bl w:val="nil"/>
            </w:tcBorders>
            <w:noWrap w:val="0"/>
            <w:vAlign w:val="center"/>
          </w:tcPr>
          <w:p w14:paraId="78A3193F">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559" w:type="pct"/>
            <w:tcBorders>
              <w:tl2br w:val="nil"/>
              <w:tr2bl w:val="nil"/>
            </w:tcBorders>
            <w:noWrap w:val="0"/>
            <w:vAlign w:val="center"/>
          </w:tcPr>
          <w:p w14:paraId="678C47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pH</w:t>
            </w:r>
          </w:p>
        </w:tc>
        <w:tc>
          <w:tcPr>
            <w:tcW w:w="756" w:type="pct"/>
            <w:tcBorders>
              <w:tl2br w:val="nil"/>
              <w:tr2bl w:val="nil"/>
            </w:tcBorders>
            <w:noWrap w:val="0"/>
            <w:vAlign w:val="center"/>
          </w:tcPr>
          <w:p w14:paraId="1739F3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无量纲</w:t>
            </w:r>
          </w:p>
        </w:tc>
        <w:tc>
          <w:tcPr>
            <w:tcW w:w="483" w:type="pct"/>
            <w:tcBorders>
              <w:tl2br w:val="nil"/>
              <w:tr2bl w:val="nil"/>
            </w:tcBorders>
            <w:noWrap w:val="0"/>
            <w:vAlign w:val="center"/>
          </w:tcPr>
          <w:p w14:paraId="2E0D41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6.5</w:t>
            </w: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r>
              <w:rPr>
                <w:rFonts w:hint="default" w:ascii="Times New Roman" w:hAnsi="Times New Roman" w:eastAsia="宋体" w:cs="Times New Roman"/>
                <w:caps w:val="0"/>
                <w:snapToGrid/>
                <w:color w:val="auto"/>
                <w:spacing w:val="0"/>
                <w:w w:val="100"/>
                <w:kern w:val="0"/>
                <w:position w:val="0"/>
                <w:sz w:val="21"/>
                <w:szCs w:val="21"/>
                <w:highlight w:val="none"/>
              </w:rPr>
              <w:t>8.5</w:t>
            </w:r>
          </w:p>
        </w:tc>
        <w:tc>
          <w:tcPr>
            <w:tcW w:w="581" w:type="pct"/>
            <w:tcBorders>
              <w:tl2br w:val="nil"/>
              <w:tr2bl w:val="nil"/>
            </w:tcBorders>
            <w:noWrap w:val="0"/>
            <w:vAlign w:val="center"/>
          </w:tcPr>
          <w:p w14:paraId="41D231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7.4</w:t>
            </w:r>
          </w:p>
        </w:tc>
        <w:tc>
          <w:tcPr>
            <w:tcW w:w="389" w:type="pct"/>
            <w:tcBorders>
              <w:tl2br w:val="nil"/>
              <w:tr2bl w:val="nil"/>
            </w:tcBorders>
            <w:noWrap w:val="0"/>
            <w:vAlign w:val="center"/>
          </w:tcPr>
          <w:p w14:paraId="30974B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kern w:val="0"/>
                <w:position w:val="0"/>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0.</w:t>
            </w:r>
            <w:r>
              <w:rPr>
                <w:rFonts w:hint="eastAsia" w:cs="Times New Roman"/>
                <w:caps w:val="0"/>
                <w:snapToGrid/>
                <w:color w:val="auto"/>
                <w:spacing w:val="0"/>
                <w:w w:val="100"/>
                <w:kern w:val="0"/>
                <w:position w:val="0"/>
                <w:sz w:val="21"/>
                <w:szCs w:val="21"/>
                <w:highlight w:val="none"/>
                <w:lang w:val="en-US" w:eastAsia="zh-CN"/>
              </w:rPr>
              <w:t>27</w:t>
            </w:r>
          </w:p>
        </w:tc>
        <w:tc>
          <w:tcPr>
            <w:tcW w:w="581" w:type="pct"/>
            <w:tcBorders>
              <w:tl2br w:val="nil"/>
              <w:tr2bl w:val="nil"/>
            </w:tcBorders>
            <w:noWrap w:val="0"/>
            <w:vAlign w:val="center"/>
          </w:tcPr>
          <w:p w14:paraId="438F66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snapToGrid/>
                <w:color w:val="auto"/>
                <w:spacing w:val="0"/>
                <w:kern w:val="0"/>
                <w:position w:val="0"/>
                <w:sz w:val="21"/>
                <w:szCs w:val="21"/>
                <w:highlight w:val="none"/>
                <w:u w:val="none"/>
                <w:lang w:val="en-US" w:eastAsia="zh-CN" w:bidi="ar"/>
              </w:rPr>
              <w:t>7.</w:t>
            </w:r>
            <w:r>
              <w:rPr>
                <w:rFonts w:hint="eastAsia" w:cs="Times New Roman"/>
                <w:i w:val="0"/>
                <w:iCs w:val="0"/>
                <w:snapToGrid/>
                <w:color w:val="auto"/>
                <w:spacing w:val="0"/>
                <w:kern w:val="0"/>
                <w:position w:val="0"/>
                <w:sz w:val="21"/>
                <w:szCs w:val="21"/>
                <w:highlight w:val="none"/>
                <w:u w:val="none"/>
                <w:lang w:val="en-US" w:eastAsia="zh-CN" w:bidi="ar"/>
              </w:rPr>
              <w:t>5</w:t>
            </w:r>
          </w:p>
        </w:tc>
        <w:tc>
          <w:tcPr>
            <w:tcW w:w="389" w:type="pct"/>
            <w:tcBorders>
              <w:tl2br w:val="nil"/>
              <w:tr2bl w:val="nil"/>
            </w:tcBorders>
            <w:noWrap w:val="0"/>
            <w:vAlign w:val="center"/>
          </w:tcPr>
          <w:p w14:paraId="569FC4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i w:val="0"/>
                <w:iCs w:val="0"/>
                <w:snapToGrid/>
                <w:color w:val="auto"/>
                <w:spacing w:val="0"/>
                <w:kern w:val="0"/>
                <w:position w:val="0"/>
                <w:sz w:val="21"/>
                <w:szCs w:val="21"/>
                <w:highlight w:val="none"/>
                <w:u w:val="none"/>
                <w:lang w:val="en-US" w:eastAsia="zh-CN" w:bidi="ar"/>
              </w:rPr>
              <w:t>0.33</w:t>
            </w:r>
          </w:p>
        </w:tc>
        <w:tc>
          <w:tcPr>
            <w:tcW w:w="581" w:type="pct"/>
            <w:tcBorders>
              <w:tl2br w:val="nil"/>
              <w:tr2bl w:val="nil"/>
            </w:tcBorders>
            <w:noWrap w:val="0"/>
            <w:vAlign w:val="center"/>
          </w:tcPr>
          <w:p w14:paraId="594BAE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snapToGrid/>
                <w:color w:val="auto"/>
                <w:spacing w:val="0"/>
                <w:kern w:val="0"/>
                <w:position w:val="0"/>
                <w:sz w:val="21"/>
                <w:szCs w:val="21"/>
                <w:highlight w:val="none"/>
                <w:u w:val="none"/>
                <w:lang w:val="en-US" w:eastAsia="zh-CN" w:bidi="ar"/>
              </w:rPr>
              <w:t>7.</w:t>
            </w:r>
            <w:r>
              <w:rPr>
                <w:rFonts w:hint="eastAsia" w:cs="Times New Roman"/>
                <w:i w:val="0"/>
                <w:iCs w:val="0"/>
                <w:snapToGrid/>
                <w:color w:val="auto"/>
                <w:spacing w:val="0"/>
                <w:kern w:val="0"/>
                <w:position w:val="0"/>
                <w:sz w:val="21"/>
                <w:szCs w:val="21"/>
                <w:highlight w:val="none"/>
                <w:u w:val="none"/>
                <w:lang w:val="en-US" w:eastAsia="zh-CN" w:bidi="ar"/>
              </w:rPr>
              <w:t>5</w:t>
            </w:r>
          </w:p>
        </w:tc>
        <w:tc>
          <w:tcPr>
            <w:tcW w:w="389" w:type="pct"/>
            <w:tcBorders>
              <w:tl2br w:val="nil"/>
              <w:tr2bl w:val="nil"/>
            </w:tcBorders>
            <w:noWrap w:val="0"/>
            <w:vAlign w:val="center"/>
          </w:tcPr>
          <w:p w14:paraId="58DB10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i w:val="0"/>
                <w:iCs w:val="0"/>
                <w:snapToGrid/>
                <w:color w:val="auto"/>
                <w:spacing w:val="0"/>
                <w:kern w:val="0"/>
                <w:position w:val="0"/>
                <w:sz w:val="21"/>
                <w:szCs w:val="21"/>
                <w:highlight w:val="none"/>
                <w:u w:val="none"/>
                <w:lang w:val="en-US" w:eastAsia="zh-CN" w:bidi="ar"/>
              </w:rPr>
              <w:t>0.33</w:t>
            </w:r>
          </w:p>
        </w:tc>
      </w:tr>
      <w:tr w14:paraId="28BD8D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08" w:type="dxa"/>
            <w:bottom w:w="15" w:type="dxa"/>
            <w:right w:w="108" w:type="dxa"/>
          </w:tblCellMar>
        </w:tblPrEx>
        <w:trPr>
          <w:trHeight w:val="365" w:hRule="atLeast"/>
        </w:trPr>
        <w:tc>
          <w:tcPr>
            <w:tcW w:w="285" w:type="pct"/>
            <w:tcBorders>
              <w:tl2br w:val="nil"/>
              <w:tr2bl w:val="nil"/>
            </w:tcBorders>
            <w:noWrap w:val="0"/>
            <w:vAlign w:val="center"/>
          </w:tcPr>
          <w:p w14:paraId="50929B2D">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559" w:type="pct"/>
            <w:tcBorders>
              <w:tl2br w:val="nil"/>
              <w:tr2bl w:val="nil"/>
            </w:tcBorders>
            <w:noWrap w:val="0"/>
            <w:vAlign w:val="center"/>
          </w:tcPr>
          <w:p w14:paraId="0FA7EB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总硬度</w:t>
            </w:r>
          </w:p>
        </w:tc>
        <w:tc>
          <w:tcPr>
            <w:tcW w:w="756" w:type="pct"/>
            <w:tcBorders>
              <w:tl2br w:val="nil"/>
              <w:tr2bl w:val="nil"/>
            </w:tcBorders>
            <w:noWrap w:val="0"/>
            <w:vAlign w:val="center"/>
          </w:tcPr>
          <w:p w14:paraId="64B852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mg/L</w:t>
            </w:r>
          </w:p>
        </w:tc>
        <w:tc>
          <w:tcPr>
            <w:tcW w:w="483" w:type="pct"/>
            <w:tcBorders>
              <w:tl2br w:val="nil"/>
              <w:tr2bl w:val="nil"/>
            </w:tcBorders>
            <w:noWrap w:val="0"/>
            <w:vAlign w:val="center"/>
          </w:tcPr>
          <w:p w14:paraId="285CE4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r>
              <w:rPr>
                <w:rFonts w:hint="default" w:ascii="Times New Roman" w:hAnsi="Times New Roman" w:eastAsia="宋体" w:cs="Times New Roman"/>
                <w:caps w:val="0"/>
                <w:snapToGrid/>
                <w:color w:val="auto"/>
                <w:spacing w:val="0"/>
                <w:w w:val="100"/>
                <w:kern w:val="0"/>
                <w:position w:val="0"/>
                <w:sz w:val="21"/>
                <w:szCs w:val="21"/>
                <w:highlight w:val="none"/>
              </w:rPr>
              <w:t>450</w:t>
            </w:r>
          </w:p>
        </w:tc>
        <w:tc>
          <w:tcPr>
            <w:tcW w:w="581" w:type="pct"/>
            <w:tcBorders>
              <w:tl2br w:val="nil"/>
              <w:tr2bl w:val="nil"/>
            </w:tcBorders>
            <w:noWrap w:val="0"/>
            <w:vAlign w:val="center"/>
          </w:tcPr>
          <w:p w14:paraId="76CDFF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3153</w:t>
            </w:r>
          </w:p>
        </w:tc>
        <w:tc>
          <w:tcPr>
            <w:tcW w:w="389" w:type="pct"/>
            <w:tcBorders>
              <w:tl2br w:val="nil"/>
              <w:tr2bl w:val="nil"/>
            </w:tcBorders>
            <w:noWrap w:val="0"/>
            <w:vAlign w:val="center"/>
          </w:tcPr>
          <w:p w14:paraId="0E31B52A">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7.01</w:t>
            </w:r>
          </w:p>
        </w:tc>
        <w:tc>
          <w:tcPr>
            <w:tcW w:w="581" w:type="pct"/>
            <w:tcBorders>
              <w:tl2br w:val="nil"/>
              <w:tr2bl w:val="nil"/>
            </w:tcBorders>
            <w:noWrap w:val="0"/>
            <w:vAlign w:val="center"/>
          </w:tcPr>
          <w:p w14:paraId="5BB7B5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i w:val="0"/>
                <w:iCs w:val="0"/>
                <w:snapToGrid/>
                <w:color w:val="auto"/>
                <w:spacing w:val="0"/>
                <w:kern w:val="0"/>
                <w:position w:val="0"/>
                <w:sz w:val="21"/>
                <w:szCs w:val="21"/>
                <w:highlight w:val="none"/>
                <w:u w:val="none"/>
                <w:lang w:val="en-US" w:eastAsia="zh-CN" w:bidi="ar"/>
              </w:rPr>
              <w:t>1926</w:t>
            </w:r>
          </w:p>
        </w:tc>
        <w:tc>
          <w:tcPr>
            <w:tcW w:w="389" w:type="pct"/>
            <w:tcBorders>
              <w:tl2br w:val="nil"/>
              <w:tr2bl w:val="nil"/>
            </w:tcBorders>
            <w:noWrap w:val="0"/>
            <w:vAlign w:val="center"/>
          </w:tcPr>
          <w:p w14:paraId="64EAAED7">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4.28</w:t>
            </w:r>
          </w:p>
        </w:tc>
        <w:tc>
          <w:tcPr>
            <w:tcW w:w="581" w:type="pct"/>
            <w:tcBorders>
              <w:tl2br w:val="nil"/>
              <w:tr2bl w:val="nil"/>
            </w:tcBorders>
            <w:noWrap w:val="0"/>
            <w:vAlign w:val="center"/>
          </w:tcPr>
          <w:p w14:paraId="0E3FEF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i w:val="0"/>
                <w:iCs w:val="0"/>
                <w:snapToGrid/>
                <w:color w:val="auto"/>
                <w:spacing w:val="0"/>
                <w:kern w:val="0"/>
                <w:position w:val="0"/>
                <w:sz w:val="21"/>
                <w:szCs w:val="21"/>
                <w:highlight w:val="none"/>
                <w:u w:val="none"/>
                <w:lang w:val="en-US" w:eastAsia="zh-CN" w:bidi="ar"/>
              </w:rPr>
              <w:t>3782</w:t>
            </w:r>
          </w:p>
        </w:tc>
        <w:tc>
          <w:tcPr>
            <w:tcW w:w="389" w:type="pct"/>
            <w:tcBorders>
              <w:tl2br w:val="nil"/>
              <w:tr2bl w:val="nil"/>
            </w:tcBorders>
            <w:noWrap w:val="0"/>
            <w:vAlign w:val="center"/>
          </w:tcPr>
          <w:p w14:paraId="57209CFC">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8.40</w:t>
            </w:r>
          </w:p>
        </w:tc>
      </w:tr>
      <w:tr w14:paraId="44ED07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08" w:type="dxa"/>
            <w:bottom w:w="15" w:type="dxa"/>
            <w:right w:w="108" w:type="dxa"/>
          </w:tblCellMar>
        </w:tblPrEx>
        <w:trPr>
          <w:trHeight w:val="274" w:hRule="atLeast"/>
        </w:trPr>
        <w:tc>
          <w:tcPr>
            <w:tcW w:w="285" w:type="pct"/>
            <w:tcBorders>
              <w:tl2br w:val="nil"/>
              <w:tr2bl w:val="nil"/>
            </w:tcBorders>
            <w:noWrap w:val="0"/>
            <w:vAlign w:val="center"/>
          </w:tcPr>
          <w:p w14:paraId="04097800">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559" w:type="pct"/>
            <w:tcBorders>
              <w:tl2br w:val="nil"/>
              <w:tr2bl w:val="nil"/>
            </w:tcBorders>
            <w:noWrap w:val="0"/>
            <w:vAlign w:val="center"/>
          </w:tcPr>
          <w:p w14:paraId="0910BA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溶解性总固体</w:t>
            </w:r>
          </w:p>
        </w:tc>
        <w:tc>
          <w:tcPr>
            <w:tcW w:w="756" w:type="pct"/>
            <w:tcBorders>
              <w:tl2br w:val="nil"/>
              <w:tr2bl w:val="nil"/>
            </w:tcBorders>
            <w:noWrap w:val="0"/>
            <w:vAlign w:val="center"/>
          </w:tcPr>
          <w:p w14:paraId="6B49A6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mg/L</w:t>
            </w:r>
          </w:p>
        </w:tc>
        <w:tc>
          <w:tcPr>
            <w:tcW w:w="483" w:type="pct"/>
            <w:tcBorders>
              <w:tl2br w:val="nil"/>
              <w:tr2bl w:val="nil"/>
            </w:tcBorders>
            <w:noWrap w:val="0"/>
            <w:vAlign w:val="center"/>
          </w:tcPr>
          <w:p w14:paraId="2C0EE5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r>
              <w:rPr>
                <w:rFonts w:hint="default" w:ascii="Times New Roman" w:hAnsi="Times New Roman" w:eastAsia="宋体" w:cs="Times New Roman"/>
                <w:caps w:val="0"/>
                <w:snapToGrid/>
                <w:color w:val="auto"/>
                <w:spacing w:val="0"/>
                <w:w w:val="100"/>
                <w:kern w:val="0"/>
                <w:position w:val="0"/>
                <w:sz w:val="21"/>
                <w:szCs w:val="21"/>
                <w:highlight w:val="none"/>
              </w:rPr>
              <w:t>1000</w:t>
            </w:r>
          </w:p>
        </w:tc>
        <w:tc>
          <w:tcPr>
            <w:tcW w:w="581" w:type="pct"/>
            <w:tcBorders>
              <w:tl2br w:val="nil"/>
              <w:tr2bl w:val="nil"/>
            </w:tcBorders>
            <w:noWrap w:val="0"/>
            <w:vAlign w:val="center"/>
          </w:tcPr>
          <w:p w14:paraId="25C992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18942</w:t>
            </w:r>
          </w:p>
        </w:tc>
        <w:tc>
          <w:tcPr>
            <w:tcW w:w="389" w:type="pct"/>
            <w:tcBorders>
              <w:tl2br w:val="nil"/>
              <w:tr2bl w:val="nil"/>
            </w:tcBorders>
            <w:noWrap w:val="0"/>
            <w:vAlign w:val="center"/>
          </w:tcPr>
          <w:p w14:paraId="00CC56DF">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18.94</w:t>
            </w:r>
          </w:p>
        </w:tc>
        <w:tc>
          <w:tcPr>
            <w:tcW w:w="581" w:type="pct"/>
            <w:tcBorders>
              <w:tl2br w:val="nil"/>
              <w:tr2bl w:val="nil"/>
            </w:tcBorders>
            <w:noWrap w:val="0"/>
            <w:vAlign w:val="center"/>
          </w:tcPr>
          <w:p w14:paraId="35D92A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i w:val="0"/>
                <w:iCs w:val="0"/>
                <w:snapToGrid/>
                <w:color w:val="auto"/>
                <w:spacing w:val="0"/>
                <w:kern w:val="0"/>
                <w:position w:val="0"/>
                <w:sz w:val="21"/>
                <w:szCs w:val="21"/>
                <w:highlight w:val="none"/>
                <w:u w:val="none"/>
                <w:lang w:val="en-US" w:eastAsia="zh-CN" w:bidi="ar"/>
              </w:rPr>
              <w:t>12960</w:t>
            </w:r>
          </w:p>
        </w:tc>
        <w:tc>
          <w:tcPr>
            <w:tcW w:w="389" w:type="pct"/>
            <w:tcBorders>
              <w:tl2br w:val="nil"/>
              <w:tr2bl w:val="nil"/>
            </w:tcBorders>
            <w:noWrap w:val="0"/>
            <w:vAlign w:val="center"/>
          </w:tcPr>
          <w:p w14:paraId="6EBB97B2">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12.96</w:t>
            </w:r>
          </w:p>
        </w:tc>
        <w:tc>
          <w:tcPr>
            <w:tcW w:w="581" w:type="pct"/>
            <w:tcBorders>
              <w:tl2br w:val="nil"/>
              <w:tr2bl w:val="nil"/>
            </w:tcBorders>
            <w:noWrap w:val="0"/>
            <w:vAlign w:val="center"/>
          </w:tcPr>
          <w:p w14:paraId="43F68D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i w:val="0"/>
                <w:iCs w:val="0"/>
                <w:snapToGrid/>
                <w:color w:val="auto"/>
                <w:spacing w:val="0"/>
                <w:kern w:val="0"/>
                <w:position w:val="0"/>
                <w:sz w:val="21"/>
                <w:szCs w:val="21"/>
                <w:highlight w:val="none"/>
                <w:u w:val="none"/>
                <w:lang w:val="en-US" w:eastAsia="zh-CN" w:bidi="ar"/>
              </w:rPr>
              <w:t>20872</w:t>
            </w:r>
          </w:p>
        </w:tc>
        <w:tc>
          <w:tcPr>
            <w:tcW w:w="389" w:type="pct"/>
            <w:tcBorders>
              <w:tl2br w:val="nil"/>
              <w:tr2bl w:val="nil"/>
            </w:tcBorders>
            <w:noWrap w:val="0"/>
            <w:vAlign w:val="center"/>
          </w:tcPr>
          <w:p w14:paraId="2F02624A">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20.87</w:t>
            </w:r>
          </w:p>
        </w:tc>
      </w:tr>
      <w:tr w14:paraId="67242F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08" w:type="dxa"/>
            <w:bottom w:w="15" w:type="dxa"/>
            <w:right w:w="108" w:type="dxa"/>
          </w:tblCellMar>
        </w:tblPrEx>
        <w:trPr>
          <w:trHeight w:val="296" w:hRule="atLeast"/>
        </w:trPr>
        <w:tc>
          <w:tcPr>
            <w:tcW w:w="285" w:type="pct"/>
            <w:tcBorders>
              <w:tl2br w:val="nil"/>
              <w:tr2bl w:val="nil"/>
            </w:tcBorders>
            <w:noWrap w:val="0"/>
            <w:vAlign w:val="center"/>
          </w:tcPr>
          <w:p w14:paraId="472302F1">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559" w:type="pct"/>
            <w:tcBorders>
              <w:tl2br w:val="nil"/>
              <w:tr2bl w:val="nil"/>
            </w:tcBorders>
            <w:noWrap w:val="0"/>
            <w:vAlign w:val="center"/>
          </w:tcPr>
          <w:p w14:paraId="164CB4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硫酸盐</w:t>
            </w:r>
          </w:p>
        </w:tc>
        <w:tc>
          <w:tcPr>
            <w:tcW w:w="756" w:type="pct"/>
            <w:tcBorders>
              <w:tl2br w:val="nil"/>
              <w:tr2bl w:val="nil"/>
            </w:tcBorders>
            <w:noWrap w:val="0"/>
            <w:vAlign w:val="center"/>
          </w:tcPr>
          <w:p w14:paraId="38657E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mg/L</w:t>
            </w:r>
          </w:p>
        </w:tc>
        <w:tc>
          <w:tcPr>
            <w:tcW w:w="483" w:type="pct"/>
            <w:tcBorders>
              <w:tl2br w:val="nil"/>
              <w:tr2bl w:val="nil"/>
            </w:tcBorders>
            <w:noWrap w:val="0"/>
            <w:vAlign w:val="center"/>
          </w:tcPr>
          <w:p w14:paraId="565801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r>
              <w:rPr>
                <w:rFonts w:hint="default" w:ascii="Times New Roman" w:hAnsi="Times New Roman" w:eastAsia="宋体" w:cs="Times New Roman"/>
                <w:caps w:val="0"/>
                <w:snapToGrid/>
                <w:color w:val="auto"/>
                <w:spacing w:val="0"/>
                <w:w w:val="100"/>
                <w:kern w:val="0"/>
                <w:position w:val="0"/>
                <w:sz w:val="21"/>
                <w:szCs w:val="21"/>
                <w:highlight w:val="none"/>
              </w:rPr>
              <w:t>250</w:t>
            </w:r>
          </w:p>
        </w:tc>
        <w:tc>
          <w:tcPr>
            <w:tcW w:w="581" w:type="pct"/>
            <w:tcBorders>
              <w:tl2br w:val="nil"/>
              <w:tr2bl w:val="nil"/>
            </w:tcBorders>
            <w:noWrap w:val="0"/>
            <w:vAlign w:val="center"/>
          </w:tcPr>
          <w:p w14:paraId="34A6D5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5399</w:t>
            </w:r>
          </w:p>
        </w:tc>
        <w:tc>
          <w:tcPr>
            <w:tcW w:w="389" w:type="pct"/>
            <w:tcBorders>
              <w:tl2br w:val="nil"/>
              <w:tr2bl w:val="nil"/>
            </w:tcBorders>
            <w:noWrap w:val="0"/>
            <w:vAlign w:val="center"/>
          </w:tcPr>
          <w:p w14:paraId="2834C5D8">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21.60</w:t>
            </w:r>
          </w:p>
        </w:tc>
        <w:tc>
          <w:tcPr>
            <w:tcW w:w="581" w:type="pct"/>
            <w:tcBorders>
              <w:tl2br w:val="nil"/>
              <w:tr2bl w:val="nil"/>
            </w:tcBorders>
            <w:noWrap w:val="0"/>
            <w:vAlign w:val="center"/>
          </w:tcPr>
          <w:p w14:paraId="49DEAC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i w:val="0"/>
                <w:iCs w:val="0"/>
                <w:snapToGrid/>
                <w:color w:val="auto"/>
                <w:spacing w:val="0"/>
                <w:kern w:val="0"/>
                <w:position w:val="0"/>
                <w:sz w:val="21"/>
                <w:szCs w:val="21"/>
                <w:highlight w:val="none"/>
                <w:u w:val="none"/>
                <w:lang w:val="en-US" w:eastAsia="zh-CN" w:bidi="ar"/>
              </w:rPr>
              <w:t>2820</w:t>
            </w:r>
          </w:p>
        </w:tc>
        <w:tc>
          <w:tcPr>
            <w:tcW w:w="389" w:type="pct"/>
            <w:tcBorders>
              <w:tl2br w:val="nil"/>
              <w:tr2bl w:val="nil"/>
            </w:tcBorders>
            <w:noWrap w:val="0"/>
            <w:vAlign w:val="center"/>
          </w:tcPr>
          <w:p w14:paraId="2DECF332">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11.28</w:t>
            </w:r>
          </w:p>
        </w:tc>
        <w:tc>
          <w:tcPr>
            <w:tcW w:w="581" w:type="pct"/>
            <w:tcBorders>
              <w:tl2br w:val="nil"/>
              <w:tr2bl w:val="nil"/>
            </w:tcBorders>
            <w:noWrap w:val="0"/>
            <w:vAlign w:val="center"/>
          </w:tcPr>
          <w:p w14:paraId="041B18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i w:val="0"/>
                <w:iCs w:val="0"/>
                <w:snapToGrid/>
                <w:color w:val="auto"/>
                <w:spacing w:val="0"/>
                <w:kern w:val="0"/>
                <w:position w:val="0"/>
                <w:sz w:val="21"/>
                <w:szCs w:val="21"/>
                <w:highlight w:val="none"/>
                <w:u w:val="none"/>
                <w:lang w:val="en-US" w:eastAsia="zh-CN" w:bidi="ar"/>
              </w:rPr>
              <w:t>4072</w:t>
            </w:r>
          </w:p>
        </w:tc>
        <w:tc>
          <w:tcPr>
            <w:tcW w:w="389" w:type="pct"/>
            <w:tcBorders>
              <w:tl2br w:val="nil"/>
              <w:tr2bl w:val="nil"/>
            </w:tcBorders>
            <w:noWrap w:val="0"/>
            <w:vAlign w:val="center"/>
          </w:tcPr>
          <w:p w14:paraId="3742308C">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16.29</w:t>
            </w:r>
          </w:p>
        </w:tc>
      </w:tr>
      <w:tr w14:paraId="31C194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08" w:type="dxa"/>
            <w:bottom w:w="15" w:type="dxa"/>
            <w:right w:w="108" w:type="dxa"/>
          </w:tblCellMar>
        </w:tblPrEx>
        <w:trPr>
          <w:trHeight w:val="318" w:hRule="atLeast"/>
        </w:trPr>
        <w:tc>
          <w:tcPr>
            <w:tcW w:w="285" w:type="pct"/>
            <w:tcBorders>
              <w:tl2br w:val="nil"/>
              <w:tr2bl w:val="nil"/>
            </w:tcBorders>
            <w:noWrap w:val="0"/>
            <w:vAlign w:val="center"/>
          </w:tcPr>
          <w:p w14:paraId="651F3643">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559" w:type="pct"/>
            <w:tcBorders>
              <w:tl2br w:val="nil"/>
              <w:tr2bl w:val="nil"/>
            </w:tcBorders>
            <w:noWrap w:val="0"/>
            <w:vAlign w:val="center"/>
          </w:tcPr>
          <w:p w14:paraId="4DD0AD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氯化物</w:t>
            </w:r>
          </w:p>
        </w:tc>
        <w:tc>
          <w:tcPr>
            <w:tcW w:w="756" w:type="pct"/>
            <w:tcBorders>
              <w:tl2br w:val="nil"/>
              <w:tr2bl w:val="nil"/>
            </w:tcBorders>
            <w:noWrap w:val="0"/>
            <w:vAlign w:val="center"/>
          </w:tcPr>
          <w:p w14:paraId="36594A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mg/L</w:t>
            </w:r>
          </w:p>
        </w:tc>
        <w:tc>
          <w:tcPr>
            <w:tcW w:w="483" w:type="pct"/>
            <w:tcBorders>
              <w:tl2br w:val="nil"/>
              <w:tr2bl w:val="nil"/>
            </w:tcBorders>
            <w:noWrap w:val="0"/>
            <w:vAlign w:val="center"/>
          </w:tcPr>
          <w:p w14:paraId="21E301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r>
              <w:rPr>
                <w:rFonts w:hint="default" w:ascii="Times New Roman" w:hAnsi="Times New Roman" w:eastAsia="宋体" w:cs="Times New Roman"/>
                <w:caps w:val="0"/>
                <w:snapToGrid/>
                <w:color w:val="auto"/>
                <w:spacing w:val="0"/>
                <w:w w:val="100"/>
                <w:kern w:val="0"/>
                <w:position w:val="0"/>
                <w:sz w:val="21"/>
                <w:szCs w:val="21"/>
                <w:highlight w:val="none"/>
              </w:rPr>
              <w:t>250</w:t>
            </w:r>
          </w:p>
        </w:tc>
        <w:tc>
          <w:tcPr>
            <w:tcW w:w="581" w:type="pct"/>
            <w:tcBorders>
              <w:tl2br w:val="nil"/>
              <w:tr2bl w:val="nil"/>
            </w:tcBorders>
            <w:noWrap w:val="0"/>
            <w:vAlign w:val="center"/>
          </w:tcPr>
          <w:p w14:paraId="4E6BEE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b w:val="0"/>
                <w:i w:val="0"/>
                <w:snapToGrid/>
                <w:color w:val="auto"/>
                <w:spacing w:val="0"/>
                <w:kern w:val="0"/>
                <w:position w:val="0"/>
                <w:sz w:val="21"/>
                <w:highlight w:val="none"/>
                <w:lang w:val="en-US" w:eastAsia="zh-CN"/>
              </w:rPr>
              <w:t>4399</w:t>
            </w:r>
          </w:p>
        </w:tc>
        <w:tc>
          <w:tcPr>
            <w:tcW w:w="389" w:type="pct"/>
            <w:tcBorders>
              <w:tl2br w:val="nil"/>
              <w:tr2bl w:val="nil"/>
            </w:tcBorders>
            <w:noWrap w:val="0"/>
            <w:vAlign w:val="center"/>
          </w:tcPr>
          <w:p w14:paraId="13582966">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17.60</w:t>
            </w:r>
          </w:p>
        </w:tc>
        <w:tc>
          <w:tcPr>
            <w:tcW w:w="581" w:type="pct"/>
            <w:tcBorders>
              <w:tl2br w:val="nil"/>
              <w:tr2bl w:val="nil"/>
            </w:tcBorders>
            <w:noWrap w:val="0"/>
            <w:vAlign w:val="center"/>
          </w:tcPr>
          <w:p w14:paraId="7F2B49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i w:val="0"/>
                <w:iCs w:val="0"/>
                <w:snapToGrid/>
                <w:color w:val="auto"/>
                <w:spacing w:val="0"/>
                <w:kern w:val="0"/>
                <w:position w:val="0"/>
                <w:sz w:val="21"/>
                <w:szCs w:val="21"/>
                <w:highlight w:val="none"/>
                <w:u w:val="none"/>
                <w:lang w:val="en-US" w:eastAsia="zh-CN" w:bidi="ar"/>
              </w:rPr>
              <w:t>4470</w:t>
            </w:r>
          </w:p>
        </w:tc>
        <w:tc>
          <w:tcPr>
            <w:tcW w:w="389" w:type="pct"/>
            <w:tcBorders>
              <w:tl2br w:val="nil"/>
              <w:tr2bl w:val="nil"/>
            </w:tcBorders>
            <w:noWrap w:val="0"/>
            <w:vAlign w:val="center"/>
          </w:tcPr>
          <w:p w14:paraId="033F041E">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17.88</w:t>
            </w:r>
          </w:p>
        </w:tc>
        <w:tc>
          <w:tcPr>
            <w:tcW w:w="581" w:type="pct"/>
            <w:tcBorders>
              <w:tl2br w:val="nil"/>
              <w:tr2bl w:val="nil"/>
            </w:tcBorders>
            <w:noWrap w:val="0"/>
            <w:vAlign w:val="center"/>
          </w:tcPr>
          <w:p w14:paraId="73060D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i w:val="0"/>
                <w:iCs w:val="0"/>
                <w:snapToGrid/>
                <w:color w:val="auto"/>
                <w:spacing w:val="0"/>
                <w:kern w:val="0"/>
                <w:position w:val="0"/>
                <w:sz w:val="21"/>
                <w:szCs w:val="21"/>
                <w:highlight w:val="none"/>
                <w:u w:val="none"/>
                <w:lang w:val="en-US" w:eastAsia="zh-CN" w:bidi="ar"/>
              </w:rPr>
              <w:t>7333</w:t>
            </w:r>
          </w:p>
        </w:tc>
        <w:tc>
          <w:tcPr>
            <w:tcW w:w="389" w:type="pct"/>
            <w:tcBorders>
              <w:tl2br w:val="nil"/>
              <w:tr2bl w:val="nil"/>
            </w:tcBorders>
            <w:noWrap w:val="0"/>
            <w:vAlign w:val="center"/>
          </w:tcPr>
          <w:p w14:paraId="2276246D">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29.33</w:t>
            </w:r>
          </w:p>
        </w:tc>
      </w:tr>
      <w:tr w14:paraId="6A6E75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08" w:type="dxa"/>
            <w:bottom w:w="15" w:type="dxa"/>
            <w:right w:w="108" w:type="dxa"/>
          </w:tblCellMar>
        </w:tblPrEx>
        <w:trPr>
          <w:trHeight w:val="231" w:hRule="atLeast"/>
        </w:trPr>
        <w:tc>
          <w:tcPr>
            <w:tcW w:w="285" w:type="pct"/>
            <w:tcBorders>
              <w:tl2br w:val="nil"/>
              <w:tr2bl w:val="nil"/>
            </w:tcBorders>
            <w:noWrap w:val="0"/>
            <w:vAlign w:val="center"/>
          </w:tcPr>
          <w:p w14:paraId="21D5C9B4">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6</w:t>
            </w:r>
          </w:p>
        </w:tc>
        <w:tc>
          <w:tcPr>
            <w:tcW w:w="559" w:type="pct"/>
            <w:tcBorders>
              <w:tl2br w:val="nil"/>
              <w:tr2bl w:val="nil"/>
            </w:tcBorders>
            <w:noWrap w:val="0"/>
            <w:vAlign w:val="center"/>
          </w:tcPr>
          <w:p w14:paraId="64A255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铁</w:t>
            </w:r>
          </w:p>
        </w:tc>
        <w:tc>
          <w:tcPr>
            <w:tcW w:w="756" w:type="pct"/>
            <w:tcBorders>
              <w:tl2br w:val="nil"/>
              <w:tr2bl w:val="nil"/>
            </w:tcBorders>
            <w:noWrap w:val="0"/>
            <w:vAlign w:val="center"/>
          </w:tcPr>
          <w:p w14:paraId="65E55C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mg/L</w:t>
            </w:r>
          </w:p>
        </w:tc>
        <w:tc>
          <w:tcPr>
            <w:tcW w:w="483" w:type="pct"/>
            <w:tcBorders>
              <w:tl2br w:val="nil"/>
              <w:tr2bl w:val="nil"/>
            </w:tcBorders>
            <w:noWrap w:val="0"/>
            <w:vAlign w:val="center"/>
          </w:tcPr>
          <w:p w14:paraId="2931AA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r>
              <w:rPr>
                <w:rFonts w:hint="default" w:ascii="Times New Roman" w:hAnsi="Times New Roman" w:eastAsia="宋体" w:cs="Times New Roman"/>
                <w:caps w:val="0"/>
                <w:snapToGrid/>
                <w:color w:val="auto"/>
                <w:spacing w:val="0"/>
                <w:w w:val="100"/>
                <w:kern w:val="0"/>
                <w:position w:val="0"/>
                <w:sz w:val="21"/>
                <w:szCs w:val="21"/>
                <w:highlight w:val="none"/>
              </w:rPr>
              <w:t>0.3</w:t>
            </w:r>
          </w:p>
        </w:tc>
        <w:tc>
          <w:tcPr>
            <w:tcW w:w="581" w:type="pct"/>
            <w:tcBorders>
              <w:tl2br w:val="nil"/>
              <w:tr2bl w:val="nil"/>
            </w:tcBorders>
            <w:noWrap w:val="0"/>
            <w:vAlign w:val="center"/>
          </w:tcPr>
          <w:p w14:paraId="474065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0.02</w:t>
            </w: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L</w:t>
            </w:r>
          </w:p>
        </w:tc>
        <w:tc>
          <w:tcPr>
            <w:tcW w:w="389" w:type="pct"/>
            <w:tcBorders>
              <w:tl2br w:val="nil"/>
              <w:tr2bl w:val="nil"/>
            </w:tcBorders>
            <w:noWrap w:val="0"/>
            <w:vAlign w:val="center"/>
          </w:tcPr>
          <w:p w14:paraId="1EF3F295">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0.03</w:t>
            </w:r>
          </w:p>
        </w:tc>
        <w:tc>
          <w:tcPr>
            <w:tcW w:w="581" w:type="pct"/>
            <w:tcBorders>
              <w:tl2br w:val="nil"/>
              <w:tr2bl w:val="nil"/>
            </w:tcBorders>
            <w:shd w:val="clear" w:color="auto" w:fill="auto"/>
            <w:noWrap w:val="0"/>
            <w:vAlign w:val="center"/>
          </w:tcPr>
          <w:p w14:paraId="2A92A7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eastAsia" w:cs="Times New Roman"/>
                <w:caps w:val="0"/>
                <w:snapToGrid/>
                <w:color w:val="auto"/>
                <w:spacing w:val="0"/>
                <w:w w:val="100"/>
                <w:kern w:val="0"/>
                <w:position w:val="0"/>
                <w:sz w:val="21"/>
                <w:szCs w:val="21"/>
                <w:highlight w:val="none"/>
                <w:lang w:val="en-US" w:eastAsia="zh-CN"/>
              </w:rPr>
              <w:t>0.02</w:t>
            </w: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L</w:t>
            </w:r>
          </w:p>
        </w:tc>
        <w:tc>
          <w:tcPr>
            <w:tcW w:w="389" w:type="pct"/>
            <w:tcBorders>
              <w:tl2br w:val="nil"/>
              <w:tr2bl w:val="nil"/>
            </w:tcBorders>
            <w:shd w:val="clear" w:color="auto" w:fill="auto"/>
            <w:noWrap w:val="0"/>
            <w:vAlign w:val="center"/>
          </w:tcPr>
          <w:p w14:paraId="0AA77287">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0.03</w:t>
            </w:r>
          </w:p>
        </w:tc>
        <w:tc>
          <w:tcPr>
            <w:tcW w:w="581" w:type="pct"/>
            <w:tcBorders>
              <w:tl2br w:val="nil"/>
              <w:tr2bl w:val="nil"/>
            </w:tcBorders>
            <w:shd w:val="clear" w:color="auto" w:fill="auto"/>
            <w:noWrap w:val="0"/>
            <w:vAlign w:val="center"/>
          </w:tcPr>
          <w:p w14:paraId="476B0C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eastAsia" w:cs="Times New Roman"/>
                <w:caps w:val="0"/>
                <w:snapToGrid/>
                <w:color w:val="auto"/>
                <w:spacing w:val="0"/>
                <w:w w:val="100"/>
                <w:kern w:val="0"/>
                <w:position w:val="0"/>
                <w:sz w:val="21"/>
                <w:szCs w:val="21"/>
                <w:highlight w:val="none"/>
                <w:lang w:val="en-US" w:eastAsia="zh-CN"/>
              </w:rPr>
              <w:t>0.02</w:t>
            </w: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L</w:t>
            </w:r>
          </w:p>
        </w:tc>
        <w:tc>
          <w:tcPr>
            <w:tcW w:w="389" w:type="pct"/>
            <w:tcBorders>
              <w:tl2br w:val="nil"/>
              <w:tr2bl w:val="nil"/>
            </w:tcBorders>
            <w:noWrap w:val="0"/>
            <w:vAlign w:val="center"/>
          </w:tcPr>
          <w:p w14:paraId="308BFBDB">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0.03</w:t>
            </w:r>
          </w:p>
        </w:tc>
      </w:tr>
      <w:tr w14:paraId="030C95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08" w:type="dxa"/>
            <w:bottom w:w="15" w:type="dxa"/>
            <w:right w:w="108" w:type="dxa"/>
          </w:tblCellMar>
        </w:tblPrEx>
        <w:trPr>
          <w:trHeight w:val="324" w:hRule="atLeast"/>
        </w:trPr>
        <w:tc>
          <w:tcPr>
            <w:tcW w:w="285" w:type="pct"/>
            <w:tcBorders>
              <w:tl2br w:val="nil"/>
              <w:tr2bl w:val="nil"/>
            </w:tcBorders>
            <w:noWrap w:val="0"/>
            <w:vAlign w:val="center"/>
          </w:tcPr>
          <w:p w14:paraId="6268EF24">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7</w:t>
            </w:r>
          </w:p>
        </w:tc>
        <w:tc>
          <w:tcPr>
            <w:tcW w:w="559" w:type="pct"/>
            <w:tcBorders>
              <w:tl2br w:val="nil"/>
              <w:tr2bl w:val="nil"/>
            </w:tcBorders>
            <w:noWrap w:val="0"/>
            <w:vAlign w:val="center"/>
          </w:tcPr>
          <w:p w14:paraId="0D42EB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锰</w:t>
            </w:r>
          </w:p>
        </w:tc>
        <w:tc>
          <w:tcPr>
            <w:tcW w:w="756" w:type="pct"/>
            <w:tcBorders>
              <w:tl2br w:val="nil"/>
              <w:tr2bl w:val="nil"/>
            </w:tcBorders>
            <w:noWrap w:val="0"/>
            <w:vAlign w:val="center"/>
          </w:tcPr>
          <w:p w14:paraId="5C8A8F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mg/L</w:t>
            </w:r>
          </w:p>
        </w:tc>
        <w:tc>
          <w:tcPr>
            <w:tcW w:w="483" w:type="pct"/>
            <w:tcBorders>
              <w:tl2br w:val="nil"/>
              <w:tr2bl w:val="nil"/>
            </w:tcBorders>
            <w:noWrap w:val="0"/>
            <w:vAlign w:val="center"/>
          </w:tcPr>
          <w:p w14:paraId="506BDF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r>
              <w:rPr>
                <w:rFonts w:hint="default" w:ascii="Times New Roman" w:hAnsi="Times New Roman" w:eastAsia="宋体" w:cs="Times New Roman"/>
                <w:caps w:val="0"/>
                <w:snapToGrid/>
                <w:color w:val="auto"/>
                <w:spacing w:val="0"/>
                <w:w w:val="100"/>
                <w:kern w:val="0"/>
                <w:position w:val="0"/>
                <w:sz w:val="21"/>
                <w:szCs w:val="21"/>
                <w:highlight w:val="none"/>
              </w:rPr>
              <w:t>0.10</w:t>
            </w:r>
          </w:p>
        </w:tc>
        <w:tc>
          <w:tcPr>
            <w:tcW w:w="581" w:type="pct"/>
            <w:tcBorders>
              <w:tl2br w:val="nil"/>
              <w:tr2bl w:val="nil"/>
            </w:tcBorders>
            <w:noWrap w:val="0"/>
            <w:vAlign w:val="center"/>
          </w:tcPr>
          <w:p w14:paraId="527F1C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0.0</w:t>
            </w:r>
            <w:r>
              <w:rPr>
                <w:rFonts w:hint="eastAsia" w:cs="Times New Roman"/>
                <w:caps w:val="0"/>
                <w:snapToGrid/>
                <w:color w:val="auto"/>
                <w:spacing w:val="0"/>
                <w:w w:val="100"/>
                <w:kern w:val="0"/>
                <w:position w:val="0"/>
                <w:sz w:val="21"/>
                <w:szCs w:val="21"/>
                <w:highlight w:val="none"/>
                <w:lang w:val="en-US" w:eastAsia="zh-CN"/>
              </w:rPr>
              <w:t>04</w:t>
            </w: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L</w:t>
            </w:r>
          </w:p>
        </w:tc>
        <w:tc>
          <w:tcPr>
            <w:tcW w:w="389" w:type="pct"/>
            <w:tcBorders>
              <w:tl2br w:val="nil"/>
              <w:tr2bl w:val="nil"/>
            </w:tcBorders>
            <w:noWrap w:val="0"/>
            <w:vAlign w:val="center"/>
          </w:tcPr>
          <w:p w14:paraId="4ADD5C99">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0.02</w:t>
            </w:r>
          </w:p>
        </w:tc>
        <w:tc>
          <w:tcPr>
            <w:tcW w:w="581" w:type="pct"/>
            <w:tcBorders>
              <w:tl2br w:val="nil"/>
              <w:tr2bl w:val="nil"/>
            </w:tcBorders>
            <w:shd w:val="clear" w:color="auto" w:fill="auto"/>
            <w:noWrap w:val="0"/>
            <w:vAlign w:val="center"/>
          </w:tcPr>
          <w:p w14:paraId="0E79A0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0.0</w:t>
            </w:r>
            <w:r>
              <w:rPr>
                <w:rFonts w:hint="eastAsia" w:cs="Times New Roman"/>
                <w:caps w:val="0"/>
                <w:snapToGrid/>
                <w:color w:val="auto"/>
                <w:spacing w:val="0"/>
                <w:w w:val="100"/>
                <w:kern w:val="0"/>
                <w:position w:val="0"/>
                <w:sz w:val="21"/>
                <w:szCs w:val="21"/>
                <w:highlight w:val="none"/>
                <w:lang w:val="en-US" w:eastAsia="zh-CN"/>
              </w:rPr>
              <w:t>04</w:t>
            </w: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L</w:t>
            </w:r>
          </w:p>
        </w:tc>
        <w:tc>
          <w:tcPr>
            <w:tcW w:w="389" w:type="pct"/>
            <w:tcBorders>
              <w:tl2br w:val="nil"/>
              <w:tr2bl w:val="nil"/>
            </w:tcBorders>
            <w:shd w:val="clear" w:color="auto" w:fill="auto"/>
            <w:noWrap w:val="0"/>
            <w:vAlign w:val="center"/>
          </w:tcPr>
          <w:p w14:paraId="36918AEA">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0.02</w:t>
            </w:r>
          </w:p>
        </w:tc>
        <w:tc>
          <w:tcPr>
            <w:tcW w:w="581" w:type="pct"/>
            <w:tcBorders>
              <w:tl2br w:val="nil"/>
              <w:tr2bl w:val="nil"/>
            </w:tcBorders>
            <w:shd w:val="clear" w:color="auto" w:fill="auto"/>
            <w:noWrap w:val="0"/>
            <w:vAlign w:val="center"/>
          </w:tcPr>
          <w:p w14:paraId="46C1D7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0.0</w:t>
            </w:r>
            <w:r>
              <w:rPr>
                <w:rFonts w:hint="eastAsia" w:cs="Times New Roman"/>
                <w:caps w:val="0"/>
                <w:snapToGrid/>
                <w:color w:val="auto"/>
                <w:spacing w:val="0"/>
                <w:w w:val="100"/>
                <w:kern w:val="0"/>
                <w:position w:val="0"/>
                <w:sz w:val="21"/>
                <w:szCs w:val="21"/>
                <w:highlight w:val="none"/>
                <w:lang w:val="en-US" w:eastAsia="zh-CN"/>
              </w:rPr>
              <w:t>04</w:t>
            </w: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L</w:t>
            </w:r>
          </w:p>
        </w:tc>
        <w:tc>
          <w:tcPr>
            <w:tcW w:w="389" w:type="pct"/>
            <w:tcBorders>
              <w:tl2br w:val="nil"/>
              <w:tr2bl w:val="nil"/>
            </w:tcBorders>
            <w:noWrap w:val="0"/>
            <w:vAlign w:val="center"/>
          </w:tcPr>
          <w:p w14:paraId="29BCB322">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0.02</w:t>
            </w:r>
          </w:p>
        </w:tc>
      </w:tr>
      <w:tr w14:paraId="29C0B0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08" w:type="dxa"/>
            <w:bottom w:w="15" w:type="dxa"/>
            <w:right w:w="108" w:type="dxa"/>
          </w:tblCellMar>
        </w:tblPrEx>
        <w:trPr>
          <w:trHeight w:val="352" w:hRule="atLeast"/>
        </w:trPr>
        <w:tc>
          <w:tcPr>
            <w:tcW w:w="285" w:type="pct"/>
            <w:tcBorders>
              <w:tl2br w:val="nil"/>
              <w:tr2bl w:val="nil"/>
            </w:tcBorders>
            <w:noWrap w:val="0"/>
            <w:vAlign w:val="center"/>
          </w:tcPr>
          <w:p w14:paraId="0DD269B3">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8</w:t>
            </w:r>
          </w:p>
        </w:tc>
        <w:tc>
          <w:tcPr>
            <w:tcW w:w="559" w:type="pct"/>
            <w:tcBorders>
              <w:tl2br w:val="nil"/>
              <w:tr2bl w:val="nil"/>
            </w:tcBorders>
            <w:noWrap w:val="0"/>
            <w:vAlign w:val="center"/>
          </w:tcPr>
          <w:p w14:paraId="761E17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挥发酚</w:t>
            </w:r>
          </w:p>
        </w:tc>
        <w:tc>
          <w:tcPr>
            <w:tcW w:w="756" w:type="pct"/>
            <w:tcBorders>
              <w:tl2br w:val="nil"/>
              <w:tr2bl w:val="nil"/>
            </w:tcBorders>
            <w:noWrap w:val="0"/>
            <w:vAlign w:val="center"/>
          </w:tcPr>
          <w:p w14:paraId="558AD6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mg/L</w:t>
            </w:r>
          </w:p>
        </w:tc>
        <w:tc>
          <w:tcPr>
            <w:tcW w:w="483" w:type="pct"/>
            <w:tcBorders>
              <w:tl2br w:val="nil"/>
              <w:tr2bl w:val="nil"/>
            </w:tcBorders>
            <w:noWrap w:val="0"/>
            <w:vAlign w:val="center"/>
          </w:tcPr>
          <w:p w14:paraId="6A9464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r>
              <w:rPr>
                <w:rFonts w:hint="default" w:ascii="Times New Roman" w:hAnsi="Times New Roman" w:eastAsia="宋体" w:cs="Times New Roman"/>
                <w:caps w:val="0"/>
                <w:snapToGrid/>
                <w:color w:val="auto"/>
                <w:spacing w:val="0"/>
                <w:w w:val="100"/>
                <w:kern w:val="0"/>
                <w:position w:val="0"/>
                <w:sz w:val="21"/>
                <w:szCs w:val="21"/>
                <w:highlight w:val="none"/>
              </w:rPr>
              <w:t>0.002</w:t>
            </w:r>
          </w:p>
        </w:tc>
        <w:tc>
          <w:tcPr>
            <w:tcW w:w="581" w:type="pct"/>
            <w:tcBorders>
              <w:tl2br w:val="nil"/>
              <w:tr2bl w:val="nil"/>
            </w:tcBorders>
            <w:noWrap w:val="0"/>
            <w:vAlign w:val="center"/>
          </w:tcPr>
          <w:p w14:paraId="22DBD5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b w:val="0"/>
                <w:i w:val="0"/>
                <w:snapToGrid/>
                <w:color w:val="auto"/>
                <w:spacing w:val="0"/>
                <w:kern w:val="0"/>
                <w:position w:val="0"/>
                <w:sz w:val="21"/>
                <w:highlight w:val="none"/>
                <w:lang w:eastAsia="zh-CN"/>
              </w:rPr>
              <w:t>0.0003L</w:t>
            </w:r>
          </w:p>
        </w:tc>
        <w:tc>
          <w:tcPr>
            <w:tcW w:w="389" w:type="pct"/>
            <w:tcBorders>
              <w:tl2br w:val="nil"/>
              <w:tr2bl w:val="nil"/>
            </w:tcBorders>
            <w:noWrap w:val="0"/>
            <w:vAlign w:val="center"/>
          </w:tcPr>
          <w:p w14:paraId="4A72E614">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0.08</w:t>
            </w:r>
          </w:p>
        </w:tc>
        <w:tc>
          <w:tcPr>
            <w:tcW w:w="581" w:type="pct"/>
            <w:tcBorders>
              <w:tl2br w:val="nil"/>
              <w:tr2bl w:val="nil"/>
            </w:tcBorders>
            <w:shd w:val="clear" w:color="auto" w:fill="auto"/>
            <w:noWrap w:val="0"/>
            <w:vAlign w:val="center"/>
          </w:tcPr>
          <w:p w14:paraId="769752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b w:val="0"/>
                <w:i w:val="0"/>
                <w:snapToGrid/>
                <w:color w:val="auto"/>
                <w:spacing w:val="0"/>
                <w:kern w:val="0"/>
                <w:position w:val="0"/>
                <w:sz w:val="21"/>
                <w:highlight w:val="none"/>
                <w:lang w:eastAsia="zh-CN"/>
              </w:rPr>
              <w:t>0.0003L</w:t>
            </w:r>
          </w:p>
        </w:tc>
        <w:tc>
          <w:tcPr>
            <w:tcW w:w="389" w:type="pct"/>
            <w:tcBorders>
              <w:tl2br w:val="nil"/>
              <w:tr2bl w:val="nil"/>
            </w:tcBorders>
            <w:shd w:val="clear" w:color="auto" w:fill="auto"/>
            <w:noWrap w:val="0"/>
            <w:vAlign w:val="center"/>
          </w:tcPr>
          <w:p w14:paraId="7C17B7CC">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0.08</w:t>
            </w:r>
          </w:p>
        </w:tc>
        <w:tc>
          <w:tcPr>
            <w:tcW w:w="581" w:type="pct"/>
            <w:tcBorders>
              <w:tl2br w:val="nil"/>
              <w:tr2bl w:val="nil"/>
            </w:tcBorders>
            <w:shd w:val="clear" w:color="auto" w:fill="auto"/>
            <w:noWrap w:val="0"/>
            <w:vAlign w:val="center"/>
          </w:tcPr>
          <w:p w14:paraId="5784FF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b w:val="0"/>
                <w:i w:val="0"/>
                <w:snapToGrid/>
                <w:color w:val="auto"/>
                <w:spacing w:val="0"/>
                <w:kern w:val="0"/>
                <w:position w:val="0"/>
                <w:sz w:val="21"/>
                <w:highlight w:val="none"/>
                <w:lang w:eastAsia="zh-CN"/>
              </w:rPr>
              <w:t>0.0003L</w:t>
            </w:r>
          </w:p>
        </w:tc>
        <w:tc>
          <w:tcPr>
            <w:tcW w:w="389" w:type="pct"/>
            <w:tcBorders>
              <w:tl2br w:val="nil"/>
              <w:tr2bl w:val="nil"/>
            </w:tcBorders>
            <w:noWrap w:val="0"/>
            <w:vAlign w:val="center"/>
          </w:tcPr>
          <w:p w14:paraId="3635A773">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0.08</w:t>
            </w:r>
          </w:p>
        </w:tc>
      </w:tr>
      <w:tr w14:paraId="00ABAC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08" w:type="dxa"/>
            <w:bottom w:w="15" w:type="dxa"/>
            <w:right w:w="108" w:type="dxa"/>
          </w:tblCellMar>
        </w:tblPrEx>
        <w:trPr>
          <w:trHeight w:val="337" w:hRule="atLeast"/>
        </w:trPr>
        <w:tc>
          <w:tcPr>
            <w:tcW w:w="285" w:type="pct"/>
            <w:tcBorders>
              <w:tl2br w:val="nil"/>
              <w:tr2bl w:val="nil"/>
            </w:tcBorders>
            <w:noWrap w:val="0"/>
            <w:vAlign w:val="center"/>
          </w:tcPr>
          <w:p w14:paraId="62E837D8">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9</w:t>
            </w:r>
          </w:p>
        </w:tc>
        <w:tc>
          <w:tcPr>
            <w:tcW w:w="559" w:type="pct"/>
            <w:tcBorders>
              <w:tl2br w:val="nil"/>
              <w:tr2bl w:val="nil"/>
            </w:tcBorders>
            <w:noWrap w:val="0"/>
            <w:vAlign w:val="center"/>
          </w:tcPr>
          <w:p w14:paraId="7C63EA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耗氧量</w:t>
            </w:r>
          </w:p>
        </w:tc>
        <w:tc>
          <w:tcPr>
            <w:tcW w:w="756" w:type="pct"/>
            <w:tcBorders>
              <w:tl2br w:val="nil"/>
              <w:tr2bl w:val="nil"/>
            </w:tcBorders>
            <w:noWrap w:val="0"/>
            <w:vAlign w:val="center"/>
          </w:tcPr>
          <w:p w14:paraId="0367A2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mg/L</w:t>
            </w:r>
          </w:p>
        </w:tc>
        <w:tc>
          <w:tcPr>
            <w:tcW w:w="483" w:type="pct"/>
            <w:tcBorders>
              <w:tl2br w:val="nil"/>
              <w:tr2bl w:val="nil"/>
            </w:tcBorders>
            <w:noWrap w:val="0"/>
            <w:vAlign w:val="center"/>
          </w:tcPr>
          <w:p w14:paraId="038A53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r>
              <w:rPr>
                <w:rFonts w:hint="default" w:ascii="Times New Roman" w:hAnsi="Times New Roman" w:eastAsia="宋体" w:cs="Times New Roman"/>
                <w:caps w:val="0"/>
                <w:snapToGrid/>
                <w:color w:val="auto"/>
                <w:spacing w:val="0"/>
                <w:w w:val="100"/>
                <w:kern w:val="0"/>
                <w:position w:val="0"/>
                <w:sz w:val="21"/>
                <w:szCs w:val="21"/>
                <w:highlight w:val="none"/>
              </w:rPr>
              <w:t>3</w:t>
            </w:r>
          </w:p>
        </w:tc>
        <w:tc>
          <w:tcPr>
            <w:tcW w:w="581" w:type="pct"/>
            <w:tcBorders>
              <w:tl2br w:val="nil"/>
              <w:tr2bl w:val="nil"/>
            </w:tcBorders>
            <w:noWrap w:val="0"/>
            <w:vAlign w:val="center"/>
          </w:tcPr>
          <w:p w14:paraId="7772BF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3.1</w:t>
            </w:r>
          </w:p>
        </w:tc>
        <w:tc>
          <w:tcPr>
            <w:tcW w:w="389" w:type="pct"/>
            <w:tcBorders>
              <w:tl2br w:val="nil"/>
              <w:tr2bl w:val="nil"/>
            </w:tcBorders>
            <w:noWrap w:val="0"/>
            <w:vAlign w:val="center"/>
          </w:tcPr>
          <w:p w14:paraId="2F066CF5">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1.03</w:t>
            </w:r>
          </w:p>
        </w:tc>
        <w:tc>
          <w:tcPr>
            <w:tcW w:w="581" w:type="pct"/>
            <w:tcBorders>
              <w:tl2br w:val="nil"/>
              <w:tr2bl w:val="nil"/>
            </w:tcBorders>
            <w:noWrap w:val="0"/>
            <w:vAlign w:val="center"/>
          </w:tcPr>
          <w:p w14:paraId="6D19AD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cs="Times New Roman"/>
                <w:i w:val="0"/>
                <w:iCs w:val="0"/>
                <w:snapToGrid/>
                <w:color w:val="auto"/>
                <w:spacing w:val="0"/>
                <w:kern w:val="0"/>
                <w:position w:val="0"/>
                <w:sz w:val="21"/>
                <w:szCs w:val="21"/>
                <w:highlight w:val="none"/>
                <w:u w:val="none"/>
                <w:lang w:val="en-US" w:eastAsia="zh-CN" w:bidi="ar"/>
              </w:rPr>
            </w:pPr>
            <w:r>
              <w:rPr>
                <w:rFonts w:hint="eastAsia" w:cs="Times New Roman"/>
                <w:i w:val="0"/>
                <w:iCs w:val="0"/>
                <w:snapToGrid/>
                <w:color w:val="auto"/>
                <w:spacing w:val="0"/>
                <w:kern w:val="0"/>
                <w:position w:val="0"/>
                <w:sz w:val="21"/>
                <w:szCs w:val="21"/>
                <w:highlight w:val="none"/>
                <w:u w:val="none"/>
                <w:lang w:val="en-US" w:eastAsia="zh-CN" w:bidi="ar"/>
              </w:rPr>
              <w:t>3.1</w:t>
            </w:r>
          </w:p>
        </w:tc>
        <w:tc>
          <w:tcPr>
            <w:tcW w:w="389" w:type="pct"/>
            <w:tcBorders>
              <w:tl2br w:val="nil"/>
              <w:tr2bl w:val="nil"/>
            </w:tcBorders>
            <w:noWrap w:val="0"/>
            <w:vAlign w:val="center"/>
          </w:tcPr>
          <w:p w14:paraId="57BF47A3">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1.03</w:t>
            </w:r>
          </w:p>
        </w:tc>
        <w:tc>
          <w:tcPr>
            <w:tcW w:w="581" w:type="pct"/>
            <w:tcBorders>
              <w:tl2br w:val="nil"/>
              <w:tr2bl w:val="nil"/>
            </w:tcBorders>
            <w:noWrap w:val="0"/>
            <w:vAlign w:val="center"/>
          </w:tcPr>
          <w:p w14:paraId="6543D1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i w:val="0"/>
                <w:iCs w:val="0"/>
                <w:snapToGrid/>
                <w:color w:val="auto"/>
                <w:spacing w:val="0"/>
                <w:kern w:val="0"/>
                <w:position w:val="0"/>
                <w:sz w:val="21"/>
                <w:szCs w:val="21"/>
                <w:highlight w:val="none"/>
                <w:u w:val="none"/>
                <w:lang w:val="en-US" w:eastAsia="zh-CN" w:bidi="ar"/>
              </w:rPr>
              <w:t>3.2</w:t>
            </w:r>
          </w:p>
        </w:tc>
        <w:tc>
          <w:tcPr>
            <w:tcW w:w="389" w:type="pct"/>
            <w:tcBorders>
              <w:tl2br w:val="nil"/>
              <w:tr2bl w:val="nil"/>
            </w:tcBorders>
            <w:noWrap w:val="0"/>
            <w:vAlign w:val="center"/>
          </w:tcPr>
          <w:p w14:paraId="2BBBE36A">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1.07</w:t>
            </w:r>
          </w:p>
        </w:tc>
      </w:tr>
      <w:tr w14:paraId="471A6A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08" w:type="dxa"/>
            <w:bottom w:w="15" w:type="dxa"/>
            <w:right w:w="108" w:type="dxa"/>
          </w:tblCellMar>
        </w:tblPrEx>
        <w:trPr>
          <w:trHeight w:val="324" w:hRule="atLeast"/>
        </w:trPr>
        <w:tc>
          <w:tcPr>
            <w:tcW w:w="285" w:type="pct"/>
            <w:tcBorders>
              <w:tl2br w:val="nil"/>
              <w:tr2bl w:val="nil"/>
            </w:tcBorders>
            <w:noWrap w:val="0"/>
            <w:vAlign w:val="center"/>
          </w:tcPr>
          <w:p w14:paraId="55FE3722">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10</w:t>
            </w:r>
          </w:p>
        </w:tc>
        <w:tc>
          <w:tcPr>
            <w:tcW w:w="559" w:type="pct"/>
            <w:tcBorders>
              <w:tl2br w:val="nil"/>
              <w:tr2bl w:val="nil"/>
            </w:tcBorders>
            <w:noWrap w:val="0"/>
            <w:vAlign w:val="center"/>
          </w:tcPr>
          <w:p w14:paraId="7BE592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氨氮</w:t>
            </w:r>
          </w:p>
        </w:tc>
        <w:tc>
          <w:tcPr>
            <w:tcW w:w="756" w:type="pct"/>
            <w:tcBorders>
              <w:tl2br w:val="nil"/>
              <w:tr2bl w:val="nil"/>
            </w:tcBorders>
            <w:noWrap w:val="0"/>
            <w:vAlign w:val="center"/>
          </w:tcPr>
          <w:p w14:paraId="08F9E7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mg/L</w:t>
            </w:r>
          </w:p>
        </w:tc>
        <w:tc>
          <w:tcPr>
            <w:tcW w:w="483" w:type="pct"/>
            <w:tcBorders>
              <w:tl2br w:val="nil"/>
              <w:tr2bl w:val="nil"/>
            </w:tcBorders>
            <w:noWrap w:val="0"/>
            <w:vAlign w:val="center"/>
          </w:tcPr>
          <w:p w14:paraId="2702BE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r>
              <w:rPr>
                <w:rFonts w:hint="default" w:ascii="Times New Roman" w:hAnsi="Times New Roman" w:eastAsia="宋体" w:cs="Times New Roman"/>
                <w:caps w:val="0"/>
                <w:snapToGrid/>
                <w:color w:val="auto"/>
                <w:spacing w:val="0"/>
                <w:w w:val="100"/>
                <w:kern w:val="0"/>
                <w:position w:val="0"/>
                <w:sz w:val="21"/>
                <w:szCs w:val="21"/>
                <w:highlight w:val="none"/>
              </w:rPr>
              <w:t>0.5</w:t>
            </w:r>
          </w:p>
        </w:tc>
        <w:tc>
          <w:tcPr>
            <w:tcW w:w="581" w:type="pct"/>
            <w:tcBorders>
              <w:tl2br w:val="nil"/>
              <w:tr2bl w:val="nil"/>
            </w:tcBorders>
            <w:noWrap w:val="0"/>
            <w:vAlign w:val="center"/>
          </w:tcPr>
          <w:p w14:paraId="1A7492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0.05</w:t>
            </w:r>
          </w:p>
        </w:tc>
        <w:tc>
          <w:tcPr>
            <w:tcW w:w="389" w:type="pct"/>
            <w:tcBorders>
              <w:tl2br w:val="nil"/>
              <w:tr2bl w:val="nil"/>
            </w:tcBorders>
            <w:noWrap w:val="0"/>
            <w:vAlign w:val="center"/>
          </w:tcPr>
          <w:p w14:paraId="6BF2822E">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0.10</w:t>
            </w:r>
          </w:p>
        </w:tc>
        <w:tc>
          <w:tcPr>
            <w:tcW w:w="581" w:type="pct"/>
            <w:tcBorders>
              <w:tl2br w:val="nil"/>
              <w:tr2bl w:val="nil"/>
            </w:tcBorders>
            <w:noWrap w:val="0"/>
            <w:vAlign w:val="center"/>
          </w:tcPr>
          <w:p w14:paraId="711CD4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i w:val="0"/>
                <w:iCs w:val="0"/>
                <w:snapToGrid/>
                <w:color w:val="auto"/>
                <w:spacing w:val="0"/>
                <w:kern w:val="0"/>
                <w:position w:val="0"/>
                <w:sz w:val="21"/>
                <w:szCs w:val="21"/>
                <w:highlight w:val="none"/>
                <w:u w:val="none"/>
                <w:lang w:val="en-US" w:eastAsia="zh-CN" w:bidi="ar"/>
              </w:rPr>
              <w:t>0.14</w:t>
            </w:r>
          </w:p>
        </w:tc>
        <w:tc>
          <w:tcPr>
            <w:tcW w:w="389" w:type="pct"/>
            <w:tcBorders>
              <w:tl2br w:val="nil"/>
              <w:tr2bl w:val="nil"/>
            </w:tcBorders>
            <w:noWrap w:val="0"/>
            <w:vAlign w:val="center"/>
          </w:tcPr>
          <w:p w14:paraId="6BD59C74">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0.28</w:t>
            </w:r>
          </w:p>
        </w:tc>
        <w:tc>
          <w:tcPr>
            <w:tcW w:w="581" w:type="pct"/>
            <w:tcBorders>
              <w:tl2br w:val="nil"/>
              <w:tr2bl w:val="nil"/>
            </w:tcBorders>
            <w:noWrap w:val="0"/>
            <w:vAlign w:val="center"/>
          </w:tcPr>
          <w:p w14:paraId="02966F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i w:val="0"/>
                <w:iCs w:val="0"/>
                <w:snapToGrid/>
                <w:color w:val="auto"/>
                <w:spacing w:val="0"/>
                <w:kern w:val="0"/>
                <w:position w:val="0"/>
                <w:sz w:val="21"/>
                <w:szCs w:val="21"/>
                <w:highlight w:val="none"/>
                <w:u w:val="none"/>
                <w:lang w:val="en-US" w:eastAsia="zh-CN" w:bidi="ar"/>
              </w:rPr>
              <w:t>0.08</w:t>
            </w:r>
          </w:p>
        </w:tc>
        <w:tc>
          <w:tcPr>
            <w:tcW w:w="389" w:type="pct"/>
            <w:tcBorders>
              <w:tl2br w:val="nil"/>
              <w:tr2bl w:val="nil"/>
            </w:tcBorders>
            <w:noWrap w:val="0"/>
            <w:vAlign w:val="center"/>
          </w:tcPr>
          <w:p w14:paraId="238DA8E3">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0.16</w:t>
            </w:r>
          </w:p>
        </w:tc>
      </w:tr>
      <w:tr w14:paraId="214685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08" w:type="dxa"/>
            <w:bottom w:w="15" w:type="dxa"/>
            <w:right w:w="108" w:type="dxa"/>
          </w:tblCellMar>
        </w:tblPrEx>
        <w:trPr>
          <w:trHeight w:val="241" w:hRule="atLeast"/>
        </w:trPr>
        <w:tc>
          <w:tcPr>
            <w:tcW w:w="285" w:type="pct"/>
            <w:tcBorders>
              <w:tl2br w:val="nil"/>
              <w:tr2bl w:val="nil"/>
            </w:tcBorders>
            <w:noWrap w:val="0"/>
            <w:vAlign w:val="center"/>
          </w:tcPr>
          <w:p w14:paraId="4863F2DE">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11</w:t>
            </w:r>
          </w:p>
        </w:tc>
        <w:tc>
          <w:tcPr>
            <w:tcW w:w="559" w:type="pct"/>
            <w:tcBorders>
              <w:tl2br w:val="nil"/>
              <w:tr2bl w:val="nil"/>
            </w:tcBorders>
            <w:noWrap w:val="0"/>
            <w:vAlign w:val="center"/>
          </w:tcPr>
          <w:p w14:paraId="2CED03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总大肠菌群</w:t>
            </w:r>
          </w:p>
        </w:tc>
        <w:tc>
          <w:tcPr>
            <w:tcW w:w="756" w:type="pct"/>
            <w:tcBorders>
              <w:tl2br w:val="nil"/>
              <w:tr2bl w:val="nil"/>
            </w:tcBorders>
            <w:noWrap w:val="0"/>
            <w:vAlign w:val="center"/>
          </w:tcPr>
          <w:p w14:paraId="7FAC6E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MPN/100mL</w:t>
            </w:r>
          </w:p>
        </w:tc>
        <w:tc>
          <w:tcPr>
            <w:tcW w:w="483" w:type="pct"/>
            <w:tcBorders>
              <w:tl2br w:val="nil"/>
              <w:tr2bl w:val="nil"/>
            </w:tcBorders>
            <w:noWrap w:val="0"/>
            <w:vAlign w:val="center"/>
          </w:tcPr>
          <w:p w14:paraId="1D21E2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r>
              <w:rPr>
                <w:rFonts w:hint="default" w:ascii="Times New Roman" w:hAnsi="Times New Roman" w:eastAsia="宋体" w:cs="Times New Roman"/>
                <w:caps w:val="0"/>
                <w:snapToGrid/>
                <w:color w:val="auto"/>
                <w:spacing w:val="0"/>
                <w:w w:val="100"/>
                <w:kern w:val="0"/>
                <w:position w:val="0"/>
                <w:sz w:val="21"/>
                <w:szCs w:val="21"/>
                <w:highlight w:val="none"/>
              </w:rPr>
              <w:t>3.0</w:t>
            </w:r>
          </w:p>
        </w:tc>
        <w:tc>
          <w:tcPr>
            <w:tcW w:w="581" w:type="pct"/>
            <w:tcBorders>
              <w:tl2br w:val="nil"/>
              <w:tr2bl w:val="nil"/>
            </w:tcBorders>
            <w:noWrap w:val="0"/>
            <w:vAlign w:val="center"/>
          </w:tcPr>
          <w:p w14:paraId="3474DE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eastAsia" w:cs="Times New Roman"/>
                <w:caps w:val="0"/>
                <w:snapToGrid/>
                <w:color w:val="auto"/>
                <w:spacing w:val="0"/>
                <w:w w:val="100"/>
                <w:kern w:val="0"/>
                <w:position w:val="0"/>
                <w:sz w:val="21"/>
                <w:szCs w:val="21"/>
                <w:highlight w:val="none"/>
                <w:lang w:val="en-US" w:eastAsia="zh-CN"/>
              </w:rPr>
              <w:t>未检出</w:t>
            </w:r>
          </w:p>
        </w:tc>
        <w:tc>
          <w:tcPr>
            <w:tcW w:w="389" w:type="pct"/>
            <w:tcBorders>
              <w:tl2br w:val="nil"/>
              <w:tr2bl w:val="nil"/>
            </w:tcBorders>
            <w:noWrap w:val="0"/>
            <w:vAlign w:val="center"/>
          </w:tcPr>
          <w:p w14:paraId="78FE5701">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c>
          <w:tcPr>
            <w:tcW w:w="581" w:type="pct"/>
            <w:tcBorders>
              <w:tl2br w:val="nil"/>
              <w:tr2bl w:val="nil"/>
            </w:tcBorders>
            <w:noWrap w:val="0"/>
            <w:vAlign w:val="center"/>
          </w:tcPr>
          <w:p w14:paraId="55E2B4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snapToGrid/>
                <w:color w:val="auto"/>
                <w:spacing w:val="0"/>
                <w:kern w:val="0"/>
                <w:position w:val="0"/>
                <w:sz w:val="21"/>
                <w:szCs w:val="21"/>
                <w:highlight w:val="none"/>
                <w:u w:val="none"/>
                <w:lang w:val="en-US" w:eastAsia="zh-CN" w:bidi="ar"/>
              </w:rPr>
              <w:t>未检出</w:t>
            </w:r>
          </w:p>
        </w:tc>
        <w:tc>
          <w:tcPr>
            <w:tcW w:w="389" w:type="pct"/>
            <w:tcBorders>
              <w:tl2br w:val="nil"/>
              <w:tr2bl w:val="nil"/>
            </w:tcBorders>
            <w:noWrap w:val="0"/>
            <w:vAlign w:val="center"/>
          </w:tcPr>
          <w:p w14:paraId="1E79145F">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c>
          <w:tcPr>
            <w:tcW w:w="581" w:type="pct"/>
            <w:tcBorders>
              <w:tl2br w:val="nil"/>
              <w:tr2bl w:val="nil"/>
            </w:tcBorders>
            <w:noWrap w:val="0"/>
            <w:vAlign w:val="center"/>
          </w:tcPr>
          <w:p w14:paraId="041DA4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snapToGrid/>
                <w:color w:val="auto"/>
                <w:spacing w:val="0"/>
                <w:kern w:val="0"/>
                <w:position w:val="0"/>
                <w:sz w:val="21"/>
                <w:szCs w:val="21"/>
                <w:highlight w:val="none"/>
                <w:u w:val="none"/>
                <w:lang w:val="en-US" w:eastAsia="zh-CN" w:bidi="ar"/>
              </w:rPr>
              <w:t>未检出</w:t>
            </w:r>
          </w:p>
        </w:tc>
        <w:tc>
          <w:tcPr>
            <w:tcW w:w="389" w:type="pct"/>
            <w:tcBorders>
              <w:tl2br w:val="nil"/>
              <w:tr2bl w:val="nil"/>
            </w:tcBorders>
            <w:noWrap w:val="0"/>
            <w:vAlign w:val="center"/>
          </w:tcPr>
          <w:p w14:paraId="0DFF1E03">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r>
      <w:tr w14:paraId="6213BF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08" w:type="dxa"/>
            <w:bottom w:w="15" w:type="dxa"/>
            <w:right w:w="108" w:type="dxa"/>
          </w:tblCellMar>
        </w:tblPrEx>
        <w:trPr>
          <w:trHeight w:val="434" w:hRule="atLeast"/>
        </w:trPr>
        <w:tc>
          <w:tcPr>
            <w:tcW w:w="285" w:type="pct"/>
            <w:tcBorders>
              <w:tl2br w:val="nil"/>
              <w:tr2bl w:val="nil"/>
            </w:tcBorders>
            <w:noWrap w:val="0"/>
            <w:vAlign w:val="center"/>
          </w:tcPr>
          <w:p w14:paraId="53C3CB5A">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12</w:t>
            </w:r>
          </w:p>
        </w:tc>
        <w:tc>
          <w:tcPr>
            <w:tcW w:w="559" w:type="pct"/>
            <w:tcBorders>
              <w:tl2br w:val="nil"/>
              <w:tr2bl w:val="nil"/>
            </w:tcBorders>
            <w:noWrap w:val="0"/>
            <w:vAlign w:val="center"/>
          </w:tcPr>
          <w:p w14:paraId="0539AD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硝酸盐氮</w:t>
            </w:r>
          </w:p>
        </w:tc>
        <w:tc>
          <w:tcPr>
            <w:tcW w:w="756" w:type="pct"/>
            <w:tcBorders>
              <w:tl2br w:val="nil"/>
              <w:tr2bl w:val="nil"/>
            </w:tcBorders>
            <w:noWrap w:val="0"/>
            <w:vAlign w:val="center"/>
          </w:tcPr>
          <w:p w14:paraId="72E4A0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mg/L</w:t>
            </w:r>
          </w:p>
        </w:tc>
        <w:tc>
          <w:tcPr>
            <w:tcW w:w="483" w:type="pct"/>
            <w:tcBorders>
              <w:tl2br w:val="nil"/>
              <w:tr2bl w:val="nil"/>
            </w:tcBorders>
            <w:noWrap w:val="0"/>
            <w:vAlign w:val="center"/>
          </w:tcPr>
          <w:p w14:paraId="3B14D4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r>
              <w:rPr>
                <w:rFonts w:hint="default" w:ascii="Times New Roman" w:hAnsi="Times New Roman" w:eastAsia="宋体" w:cs="Times New Roman"/>
                <w:caps w:val="0"/>
                <w:snapToGrid/>
                <w:color w:val="auto"/>
                <w:spacing w:val="0"/>
                <w:w w:val="100"/>
                <w:kern w:val="0"/>
                <w:position w:val="0"/>
                <w:sz w:val="21"/>
                <w:szCs w:val="21"/>
                <w:highlight w:val="none"/>
              </w:rPr>
              <w:t>20.0</w:t>
            </w:r>
          </w:p>
        </w:tc>
        <w:tc>
          <w:tcPr>
            <w:tcW w:w="581" w:type="pct"/>
            <w:tcBorders>
              <w:tl2br w:val="nil"/>
              <w:tr2bl w:val="nil"/>
            </w:tcBorders>
            <w:noWrap w:val="0"/>
            <w:vAlign w:val="center"/>
          </w:tcPr>
          <w:p w14:paraId="1CA3DE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0.</w:t>
            </w:r>
            <w:r>
              <w:rPr>
                <w:rFonts w:hint="eastAsia" w:cs="Times New Roman"/>
                <w:caps w:val="0"/>
                <w:snapToGrid/>
                <w:color w:val="auto"/>
                <w:spacing w:val="0"/>
                <w:w w:val="100"/>
                <w:kern w:val="0"/>
                <w:position w:val="0"/>
                <w:sz w:val="21"/>
                <w:szCs w:val="21"/>
                <w:highlight w:val="none"/>
                <w:lang w:val="en-US" w:eastAsia="zh-CN"/>
              </w:rPr>
              <w:t>30</w:t>
            </w:r>
          </w:p>
        </w:tc>
        <w:tc>
          <w:tcPr>
            <w:tcW w:w="389" w:type="pct"/>
            <w:tcBorders>
              <w:tl2br w:val="nil"/>
              <w:tr2bl w:val="nil"/>
            </w:tcBorders>
            <w:noWrap w:val="0"/>
            <w:vAlign w:val="center"/>
          </w:tcPr>
          <w:p w14:paraId="487D5574">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0.02</w:t>
            </w:r>
          </w:p>
        </w:tc>
        <w:tc>
          <w:tcPr>
            <w:tcW w:w="581" w:type="pct"/>
            <w:tcBorders>
              <w:tl2br w:val="nil"/>
              <w:tr2bl w:val="nil"/>
            </w:tcBorders>
            <w:shd w:val="clear" w:color="auto" w:fill="auto"/>
            <w:noWrap w:val="0"/>
            <w:vAlign w:val="center"/>
          </w:tcPr>
          <w:p w14:paraId="5DC183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eastAsia" w:cs="Times New Roman"/>
                <w:i w:val="0"/>
                <w:iCs w:val="0"/>
                <w:snapToGrid/>
                <w:color w:val="auto"/>
                <w:spacing w:val="0"/>
                <w:kern w:val="0"/>
                <w:position w:val="0"/>
                <w:sz w:val="21"/>
                <w:szCs w:val="21"/>
                <w:highlight w:val="none"/>
                <w:u w:val="none"/>
                <w:lang w:val="en-US" w:eastAsia="zh-CN" w:bidi="ar"/>
              </w:rPr>
              <w:t>0.29</w:t>
            </w:r>
          </w:p>
        </w:tc>
        <w:tc>
          <w:tcPr>
            <w:tcW w:w="389" w:type="pct"/>
            <w:tcBorders>
              <w:tl2br w:val="nil"/>
              <w:tr2bl w:val="nil"/>
            </w:tcBorders>
            <w:shd w:val="clear" w:color="auto" w:fill="auto"/>
            <w:noWrap w:val="0"/>
            <w:vAlign w:val="center"/>
          </w:tcPr>
          <w:p w14:paraId="3C1130DD">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0.01</w:t>
            </w:r>
          </w:p>
        </w:tc>
        <w:tc>
          <w:tcPr>
            <w:tcW w:w="581" w:type="pct"/>
            <w:tcBorders>
              <w:tl2br w:val="nil"/>
              <w:tr2bl w:val="nil"/>
            </w:tcBorders>
            <w:shd w:val="clear" w:color="auto" w:fill="auto"/>
            <w:noWrap w:val="0"/>
            <w:vAlign w:val="center"/>
          </w:tcPr>
          <w:p w14:paraId="62F72F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i w:val="0"/>
                <w:iCs w:val="0"/>
                <w:snapToGrid/>
                <w:color w:val="auto"/>
                <w:spacing w:val="0"/>
                <w:kern w:val="0"/>
                <w:position w:val="0"/>
                <w:sz w:val="21"/>
                <w:szCs w:val="21"/>
                <w:highlight w:val="none"/>
                <w:u w:val="none"/>
                <w:lang w:val="en-US" w:eastAsia="zh-CN" w:bidi="ar"/>
              </w:rPr>
              <w:t>0.</w:t>
            </w:r>
            <w:r>
              <w:rPr>
                <w:rFonts w:hint="eastAsia" w:cs="Times New Roman"/>
                <w:i w:val="0"/>
                <w:iCs w:val="0"/>
                <w:snapToGrid/>
                <w:color w:val="auto"/>
                <w:spacing w:val="0"/>
                <w:kern w:val="0"/>
                <w:position w:val="0"/>
                <w:sz w:val="21"/>
                <w:szCs w:val="21"/>
                <w:highlight w:val="none"/>
                <w:u w:val="none"/>
                <w:lang w:val="en-US" w:eastAsia="zh-CN" w:bidi="ar"/>
              </w:rPr>
              <w:t>31</w:t>
            </w:r>
          </w:p>
        </w:tc>
        <w:tc>
          <w:tcPr>
            <w:tcW w:w="389" w:type="pct"/>
            <w:tcBorders>
              <w:tl2br w:val="nil"/>
              <w:tr2bl w:val="nil"/>
            </w:tcBorders>
            <w:noWrap w:val="0"/>
            <w:vAlign w:val="center"/>
          </w:tcPr>
          <w:p w14:paraId="44F5958F">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0.02</w:t>
            </w:r>
          </w:p>
        </w:tc>
      </w:tr>
      <w:tr w14:paraId="7E0A56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08" w:type="dxa"/>
            <w:bottom w:w="15" w:type="dxa"/>
            <w:right w:w="108" w:type="dxa"/>
          </w:tblCellMar>
        </w:tblPrEx>
        <w:trPr>
          <w:trHeight w:val="307" w:hRule="atLeast"/>
        </w:trPr>
        <w:tc>
          <w:tcPr>
            <w:tcW w:w="285" w:type="pct"/>
            <w:tcBorders>
              <w:tl2br w:val="nil"/>
              <w:tr2bl w:val="nil"/>
            </w:tcBorders>
            <w:noWrap w:val="0"/>
            <w:vAlign w:val="center"/>
          </w:tcPr>
          <w:p w14:paraId="276EEE24">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13</w:t>
            </w:r>
          </w:p>
        </w:tc>
        <w:tc>
          <w:tcPr>
            <w:tcW w:w="559" w:type="pct"/>
            <w:tcBorders>
              <w:tl2br w:val="nil"/>
              <w:tr2bl w:val="nil"/>
            </w:tcBorders>
            <w:noWrap w:val="0"/>
            <w:vAlign w:val="center"/>
          </w:tcPr>
          <w:p w14:paraId="6B060A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亚硝酸盐氮</w:t>
            </w:r>
          </w:p>
        </w:tc>
        <w:tc>
          <w:tcPr>
            <w:tcW w:w="756" w:type="pct"/>
            <w:tcBorders>
              <w:tl2br w:val="nil"/>
              <w:tr2bl w:val="nil"/>
            </w:tcBorders>
            <w:noWrap w:val="0"/>
            <w:vAlign w:val="center"/>
          </w:tcPr>
          <w:p w14:paraId="781B2E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mg/L</w:t>
            </w:r>
          </w:p>
        </w:tc>
        <w:tc>
          <w:tcPr>
            <w:tcW w:w="483" w:type="pct"/>
            <w:tcBorders>
              <w:tl2br w:val="nil"/>
              <w:tr2bl w:val="nil"/>
            </w:tcBorders>
            <w:noWrap w:val="0"/>
            <w:vAlign w:val="center"/>
          </w:tcPr>
          <w:p w14:paraId="6D3636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r>
              <w:rPr>
                <w:rFonts w:hint="default" w:ascii="Times New Roman" w:hAnsi="Times New Roman" w:eastAsia="宋体" w:cs="Times New Roman"/>
                <w:caps w:val="0"/>
                <w:snapToGrid/>
                <w:color w:val="auto"/>
                <w:spacing w:val="0"/>
                <w:w w:val="100"/>
                <w:kern w:val="0"/>
                <w:position w:val="0"/>
                <w:sz w:val="21"/>
                <w:szCs w:val="21"/>
                <w:highlight w:val="none"/>
              </w:rPr>
              <w:t>1.00</w:t>
            </w:r>
          </w:p>
        </w:tc>
        <w:tc>
          <w:tcPr>
            <w:tcW w:w="581" w:type="pct"/>
            <w:tcBorders>
              <w:tl2br w:val="nil"/>
              <w:tr2bl w:val="nil"/>
            </w:tcBorders>
            <w:noWrap w:val="0"/>
            <w:vAlign w:val="center"/>
          </w:tcPr>
          <w:p w14:paraId="288E51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0.003L</w:t>
            </w:r>
          </w:p>
        </w:tc>
        <w:tc>
          <w:tcPr>
            <w:tcW w:w="389" w:type="pct"/>
            <w:tcBorders>
              <w:tl2br w:val="nil"/>
              <w:tr2bl w:val="nil"/>
            </w:tcBorders>
            <w:noWrap w:val="0"/>
            <w:vAlign w:val="center"/>
          </w:tcPr>
          <w:p w14:paraId="36C734A0">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0.00</w:t>
            </w:r>
          </w:p>
        </w:tc>
        <w:tc>
          <w:tcPr>
            <w:tcW w:w="581" w:type="pct"/>
            <w:tcBorders>
              <w:tl2br w:val="nil"/>
              <w:tr2bl w:val="nil"/>
            </w:tcBorders>
            <w:shd w:val="clear" w:color="auto" w:fill="auto"/>
            <w:noWrap w:val="0"/>
            <w:vAlign w:val="center"/>
          </w:tcPr>
          <w:p w14:paraId="36651F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0.003L</w:t>
            </w:r>
          </w:p>
        </w:tc>
        <w:tc>
          <w:tcPr>
            <w:tcW w:w="389" w:type="pct"/>
            <w:tcBorders>
              <w:tl2br w:val="nil"/>
              <w:tr2bl w:val="nil"/>
            </w:tcBorders>
            <w:shd w:val="clear" w:color="auto" w:fill="auto"/>
            <w:noWrap w:val="0"/>
            <w:vAlign w:val="center"/>
          </w:tcPr>
          <w:p w14:paraId="5D9C4C82">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0.00</w:t>
            </w:r>
          </w:p>
        </w:tc>
        <w:tc>
          <w:tcPr>
            <w:tcW w:w="581" w:type="pct"/>
            <w:tcBorders>
              <w:tl2br w:val="nil"/>
              <w:tr2bl w:val="nil"/>
            </w:tcBorders>
            <w:shd w:val="clear" w:color="auto" w:fill="auto"/>
            <w:noWrap w:val="0"/>
            <w:vAlign w:val="center"/>
          </w:tcPr>
          <w:p w14:paraId="1EF194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0.003L</w:t>
            </w:r>
          </w:p>
        </w:tc>
        <w:tc>
          <w:tcPr>
            <w:tcW w:w="389" w:type="pct"/>
            <w:tcBorders>
              <w:tl2br w:val="nil"/>
              <w:tr2bl w:val="nil"/>
            </w:tcBorders>
            <w:noWrap w:val="0"/>
            <w:vAlign w:val="center"/>
          </w:tcPr>
          <w:p w14:paraId="4EDAD7FD">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0.00</w:t>
            </w:r>
          </w:p>
        </w:tc>
      </w:tr>
      <w:tr w14:paraId="0DED85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08" w:type="dxa"/>
            <w:bottom w:w="15" w:type="dxa"/>
            <w:right w:w="108" w:type="dxa"/>
          </w:tblCellMar>
        </w:tblPrEx>
        <w:trPr>
          <w:trHeight w:val="284" w:hRule="atLeast"/>
        </w:trPr>
        <w:tc>
          <w:tcPr>
            <w:tcW w:w="285" w:type="pct"/>
            <w:tcBorders>
              <w:tl2br w:val="nil"/>
              <w:tr2bl w:val="nil"/>
            </w:tcBorders>
            <w:noWrap w:val="0"/>
            <w:vAlign w:val="center"/>
          </w:tcPr>
          <w:p w14:paraId="41EC899E">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14</w:t>
            </w:r>
          </w:p>
        </w:tc>
        <w:tc>
          <w:tcPr>
            <w:tcW w:w="559" w:type="pct"/>
            <w:tcBorders>
              <w:tl2br w:val="nil"/>
              <w:tr2bl w:val="nil"/>
            </w:tcBorders>
            <w:noWrap w:val="0"/>
            <w:vAlign w:val="center"/>
          </w:tcPr>
          <w:p w14:paraId="23D010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氰化物</w:t>
            </w:r>
          </w:p>
        </w:tc>
        <w:tc>
          <w:tcPr>
            <w:tcW w:w="756" w:type="pct"/>
            <w:tcBorders>
              <w:tl2br w:val="nil"/>
              <w:tr2bl w:val="nil"/>
            </w:tcBorders>
            <w:noWrap w:val="0"/>
            <w:vAlign w:val="center"/>
          </w:tcPr>
          <w:p w14:paraId="264DC2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mg/L</w:t>
            </w:r>
          </w:p>
        </w:tc>
        <w:tc>
          <w:tcPr>
            <w:tcW w:w="483" w:type="pct"/>
            <w:tcBorders>
              <w:tl2br w:val="nil"/>
              <w:tr2bl w:val="nil"/>
            </w:tcBorders>
            <w:noWrap w:val="0"/>
            <w:vAlign w:val="center"/>
          </w:tcPr>
          <w:p w14:paraId="5DCFCF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r>
              <w:rPr>
                <w:rFonts w:hint="default" w:ascii="Times New Roman" w:hAnsi="Times New Roman" w:eastAsia="宋体" w:cs="Times New Roman"/>
                <w:caps w:val="0"/>
                <w:snapToGrid/>
                <w:color w:val="auto"/>
                <w:spacing w:val="0"/>
                <w:w w:val="100"/>
                <w:kern w:val="0"/>
                <w:position w:val="0"/>
                <w:sz w:val="21"/>
                <w:szCs w:val="21"/>
                <w:highlight w:val="none"/>
              </w:rPr>
              <w:t>0.05</w:t>
            </w:r>
          </w:p>
        </w:tc>
        <w:tc>
          <w:tcPr>
            <w:tcW w:w="581" w:type="pct"/>
            <w:tcBorders>
              <w:tl2br w:val="nil"/>
              <w:tr2bl w:val="nil"/>
            </w:tcBorders>
            <w:noWrap w:val="0"/>
            <w:vAlign w:val="center"/>
          </w:tcPr>
          <w:p w14:paraId="1D571B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0.002L</w:t>
            </w:r>
          </w:p>
        </w:tc>
        <w:tc>
          <w:tcPr>
            <w:tcW w:w="389" w:type="pct"/>
            <w:tcBorders>
              <w:tl2br w:val="nil"/>
              <w:tr2bl w:val="nil"/>
            </w:tcBorders>
            <w:noWrap w:val="0"/>
            <w:vAlign w:val="center"/>
          </w:tcPr>
          <w:p w14:paraId="19C76EAD">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0.02</w:t>
            </w:r>
          </w:p>
        </w:tc>
        <w:tc>
          <w:tcPr>
            <w:tcW w:w="581" w:type="pct"/>
            <w:tcBorders>
              <w:tl2br w:val="nil"/>
              <w:tr2bl w:val="nil"/>
            </w:tcBorders>
            <w:shd w:val="clear" w:color="auto" w:fill="auto"/>
            <w:noWrap w:val="0"/>
            <w:vAlign w:val="center"/>
          </w:tcPr>
          <w:p w14:paraId="24974F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0.002L</w:t>
            </w:r>
          </w:p>
        </w:tc>
        <w:tc>
          <w:tcPr>
            <w:tcW w:w="389" w:type="pct"/>
            <w:tcBorders>
              <w:tl2br w:val="nil"/>
              <w:tr2bl w:val="nil"/>
            </w:tcBorders>
            <w:shd w:val="clear" w:color="auto" w:fill="auto"/>
            <w:noWrap w:val="0"/>
            <w:vAlign w:val="center"/>
          </w:tcPr>
          <w:p w14:paraId="22117729">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0.02</w:t>
            </w:r>
          </w:p>
        </w:tc>
        <w:tc>
          <w:tcPr>
            <w:tcW w:w="581" w:type="pct"/>
            <w:tcBorders>
              <w:tl2br w:val="nil"/>
              <w:tr2bl w:val="nil"/>
            </w:tcBorders>
            <w:shd w:val="clear" w:color="auto" w:fill="auto"/>
            <w:noWrap w:val="0"/>
            <w:vAlign w:val="center"/>
          </w:tcPr>
          <w:p w14:paraId="7C6429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0.002L</w:t>
            </w:r>
          </w:p>
        </w:tc>
        <w:tc>
          <w:tcPr>
            <w:tcW w:w="389" w:type="pct"/>
            <w:tcBorders>
              <w:tl2br w:val="nil"/>
              <w:tr2bl w:val="nil"/>
            </w:tcBorders>
            <w:noWrap w:val="0"/>
            <w:vAlign w:val="center"/>
          </w:tcPr>
          <w:p w14:paraId="5E25FC76">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0.02</w:t>
            </w:r>
          </w:p>
        </w:tc>
      </w:tr>
      <w:tr w14:paraId="00B7A1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08" w:type="dxa"/>
            <w:bottom w:w="15" w:type="dxa"/>
            <w:right w:w="108" w:type="dxa"/>
          </w:tblCellMar>
        </w:tblPrEx>
        <w:trPr>
          <w:trHeight w:val="283" w:hRule="atLeast"/>
        </w:trPr>
        <w:tc>
          <w:tcPr>
            <w:tcW w:w="285" w:type="pct"/>
            <w:tcBorders>
              <w:tl2br w:val="nil"/>
              <w:tr2bl w:val="nil"/>
            </w:tcBorders>
            <w:noWrap w:val="0"/>
            <w:vAlign w:val="center"/>
          </w:tcPr>
          <w:p w14:paraId="2FA8F428">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15</w:t>
            </w:r>
          </w:p>
        </w:tc>
        <w:tc>
          <w:tcPr>
            <w:tcW w:w="559" w:type="pct"/>
            <w:tcBorders>
              <w:tl2br w:val="nil"/>
              <w:tr2bl w:val="nil"/>
            </w:tcBorders>
            <w:noWrap w:val="0"/>
            <w:vAlign w:val="center"/>
          </w:tcPr>
          <w:p w14:paraId="010AC8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氟化物</w:t>
            </w:r>
          </w:p>
        </w:tc>
        <w:tc>
          <w:tcPr>
            <w:tcW w:w="756" w:type="pct"/>
            <w:tcBorders>
              <w:tl2br w:val="nil"/>
              <w:tr2bl w:val="nil"/>
            </w:tcBorders>
            <w:noWrap w:val="0"/>
            <w:vAlign w:val="center"/>
          </w:tcPr>
          <w:p w14:paraId="432A84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mg/L</w:t>
            </w:r>
          </w:p>
        </w:tc>
        <w:tc>
          <w:tcPr>
            <w:tcW w:w="483" w:type="pct"/>
            <w:tcBorders>
              <w:tl2br w:val="nil"/>
              <w:tr2bl w:val="nil"/>
            </w:tcBorders>
            <w:noWrap w:val="0"/>
            <w:vAlign w:val="center"/>
          </w:tcPr>
          <w:p w14:paraId="746CBF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r>
              <w:rPr>
                <w:rFonts w:hint="default" w:ascii="Times New Roman" w:hAnsi="Times New Roman" w:eastAsia="宋体" w:cs="Times New Roman"/>
                <w:caps w:val="0"/>
                <w:snapToGrid/>
                <w:color w:val="auto"/>
                <w:spacing w:val="0"/>
                <w:w w:val="100"/>
                <w:kern w:val="0"/>
                <w:position w:val="0"/>
                <w:sz w:val="21"/>
                <w:szCs w:val="21"/>
                <w:highlight w:val="none"/>
              </w:rPr>
              <w:t>1.0</w:t>
            </w:r>
          </w:p>
        </w:tc>
        <w:tc>
          <w:tcPr>
            <w:tcW w:w="581" w:type="pct"/>
            <w:tcBorders>
              <w:tl2br w:val="nil"/>
              <w:tr2bl w:val="nil"/>
            </w:tcBorders>
            <w:noWrap w:val="0"/>
            <w:vAlign w:val="center"/>
          </w:tcPr>
          <w:p w14:paraId="533034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0.36</w:t>
            </w:r>
          </w:p>
        </w:tc>
        <w:tc>
          <w:tcPr>
            <w:tcW w:w="389" w:type="pct"/>
            <w:tcBorders>
              <w:tl2br w:val="nil"/>
              <w:tr2bl w:val="nil"/>
            </w:tcBorders>
            <w:noWrap w:val="0"/>
            <w:vAlign w:val="center"/>
          </w:tcPr>
          <w:p w14:paraId="105E5C54">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0.36</w:t>
            </w:r>
          </w:p>
        </w:tc>
        <w:tc>
          <w:tcPr>
            <w:tcW w:w="581" w:type="pct"/>
            <w:tcBorders>
              <w:tl2br w:val="nil"/>
              <w:tr2bl w:val="nil"/>
            </w:tcBorders>
            <w:noWrap w:val="0"/>
            <w:vAlign w:val="center"/>
          </w:tcPr>
          <w:p w14:paraId="3C1A20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i w:val="0"/>
                <w:iCs w:val="0"/>
                <w:snapToGrid/>
                <w:color w:val="auto"/>
                <w:spacing w:val="0"/>
                <w:kern w:val="0"/>
                <w:position w:val="0"/>
                <w:sz w:val="21"/>
                <w:szCs w:val="21"/>
                <w:highlight w:val="none"/>
                <w:u w:val="none"/>
                <w:lang w:val="en-US" w:eastAsia="zh-CN" w:bidi="ar"/>
              </w:rPr>
              <w:t>0.31</w:t>
            </w:r>
          </w:p>
        </w:tc>
        <w:tc>
          <w:tcPr>
            <w:tcW w:w="389" w:type="pct"/>
            <w:tcBorders>
              <w:tl2br w:val="nil"/>
              <w:tr2bl w:val="nil"/>
            </w:tcBorders>
            <w:noWrap w:val="0"/>
            <w:vAlign w:val="center"/>
          </w:tcPr>
          <w:p w14:paraId="1C509A13">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0.31</w:t>
            </w:r>
          </w:p>
        </w:tc>
        <w:tc>
          <w:tcPr>
            <w:tcW w:w="581" w:type="pct"/>
            <w:tcBorders>
              <w:tl2br w:val="nil"/>
              <w:tr2bl w:val="nil"/>
            </w:tcBorders>
            <w:noWrap w:val="0"/>
            <w:vAlign w:val="center"/>
          </w:tcPr>
          <w:p w14:paraId="65BA2D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i w:val="0"/>
                <w:iCs w:val="0"/>
                <w:snapToGrid/>
                <w:color w:val="auto"/>
                <w:spacing w:val="0"/>
                <w:kern w:val="0"/>
                <w:position w:val="0"/>
                <w:sz w:val="21"/>
                <w:szCs w:val="21"/>
                <w:highlight w:val="none"/>
                <w:u w:val="none"/>
                <w:lang w:val="en-US" w:eastAsia="zh-CN" w:bidi="ar"/>
              </w:rPr>
              <w:t>0.40</w:t>
            </w:r>
          </w:p>
        </w:tc>
        <w:tc>
          <w:tcPr>
            <w:tcW w:w="389" w:type="pct"/>
            <w:tcBorders>
              <w:tl2br w:val="nil"/>
              <w:tr2bl w:val="nil"/>
            </w:tcBorders>
            <w:noWrap w:val="0"/>
            <w:vAlign w:val="center"/>
          </w:tcPr>
          <w:p w14:paraId="016D1A5F">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0.40</w:t>
            </w:r>
          </w:p>
        </w:tc>
      </w:tr>
      <w:tr w14:paraId="6F1BB8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08" w:type="dxa"/>
            <w:bottom w:w="15" w:type="dxa"/>
            <w:right w:w="108" w:type="dxa"/>
          </w:tblCellMar>
        </w:tblPrEx>
        <w:trPr>
          <w:trHeight w:val="297" w:hRule="atLeast"/>
        </w:trPr>
        <w:tc>
          <w:tcPr>
            <w:tcW w:w="285" w:type="pct"/>
            <w:tcBorders>
              <w:tl2br w:val="nil"/>
              <w:tr2bl w:val="nil"/>
            </w:tcBorders>
            <w:noWrap w:val="0"/>
            <w:vAlign w:val="center"/>
          </w:tcPr>
          <w:p w14:paraId="61712793">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16</w:t>
            </w:r>
          </w:p>
        </w:tc>
        <w:tc>
          <w:tcPr>
            <w:tcW w:w="559" w:type="pct"/>
            <w:tcBorders>
              <w:tl2br w:val="nil"/>
              <w:tr2bl w:val="nil"/>
            </w:tcBorders>
            <w:noWrap w:val="0"/>
            <w:vAlign w:val="center"/>
          </w:tcPr>
          <w:p w14:paraId="696B32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汞</w:t>
            </w:r>
          </w:p>
        </w:tc>
        <w:tc>
          <w:tcPr>
            <w:tcW w:w="756" w:type="pct"/>
            <w:tcBorders>
              <w:tl2br w:val="nil"/>
              <w:tr2bl w:val="nil"/>
            </w:tcBorders>
            <w:noWrap w:val="0"/>
            <w:vAlign w:val="center"/>
          </w:tcPr>
          <w:p w14:paraId="6D2041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mg/L</w:t>
            </w:r>
          </w:p>
        </w:tc>
        <w:tc>
          <w:tcPr>
            <w:tcW w:w="483" w:type="pct"/>
            <w:tcBorders>
              <w:tl2br w:val="nil"/>
              <w:tr2bl w:val="nil"/>
            </w:tcBorders>
            <w:noWrap w:val="0"/>
            <w:vAlign w:val="center"/>
          </w:tcPr>
          <w:p w14:paraId="5D5B3E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r>
              <w:rPr>
                <w:rFonts w:hint="default" w:ascii="Times New Roman" w:hAnsi="Times New Roman" w:eastAsia="宋体" w:cs="Times New Roman"/>
                <w:caps w:val="0"/>
                <w:snapToGrid/>
                <w:color w:val="auto"/>
                <w:spacing w:val="0"/>
                <w:w w:val="100"/>
                <w:kern w:val="0"/>
                <w:position w:val="0"/>
                <w:sz w:val="21"/>
                <w:szCs w:val="21"/>
                <w:highlight w:val="none"/>
              </w:rPr>
              <w:t>0.001</w:t>
            </w:r>
          </w:p>
        </w:tc>
        <w:tc>
          <w:tcPr>
            <w:tcW w:w="581" w:type="pct"/>
            <w:tcBorders>
              <w:tl2br w:val="nil"/>
              <w:tr2bl w:val="nil"/>
            </w:tcBorders>
            <w:noWrap w:val="0"/>
            <w:vAlign w:val="center"/>
          </w:tcPr>
          <w:p w14:paraId="3A73B2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b w:val="0"/>
                <w:i w:val="0"/>
                <w:snapToGrid/>
                <w:color w:val="auto"/>
                <w:spacing w:val="0"/>
                <w:kern w:val="0"/>
                <w:position w:val="0"/>
                <w:sz w:val="21"/>
                <w:highlight w:val="none"/>
                <w:lang w:eastAsia="zh-CN"/>
              </w:rPr>
              <w:t>0.0</w:t>
            </w:r>
            <w:r>
              <w:rPr>
                <w:rFonts w:hint="eastAsia" w:cs="Times New Roman"/>
                <w:b w:val="0"/>
                <w:i w:val="0"/>
                <w:snapToGrid/>
                <w:color w:val="auto"/>
                <w:spacing w:val="0"/>
                <w:kern w:val="0"/>
                <w:position w:val="0"/>
                <w:sz w:val="21"/>
                <w:highlight w:val="none"/>
                <w:lang w:val="en-US" w:eastAsia="zh-CN"/>
              </w:rPr>
              <w:t>000</w:t>
            </w:r>
            <w:r>
              <w:rPr>
                <w:rFonts w:hint="default" w:ascii="Times New Roman" w:hAnsi="Times New Roman" w:eastAsia="宋体" w:cs="Times New Roman"/>
                <w:b w:val="0"/>
                <w:i w:val="0"/>
                <w:snapToGrid/>
                <w:color w:val="auto"/>
                <w:spacing w:val="0"/>
                <w:kern w:val="0"/>
                <w:position w:val="0"/>
                <w:sz w:val="21"/>
                <w:highlight w:val="none"/>
                <w:lang w:eastAsia="zh-CN"/>
              </w:rPr>
              <w:t>4L</w:t>
            </w:r>
          </w:p>
        </w:tc>
        <w:tc>
          <w:tcPr>
            <w:tcW w:w="389" w:type="pct"/>
            <w:tcBorders>
              <w:tl2br w:val="nil"/>
              <w:tr2bl w:val="nil"/>
            </w:tcBorders>
            <w:noWrap w:val="0"/>
            <w:vAlign w:val="center"/>
          </w:tcPr>
          <w:p w14:paraId="2E51E1E1">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i w:val="0"/>
                <w:iCs w:val="0"/>
                <w:color w:val="auto"/>
                <w:kern w:val="0"/>
                <w:sz w:val="21"/>
                <w:szCs w:val="21"/>
                <w:u w:val="none"/>
                <w:lang w:val="en-US" w:eastAsia="zh-CN" w:bidi="ar"/>
              </w:rPr>
              <w:t>0.02</w:t>
            </w:r>
          </w:p>
        </w:tc>
        <w:tc>
          <w:tcPr>
            <w:tcW w:w="581" w:type="pct"/>
            <w:tcBorders>
              <w:tl2br w:val="nil"/>
              <w:tr2bl w:val="nil"/>
            </w:tcBorders>
            <w:noWrap w:val="0"/>
            <w:vAlign w:val="center"/>
          </w:tcPr>
          <w:p w14:paraId="149FBD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b w:val="0"/>
                <w:i w:val="0"/>
                <w:snapToGrid/>
                <w:color w:val="auto"/>
                <w:spacing w:val="0"/>
                <w:kern w:val="0"/>
                <w:position w:val="0"/>
                <w:sz w:val="21"/>
                <w:highlight w:val="none"/>
                <w:lang w:val="en-US" w:eastAsia="zh-CN"/>
              </w:rPr>
              <w:t>0</w:t>
            </w:r>
            <w:r>
              <w:rPr>
                <w:rFonts w:hint="default" w:ascii="Times New Roman" w:hAnsi="Times New Roman" w:eastAsia="宋体" w:cs="Times New Roman"/>
                <w:b w:val="0"/>
                <w:i w:val="0"/>
                <w:snapToGrid/>
                <w:color w:val="auto"/>
                <w:spacing w:val="0"/>
                <w:kern w:val="0"/>
                <w:position w:val="0"/>
                <w:sz w:val="21"/>
                <w:highlight w:val="none"/>
                <w:lang w:eastAsia="zh-CN"/>
              </w:rPr>
              <w:t>.</w:t>
            </w:r>
            <w:r>
              <w:rPr>
                <w:rFonts w:hint="eastAsia" w:cs="Times New Roman"/>
                <w:b w:val="0"/>
                <w:i w:val="0"/>
                <w:snapToGrid/>
                <w:color w:val="auto"/>
                <w:spacing w:val="0"/>
                <w:kern w:val="0"/>
                <w:position w:val="0"/>
                <w:sz w:val="21"/>
                <w:highlight w:val="none"/>
                <w:lang w:val="en-US" w:eastAsia="zh-CN"/>
              </w:rPr>
              <w:t>000</w:t>
            </w:r>
            <w:r>
              <w:rPr>
                <w:rFonts w:hint="default" w:ascii="Times New Roman" w:hAnsi="Times New Roman" w:eastAsia="宋体" w:cs="Times New Roman"/>
                <w:b w:val="0"/>
                <w:i w:val="0"/>
                <w:snapToGrid/>
                <w:color w:val="auto"/>
                <w:spacing w:val="0"/>
                <w:kern w:val="0"/>
                <w:position w:val="0"/>
                <w:sz w:val="21"/>
                <w:highlight w:val="none"/>
                <w:lang w:eastAsia="zh-CN"/>
              </w:rPr>
              <w:t>04L</w:t>
            </w:r>
          </w:p>
        </w:tc>
        <w:tc>
          <w:tcPr>
            <w:tcW w:w="389" w:type="pct"/>
            <w:tcBorders>
              <w:tl2br w:val="nil"/>
              <w:tr2bl w:val="nil"/>
            </w:tcBorders>
            <w:noWrap w:val="0"/>
            <w:vAlign w:val="center"/>
          </w:tcPr>
          <w:p w14:paraId="0DB26173">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rPr>
            </w:pPr>
            <w:r>
              <w:rPr>
                <w:rFonts w:hint="eastAsia" w:cs="Times New Roman"/>
                <w:i w:val="0"/>
                <w:iCs w:val="0"/>
                <w:color w:val="auto"/>
                <w:kern w:val="0"/>
                <w:sz w:val="21"/>
                <w:szCs w:val="21"/>
                <w:u w:val="none"/>
                <w:lang w:val="en-US" w:eastAsia="zh-CN" w:bidi="ar"/>
              </w:rPr>
              <w:t>0.02</w:t>
            </w:r>
          </w:p>
        </w:tc>
        <w:tc>
          <w:tcPr>
            <w:tcW w:w="581" w:type="pct"/>
            <w:tcBorders>
              <w:tl2br w:val="nil"/>
              <w:tr2bl w:val="nil"/>
            </w:tcBorders>
            <w:shd w:val="clear" w:color="auto" w:fill="auto"/>
            <w:noWrap w:val="0"/>
            <w:vAlign w:val="center"/>
          </w:tcPr>
          <w:p w14:paraId="5F64FA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eastAsia" w:cs="Times New Roman"/>
                <w:i w:val="0"/>
                <w:iCs w:val="0"/>
                <w:snapToGrid/>
                <w:color w:val="auto"/>
                <w:spacing w:val="0"/>
                <w:kern w:val="0"/>
                <w:position w:val="0"/>
                <w:sz w:val="21"/>
                <w:szCs w:val="21"/>
                <w:highlight w:val="none"/>
                <w:u w:val="none"/>
                <w:lang w:val="en-US" w:eastAsia="zh-CN" w:bidi="ar"/>
              </w:rPr>
              <w:t>0</w:t>
            </w:r>
            <w:r>
              <w:rPr>
                <w:rFonts w:hint="default" w:ascii="Times New Roman" w:hAnsi="Times New Roman" w:eastAsia="宋体" w:cs="Times New Roman"/>
                <w:b w:val="0"/>
                <w:i w:val="0"/>
                <w:snapToGrid/>
                <w:color w:val="auto"/>
                <w:spacing w:val="0"/>
                <w:kern w:val="0"/>
                <w:position w:val="0"/>
                <w:sz w:val="21"/>
                <w:highlight w:val="none"/>
                <w:lang w:eastAsia="zh-CN"/>
              </w:rPr>
              <w:t>.0</w:t>
            </w:r>
            <w:r>
              <w:rPr>
                <w:rFonts w:hint="eastAsia" w:cs="Times New Roman"/>
                <w:b w:val="0"/>
                <w:i w:val="0"/>
                <w:snapToGrid/>
                <w:color w:val="auto"/>
                <w:spacing w:val="0"/>
                <w:kern w:val="0"/>
                <w:position w:val="0"/>
                <w:sz w:val="21"/>
                <w:highlight w:val="none"/>
                <w:lang w:val="en-US" w:eastAsia="zh-CN"/>
              </w:rPr>
              <w:t>000</w:t>
            </w:r>
            <w:r>
              <w:rPr>
                <w:rFonts w:hint="default" w:ascii="Times New Roman" w:hAnsi="Times New Roman" w:eastAsia="宋体" w:cs="Times New Roman"/>
                <w:b w:val="0"/>
                <w:i w:val="0"/>
                <w:snapToGrid/>
                <w:color w:val="auto"/>
                <w:spacing w:val="0"/>
                <w:kern w:val="0"/>
                <w:position w:val="0"/>
                <w:sz w:val="21"/>
                <w:highlight w:val="none"/>
                <w:lang w:eastAsia="zh-CN"/>
              </w:rPr>
              <w:t>4L</w:t>
            </w:r>
          </w:p>
        </w:tc>
        <w:tc>
          <w:tcPr>
            <w:tcW w:w="389" w:type="pct"/>
            <w:tcBorders>
              <w:tl2br w:val="nil"/>
              <w:tr2bl w:val="nil"/>
            </w:tcBorders>
            <w:noWrap w:val="0"/>
            <w:vAlign w:val="center"/>
          </w:tcPr>
          <w:p w14:paraId="6F62EE5B">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rPr>
            </w:pPr>
            <w:r>
              <w:rPr>
                <w:rFonts w:hint="eastAsia" w:cs="Times New Roman"/>
                <w:i w:val="0"/>
                <w:iCs w:val="0"/>
                <w:color w:val="auto"/>
                <w:kern w:val="0"/>
                <w:sz w:val="21"/>
                <w:szCs w:val="21"/>
                <w:u w:val="none"/>
                <w:lang w:val="en-US" w:eastAsia="zh-CN" w:bidi="ar"/>
              </w:rPr>
              <w:t>0.02</w:t>
            </w:r>
          </w:p>
        </w:tc>
      </w:tr>
      <w:tr w14:paraId="4E10E8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08" w:type="dxa"/>
            <w:bottom w:w="15" w:type="dxa"/>
            <w:right w:w="108" w:type="dxa"/>
          </w:tblCellMar>
        </w:tblPrEx>
        <w:trPr>
          <w:trHeight w:val="270" w:hRule="atLeast"/>
        </w:trPr>
        <w:tc>
          <w:tcPr>
            <w:tcW w:w="285" w:type="pct"/>
            <w:tcBorders>
              <w:tl2br w:val="nil"/>
              <w:tr2bl w:val="nil"/>
            </w:tcBorders>
            <w:noWrap w:val="0"/>
            <w:vAlign w:val="center"/>
          </w:tcPr>
          <w:p w14:paraId="5503F8B0">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17</w:t>
            </w:r>
          </w:p>
        </w:tc>
        <w:tc>
          <w:tcPr>
            <w:tcW w:w="559" w:type="pct"/>
            <w:tcBorders>
              <w:tl2br w:val="nil"/>
              <w:tr2bl w:val="nil"/>
            </w:tcBorders>
            <w:noWrap w:val="0"/>
            <w:vAlign w:val="center"/>
          </w:tcPr>
          <w:p w14:paraId="7F8937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砷</w:t>
            </w:r>
          </w:p>
        </w:tc>
        <w:tc>
          <w:tcPr>
            <w:tcW w:w="756" w:type="pct"/>
            <w:tcBorders>
              <w:tl2br w:val="nil"/>
              <w:tr2bl w:val="nil"/>
            </w:tcBorders>
            <w:noWrap w:val="0"/>
            <w:vAlign w:val="center"/>
          </w:tcPr>
          <w:p w14:paraId="60586D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mg/L</w:t>
            </w:r>
          </w:p>
        </w:tc>
        <w:tc>
          <w:tcPr>
            <w:tcW w:w="483" w:type="pct"/>
            <w:tcBorders>
              <w:tl2br w:val="nil"/>
              <w:tr2bl w:val="nil"/>
            </w:tcBorders>
            <w:noWrap w:val="0"/>
            <w:vAlign w:val="center"/>
          </w:tcPr>
          <w:p w14:paraId="418E4A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r>
              <w:rPr>
                <w:rFonts w:hint="default" w:ascii="Times New Roman" w:hAnsi="Times New Roman" w:eastAsia="宋体" w:cs="Times New Roman"/>
                <w:caps w:val="0"/>
                <w:snapToGrid/>
                <w:color w:val="auto"/>
                <w:spacing w:val="0"/>
                <w:w w:val="100"/>
                <w:kern w:val="0"/>
                <w:position w:val="0"/>
                <w:sz w:val="21"/>
                <w:szCs w:val="21"/>
                <w:highlight w:val="none"/>
              </w:rPr>
              <w:t>0.01</w:t>
            </w:r>
          </w:p>
        </w:tc>
        <w:tc>
          <w:tcPr>
            <w:tcW w:w="581" w:type="pct"/>
            <w:tcBorders>
              <w:tl2br w:val="nil"/>
              <w:tr2bl w:val="nil"/>
            </w:tcBorders>
            <w:noWrap w:val="0"/>
            <w:vAlign w:val="center"/>
          </w:tcPr>
          <w:p w14:paraId="53460B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0.00</w:t>
            </w:r>
            <w:r>
              <w:rPr>
                <w:rFonts w:hint="eastAsia" w:cs="Times New Roman"/>
                <w:caps w:val="0"/>
                <w:snapToGrid/>
                <w:color w:val="auto"/>
                <w:spacing w:val="0"/>
                <w:w w:val="100"/>
                <w:kern w:val="0"/>
                <w:position w:val="0"/>
                <w:sz w:val="21"/>
                <w:szCs w:val="21"/>
                <w:highlight w:val="none"/>
                <w:lang w:val="en-US" w:eastAsia="zh-CN"/>
              </w:rPr>
              <w:t>22</w:t>
            </w:r>
          </w:p>
        </w:tc>
        <w:tc>
          <w:tcPr>
            <w:tcW w:w="389" w:type="pct"/>
            <w:tcBorders>
              <w:tl2br w:val="nil"/>
              <w:tr2bl w:val="nil"/>
            </w:tcBorders>
            <w:noWrap w:val="0"/>
            <w:vAlign w:val="center"/>
          </w:tcPr>
          <w:p w14:paraId="04BD0E1A">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0.22</w:t>
            </w:r>
          </w:p>
        </w:tc>
        <w:tc>
          <w:tcPr>
            <w:tcW w:w="581" w:type="pct"/>
            <w:tcBorders>
              <w:tl2br w:val="nil"/>
              <w:tr2bl w:val="nil"/>
            </w:tcBorders>
            <w:shd w:val="clear" w:color="auto" w:fill="auto"/>
            <w:noWrap w:val="0"/>
            <w:vAlign w:val="center"/>
          </w:tcPr>
          <w:p w14:paraId="3F4F15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eastAsia" w:cs="Times New Roman"/>
                <w:i w:val="0"/>
                <w:iCs w:val="0"/>
                <w:snapToGrid/>
                <w:color w:val="auto"/>
                <w:spacing w:val="0"/>
                <w:kern w:val="0"/>
                <w:position w:val="0"/>
                <w:sz w:val="21"/>
                <w:szCs w:val="21"/>
                <w:highlight w:val="none"/>
                <w:u w:val="none"/>
                <w:lang w:val="en-US" w:eastAsia="zh-CN" w:bidi="ar"/>
              </w:rPr>
              <w:t>0.0022</w:t>
            </w:r>
          </w:p>
        </w:tc>
        <w:tc>
          <w:tcPr>
            <w:tcW w:w="389" w:type="pct"/>
            <w:tcBorders>
              <w:tl2br w:val="nil"/>
              <w:tr2bl w:val="nil"/>
            </w:tcBorders>
            <w:shd w:val="clear" w:color="auto" w:fill="auto"/>
            <w:noWrap w:val="0"/>
            <w:vAlign w:val="center"/>
          </w:tcPr>
          <w:p w14:paraId="136822DF">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0.22</w:t>
            </w:r>
          </w:p>
        </w:tc>
        <w:tc>
          <w:tcPr>
            <w:tcW w:w="581" w:type="pct"/>
            <w:tcBorders>
              <w:tl2br w:val="nil"/>
              <w:tr2bl w:val="nil"/>
            </w:tcBorders>
            <w:shd w:val="clear" w:color="auto" w:fill="auto"/>
            <w:noWrap w:val="0"/>
            <w:vAlign w:val="center"/>
          </w:tcPr>
          <w:p w14:paraId="1432CC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eastAsia" w:cs="Times New Roman"/>
                <w:i w:val="0"/>
                <w:iCs w:val="0"/>
                <w:snapToGrid/>
                <w:color w:val="auto"/>
                <w:spacing w:val="0"/>
                <w:kern w:val="0"/>
                <w:position w:val="0"/>
                <w:sz w:val="21"/>
                <w:szCs w:val="21"/>
                <w:highlight w:val="none"/>
                <w:u w:val="none"/>
                <w:lang w:val="en-US" w:eastAsia="zh-CN" w:bidi="ar"/>
              </w:rPr>
              <w:t>0.0024</w:t>
            </w:r>
          </w:p>
        </w:tc>
        <w:tc>
          <w:tcPr>
            <w:tcW w:w="389" w:type="pct"/>
            <w:tcBorders>
              <w:tl2br w:val="nil"/>
              <w:tr2bl w:val="nil"/>
            </w:tcBorders>
            <w:noWrap w:val="0"/>
            <w:vAlign w:val="center"/>
          </w:tcPr>
          <w:p w14:paraId="27727E22">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0.24</w:t>
            </w:r>
          </w:p>
        </w:tc>
      </w:tr>
      <w:tr w14:paraId="5D9265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08" w:type="dxa"/>
            <w:bottom w:w="15" w:type="dxa"/>
            <w:right w:w="108" w:type="dxa"/>
          </w:tblCellMar>
        </w:tblPrEx>
        <w:trPr>
          <w:trHeight w:val="90" w:hRule="atLeast"/>
        </w:trPr>
        <w:tc>
          <w:tcPr>
            <w:tcW w:w="285" w:type="pct"/>
            <w:tcBorders>
              <w:tl2br w:val="nil"/>
              <w:tr2bl w:val="nil"/>
            </w:tcBorders>
            <w:noWrap w:val="0"/>
            <w:vAlign w:val="center"/>
          </w:tcPr>
          <w:p w14:paraId="74A97F81">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18</w:t>
            </w:r>
          </w:p>
        </w:tc>
        <w:tc>
          <w:tcPr>
            <w:tcW w:w="559" w:type="pct"/>
            <w:tcBorders>
              <w:tl2br w:val="nil"/>
              <w:tr2bl w:val="nil"/>
            </w:tcBorders>
            <w:noWrap w:val="0"/>
            <w:vAlign w:val="center"/>
          </w:tcPr>
          <w:p w14:paraId="1613AD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镉</w:t>
            </w:r>
          </w:p>
        </w:tc>
        <w:tc>
          <w:tcPr>
            <w:tcW w:w="756" w:type="pct"/>
            <w:tcBorders>
              <w:tl2br w:val="nil"/>
              <w:tr2bl w:val="nil"/>
            </w:tcBorders>
            <w:noWrap w:val="0"/>
            <w:vAlign w:val="center"/>
          </w:tcPr>
          <w:p w14:paraId="002C24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mg/L</w:t>
            </w:r>
          </w:p>
        </w:tc>
        <w:tc>
          <w:tcPr>
            <w:tcW w:w="483" w:type="pct"/>
            <w:tcBorders>
              <w:tl2br w:val="nil"/>
              <w:tr2bl w:val="nil"/>
            </w:tcBorders>
            <w:noWrap w:val="0"/>
            <w:vAlign w:val="center"/>
          </w:tcPr>
          <w:p w14:paraId="35095C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r>
              <w:rPr>
                <w:rFonts w:hint="default" w:ascii="Times New Roman" w:hAnsi="Times New Roman" w:eastAsia="宋体" w:cs="Times New Roman"/>
                <w:caps w:val="0"/>
                <w:snapToGrid/>
                <w:color w:val="auto"/>
                <w:spacing w:val="0"/>
                <w:w w:val="100"/>
                <w:kern w:val="0"/>
                <w:position w:val="0"/>
                <w:sz w:val="21"/>
                <w:szCs w:val="21"/>
                <w:highlight w:val="none"/>
              </w:rPr>
              <w:t>0.005</w:t>
            </w:r>
          </w:p>
        </w:tc>
        <w:tc>
          <w:tcPr>
            <w:tcW w:w="581" w:type="pct"/>
            <w:tcBorders>
              <w:tl2br w:val="nil"/>
              <w:tr2bl w:val="nil"/>
            </w:tcBorders>
            <w:noWrap w:val="0"/>
            <w:vAlign w:val="center"/>
          </w:tcPr>
          <w:p w14:paraId="141D8F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b w:val="0"/>
                <w:i w:val="0"/>
                <w:snapToGrid/>
                <w:color w:val="auto"/>
                <w:spacing w:val="0"/>
                <w:kern w:val="0"/>
                <w:position w:val="0"/>
                <w:sz w:val="21"/>
                <w:highlight w:val="none"/>
                <w:lang w:eastAsia="zh-CN"/>
              </w:rPr>
              <w:t>0.00</w:t>
            </w:r>
            <w:r>
              <w:rPr>
                <w:rFonts w:hint="eastAsia" w:cs="Times New Roman"/>
                <w:b w:val="0"/>
                <w:i w:val="0"/>
                <w:snapToGrid/>
                <w:color w:val="auto"/>
                <w:spacing w:val="0"/>
                <w:kern w:val="0"/>
                <w:position w:val="0"/>
                <w:sz w:val="21"/>
                <w:highlight w:val="none"/>
                <w:lang w:val="en-US" w:eastAsia="zh-CN"/>
              </w:rPr>
              <w:t>1</w:t>
            </w:r>
            <w:r>
              <w:rPr>
                <w:rFonts w:hint="default" w:ascii="Times New Roman" w:hAnsi="Times New Roman" w:eastAsia="宋体" w:cs="Times New Roman"/>
                <w:b w:val="0"/>
                <w:i w:val="0"/>
                <w:snapToGrid/>
                <w:color w:val="auto"/>
                <w:spacing w:val="0"/>
                <w:kern w:val="0"/>
                <w:position w:val="0"/>
                <w:sz w:val="21"/>
                <w:highlight w:val="none"/>
                <w:lang w:eastAsia="zh-CN"/>
              </w:rPr>
              <w:t>L</w:t>
            </w:r>
          </w:p>
        </w:tc>
        <w:tc>
          <w:tcPr>
            <w:tcW w:w="389" w:type="pct"/>
            <w:tcBorders>
              <w:tl2br w:val="nil"/>
              <w:tr2bl w:val="nil"/>
            </w:tcBorders>
            <w:noWrap w:val="0"/>
            <w:vAlign w:val="center"/>
          </w:tcPr>
          <w:p w14:paraId="3E3B1553">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0.10</w:t>
            </w:r>
          </w:p>
        </w:tc>
        <w:tc>
          <w:tcPr>
            <w:tcW w:w="581" w:type="pct"/>
            <w:tcBorders>
              <w:tl2br w:val="nil"/>
              <w:tr2bl w:val="nil"/>
            </w:tcBorders>
            <w:shd w:val="clear" w:color="auto" w:fill="auto"/>
            <w:noWrap w:val="0"/>
            <w:vAlign w:val="center"/>
          </w:tcPr>
          <w:p w14:paraId="32B2B2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b w:val="0"/>
                <w:i w:val="0"/>
                <w:snapToGrid/>
                <w:color w:val="auto"/>
                <w:spacing w:val="0"/>
                <w:kern w:val="0"/>
                <w:position w:val="0"/>
                <w:sz w:val="21"/>
                <w:highlight w:val="none"/>
                <w:lang w:eastAsia="zh-CN"/>
              </w:rPr>
              <w:t>0.00</w:t>
            </w:r>
            <w:r>
              <w:rPr>
                <w:rFonts w:hint="eastAsia" w:cs="Times New Roman"/>
                <w:b w:val="0"/>
                <w:i w:val="0"/>
                <w:snapToGrid/>
                <w:color w:val="auto"/>
                <w:spacing w:val="0"/>
                <w:kern w:val="0"/>
                <w:position w:val="0"/>
                <w:sz w:val="21"/>
                <w:highlight w:val="none"/>
                <w:lang w:val="en-US" w:eastAsia="zh-CN"/>
              </w:rPr>
              <w:t>1</w:t>
            </w:r>
            <w:r>
              <w:rPr>
                <w:rFonts w:hint="default" w:ascii="Times New Roman" w:hAnsi="Times New Roman" w:eastAsia="宋体" w:cs="Times New Roman"/>
                <w:b w:val="0"/>
                <w:i w:val="0"/>
                <w:snapToGrid/>
                <w:color w:val="auto"/>
                <w:spacing w:val="0"/>
                <w:kern w:val="0"/>
                <w:position w:val="0"/>
                <w:sz w:val="21"/>
                <w:highlight w:val="none"/>
                <w:lang w:eastAsia="zh-CN"/>
              </w:rPr>
              <w:t>L</w:t>
            </w:r>
          </w:p>
        </w:tc>
        <w:tc>
          <w:tcPr>
            <w:tcW w:w="389" w:type="pct"/>
            <w:tcBorders>
              <w:tl2br w:val="nil"/>
              <w:tr2bl w:val="nil"/>
            </w:tcBorders>
            <w:shd w:val="clear" w:color="auto" w:fill="auto"/>
            <w:noWrap w:val="0"/>
            <w:vAlign w:val="center"/>
          </w:tcPr>
          <w:p w14:paraId="26DC2C03">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0.10</w:t>
            </w:r>
          </w:p>
        </w:tc>
        <w:tc>
          <w:tcPr>
            <w:tcW w:w="581" w:type="pct"/>
            <w:tcBorders>
              <w:tl2br w:val="nil"/>
              <w:tr2bl w:val="nil"/>
            </w:tcBorders>
            <w:shd w:val="clear" w:color="auto" w:fill="auto"/>
            <w:noWrap w:val="0"/>
            <w:vAlign w:val="center"/>
          </w:tcPr>
          <w:p w14:paraId="401891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b w:val="0"/>
                <w:i w:val="0"/>
                <w:snapToGrid/>
                <w:color w:val="auto"/>
                <w:spacing w:val="0"/>
                <w:kern w:val="0"/>
                <w:position w:val="0"/>
                <w:sz w:val="21"/>
                <w:highlight w:val="none"/>
                <w:lang w:eastAsia="zh-CN"/>
              </w:rPr>
              <w:t>0.00</w:t>
            </w:r>
            <w:r>
              <w:rPr>
                <w:rFonts w:hint="eastAsia" w:cs="Times New Roman"/>
                <w:b w:val="0"/>
                <w:i w:val="0"/>
                <w:snapToGrid/>
                <w:color w:val="auto"/>
                <w:spacing w:val="0"/>
                <w:kern w:val="0"/>
                <w:position w:val="0"/>
                <w:sz w:val="21"/>
                <w:highlight w:val="none"/>
                <w:lang w:val="en-US" w:eastAsia="zh-CN"/>
              </w:rPr>
              <w:t>1</w:t>
            </w:r>
            <w:r>
              <w:rPr>
                <w:rFonts w:hint="default" w:ascii="Times New Roman" w:hAnsi="Times New Roman" w:eastAsia="宋体" w:cs="Times New Roman"/>
                <w:b w:val="0"/>
                <w:i w:val="0"/>
                <w:snapToGrid/>
                <w:color w:val="auto"/>
                <w:spacing w:val="0"/>
                <w:kern w:val="0"/>
                <w:position w:val="0"/>
                <w:sz w:val="21"/>
                <w:highlight w:val="none"/>
                <w:lang w:eastAsia="zh-CN"/>
              </w:rPr>
              <w:t>L</w:t>
            </w:r>
          </w:p>
        </w:tc>
        <w:tc>
          <w:tcPr>
            <w:tcW w:w="389" w:type="pct"/>
            <w:tcBorders>
              <w:tl2br w:val="nil"/>
              <w:tr2bl w:val="nil"/>
            </w:tcBorders>
            <w:noWrap w:val="0"/>
            <w:vAlign w:val="center"/>
          </w:tcPr>
          <w:p w14:paraId="09450501">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0.10</w:t>
            </w:r>
          </w:p>
        </w:tc>
      </w:tr>
      <w:tr w14:paraId="680AEF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08" w:type="dxa"/>
            <w:bottom w:w="15" w:type="dxa"/>
            <w:right w:w="108" w:type="dxa"/>
          </w:tblCellMar>
        </w:tblPrEx>
        <w:trPr>
          <w:trHeight w:val="215" w:hRule="atLeast"/>
        </w:trPr>
        <w:tc>
          <w:tcPr>
            <w:tcW w:w="285" w:type="pct"/>
            <w:tcBorders>
              <w:tl2br w:val="nil"/>
              <w:tr2bl w:val="nil"/>
            </w:tcBorders>
            <w:noWrap w:val="0"/>
            <w:vAlign w:val="center"/>
          </w:tcPr>
          <w:p w14:paraId="4685DE73">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19</w:t>
            </w:r>
          </w:p>
        </w:tc>
        <w:tc>
          <w:tcPr>
            <w:tcW w:w="559" w:type="pct"/>
            <w:tcBorders>
              <w:tl2br w:val="nil"/>
              <w:tr2bl w:val="nil"/>
            </w:tcBorders>
            <w:noWrap w:val="0"/>
            <w:vAlign w:val="center"/>
          </w:tcPr>
          <w:p w14:paraId="57B52E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六价铬</w:t>
            </w:r>
          </w:p>
        </w:tc>
        <w:tc>
          <w:tcPr>
            <w:tcW w:w="756" w:type="pct"/>
            <w:tcBorders>
              <w:tl2br w:val="nil"/>
              <w:tr2bl w:val="nil"/>
            </w:tcBorders>
            <w:noWrap w:val="0"/>
            <w:vAlign w:val="center"/>
          </w:tcPr>
          <w:p w14:paraId="527BDA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mg/L</w:t>
            </w:r>
          </w:p>
        </w:tc>
        <w:tc>
          <w:tcPr>
            <w:tcW w:w="483" w:type="pct"/>
            <w:tcBorders>
              <w:tl2br w:val="nil"/>
              <w:tr2bl w:val="nil"/>
            </w:tcBorders>
            <w:noWrap w:val="0"/>
            <w:vAlign w:val="center"/>
          </w:tcPr>
          <w:p w14:paraId="323907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r>
              <w:rPr>
                <w:rFonts w:hint="default" w:ascii="Times New Roman" w:hAnsi="Times New Roman" w:eastAsia="宋体" w:cs="Times New Roman"/>
                <w:caps w:val="0"/>
                <w:snapToGrid/>
                <w:color w:val="auto"/>
                <w:spacing w:val="0"/>
                <w:w w:val="100"/>
                <w:kern w:val="0"/>
                <w:position w:val="0"/>
                <w:sz w:val="21"/>
                <w:szCs w:val="21"/>
                <w:highlight w:val="none"/>
              </w:rPr>
              <w:t>0.05</w:t>
            </w:r>
          </w:p>
        </w:tc>
        <w:tc>
          <w:tcPr>
            <w:tcW w:w="581" w:type="pct"/>
            <w:tcBorders>
              <w:tl2br w:val="nil"/>
              <w:tr2bl w:val="nil"/>
            </w:tcBorders>
            <w:noWrap w:val="0"/>
            <w:vAlign w:val="center"/>
          </w:tcPr>
          <w:p w14:paraId="64BDB4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b w:val="0"/>
                <w:i w:val="0"/>
                <w:snapToGrid/>
                <w:color w:val="auto"/>
                <w:spacing w:val="0"/>
                <w:kern w:val="0"/>
                <w:position w:val="0"/>
                <w:sz w:val="21"/>
                <w:highlight w:val="none"/>
                <w:lang w:val="en-US" w:eastAsia="zh-CN"/>
              </w:rPr>
              <w:t>0.005</w:t>
            </w:r>
          </w:p>
        </w:tc>
        <w:tc>
          <w:tcPr>
            <w:tcW w:w="389" w:type="pct"/>
            <w:tcBorders>
              <w:tl2br w:val="nil"/>
              <w:tr2bl w:val="nil"/>
            </w:tcBorders>
            <w:noWrap w:val="0"/>
            <w:vAlign w:val="center"/>
          </w:tcPr>
          <w:p w14:paraId="48B32086">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0.10</w:t>
            </w:r>
          </w:p>
        </w:tc>
        <w:tc>
          <w:tcPr>
            <w:tcW w:w="581" w:type="pct"/>
            <w:tcBorders>
              <w:tl2br w:val="nil"/>
              <w:tr2bl w:val="nil"/>
            </w:tcBorders>
            <w:shd w:val="clear" w:color="auto" w:fill="auto"/>
            <w:noWrap w:val="0"/>
            <w:vAlign w:val="center"/>
          </w:tcPr>
          <w:p w14:paraId="3A6D30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eastAsia" w:cs="Times New Roman"/>
                <w:i w:val="0"/>
                <w:iCs w:val="0"/>
                <w:snapToGrid/>
                <w:color w:val="auto"/>
                <w:spacing w:val="0"/>
                <w:kern w:val="0"/>
                <w:position w:val="0"/>
                <w:sz w:val="21"/>
                <w:szCs w:val="21"/>
                <w:highlight w:val="none"/>
                <w:u w:val="none"/>
                <w:lang w:val="en-US" w:eastAsia="zh-CN" w:bidi="ar"/>
              </w:rPr>
              <w:t>0.005</w:t>
            </w:r>
          </w:p>
        </w:tc>
        <w:tc>
          <w:tcPr>
            <w:tcW w:w="389" w:type="pct"/>
            <w:tcBorders>
              <w:tl2br w:val="nil"/>
              <w:tr2bl w:val="nil"/>
            </w:tcBorders>
            <w:shd w:val="clear" w:color="auto" w:fill="auto"/>
            <w:noWrap w:val="0"/>
            <w:vAlign w:val="center"/>
          </w:tcPr>
          <w:p w14:paraId="71BB904D">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0.10</w:t>
            </w:r>
          </w:p>
        </w:tc>
        <w:tc>
          <w:tcPr>
            <w:tcW w:w="581" w:type="pct"/>
            <w:tcBorders>
              <w:tl2br w:val="nil"/>
              <w:tr2bl w:val="nil"/>
            </w:tcBorders>
            <w:shd w:val="clear" w:color="auto" w:fill="auto"/>
            <w:noWrap w:val="0"/>
            <w:vAlign w:val="center"/>
          </w:tcPr>
          <w:p w14:paraId="0287AB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eastAsia" w:cs="Times New Roman"/>
                <w:i w:val="0"/>
                <w:iCs w:val="0"/>
                <w:snapToGrid/>
                <w:color w:val="auto"/>
                <w:spacing w:val="0"/>
                <w:kern w:val="0"/>
                <w:position w:val="0"/>
                <w:sz w:val="21"/>
                <w:szCs w:val="21"/>
                <w:highlight w:val="none"/>
                <w:u w:val="none"/>
                <w:lang w:val="en-US" w:eastAsia="zh-CN" w:bidi="ar"/>
              </w:rPr>
              <w:t>0.006</w:t>
            </w:r>
          </w:p>
        </w:tc>
        <w:tc>
          <w:tcPr>
            <w:tcW w:w="389" w:type="pct"/>
            <w:tcBorders>
              <w:tl2br w:val="nil"/>
              <w:tr2bl w:val="nil"/>
            </w:tcBorders>
            <w:noWrap w:val="0"/>
            <w:vAlign w:val="center"/>
          </w:tcPr>
          <w:p w14:paraId="7951B769">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0.12</w:t>
            </w:r>
          </w:p>
        </w:tc>
      </w:tr>
      <w:tr w14:paraId="52FF5B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08" w:type="dxa"/>
            <w:bottom w:w="15" w:type="dxa"/>
            <w:right w:w="108" w:type="dxa"/>
          </w:tblCellMar>
        </w:tblPrEx>
        <w:trPr>
          <w:trHeight w:val="355" w:hRule="atLeast"/>
        </w:trPr>
        <w:tc>
          <w:tcPr>
            <w:tcW w:w="285" w:type="pct"/>
            <w:tcBorders>
              <w:tl2br w:val="nil"/>
              <w:tr2bl w:val="nil"/>
            </w:tcBorders>
            <w:noWrap w:val="0"/>
            <w:vAlign w:val="center"/>
          </w:tcPr>
          <w:p w14:paraId="18FD2631">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20</w:t>
            </w:r>
          </w:p>
        </w:tc>
        <w:tc>
          <w:tcPr>
            <w:tcW w:w="559" w:type="pct"/>
            <w:tcBorders>
              <w:tl2br w:val="nil"/>
              <w:tr2bl w:val="nil"/>
            </w:tcBorders>
            <w:noWrap w:val="0"/>
            <w:vAlign w:val="center"/>
          </w:tcPr>
          <w:p w14:paraId="440A2D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铅</w:t>
            </w:r>
          </w:p>
        </w:tc>
        <w:tc>
          <w:tcPr>
            <w:tcW w:w="756" w:type="pct"/>
            <w:tcBorders>
              <w:tl2br w:val="nil"/>
              <w:tr2bl w:val="nil"/>
            </w:tcBorders>
            <w:noWrap w:val="0"/>
            <w:vAlign w:val="center"/>
          </w:tcPr>
          <w:p w14:paraId="5EBF97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mg/L</w:t>
            </w:r>
          </w:p>
        </w:tc>
        <w:tc>
          <w:tcPr>
            <w:tcW w:w="483" w:type="pct"/>
            <w:tcBorders>
              <w:tl2br w:val="nil"/>
              <w:tr2bl w:val="nil"/>
            </w:tcBorders>
            <w:noWrap w:val="0"/>
            <w:vAlign w:val="center"/>
          </w:tcPr>
          <w:p w14:paraId="6F33FE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r>
              <w:rPr>
                <w:rFonts w:hint="default" w:ascii="Times New Roman" w:hAnsi="Times New Roman" w:eastAsia="宋体" w:cs="Times New Roman"/>
                <w:caps w:val="0"/>
                <w:snapToGrid/>
                <w:color w:val="auto"/>
                <w:spacing w:val="0"/>
                <w:w w:val="100"/>
                <w:kern w:val="0"/>
                <w:position w:val="0"/>
                <w:sz w:val="21"/>
                <w:szCs w:val="21"/>
                <w:highlight w:val="none"/>
              </w:rPr>
              <w:t>0.01</w:t>
            </w:r>
          </w:p>
        </w:tc>
        <w:tc>
          <w:tcPr>
            <w:tcW w:w="581" w:type="pct"/>
            <w:tcBorders>
              <w:tl2br w:val="nil"/>
              <w:tr2bl w:val="nil"/>
            </w:tcBorders>
            <w:noWrap w:val="0"/>
            <w:vAlign w:val="center"/>
          </w:tcPr>
          <w:p w14:paraId="785859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b w:val="0"/>
                <w:i w:val="0"/>
                <w:snapToGrid/>
                <w:color w:val="auto"/>
                <w:spacing w:val="0"/>
                <w:kern w:val="0"/>
                <w:position w:val="0"/>
                <w:sz w:val="21"/>
                <w:highlight w:val="none"/>
                <w:lang w:eastAsia="zh-CN"/>
              </w:rPr>
              <w:t>0.00</w:t>
            </w:r>
            <w:r>
              <w:rPr>
                <w:rFonts w:hint="eastAsia" w:cs="Times New Roman"/>
                <w:b w:val="0"/>
                <w:i w:val="0"/>
                <w:snapToGrid/>
                <w:color w:val="auto"/>
                <w:spacing w:val="0"/>
                <w:kern w:val="0"/>
                <w:position w:val="0"/>
                <w:sz w:val="21"/>
                <w:highlight w:val="none"/>
                <w:lang w:val="en-US" w:eastAsia="zh-CN"/>
              </w:rPr>
              <w:t>124</w:t>
            </w:r>
            <w:r>
              <w:rPr>
                <w:rFonts w:hint="default" w:ascii="Times New Roman" w:hAnsi="Times New Roman" w:eastAsia="宋体" w:cs="Times New Roman"/>
                <w:b w:val="0"/>
                <w:i w:val="0"/>
                <w:snapToGrid/>
                <w:color w:val="auto"/>
                <w:spacing w:val="0"/>
                <w:kern w:val="0"/>
                <w:position w:val="0"/>
                <w:sz w:val="21"/>
                <w:highlight w:val="none"/>
                <w:lang w:eastAsia="zh-CN"/>
              </w:rPr>
              <w:t>L</w:t>
            </w:r>
          </w:p>
        </w:tc>
        <w:tc>
          <w:tcPr>
            <w:tcW w:w="389" w:type="pct"/>
            <w:tcBorders>
              <w:tl2br w:val="nil"/>
              <w:tr2bl w:val="nil"/>
            </w:tcBorders>
            <w:noWrap w:val="0"/>
            <w:vAlign w:val="center"/>
          </w:tcPr>
          <w:p w14:paraId="4FB6F0E5">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0.06</w:t>
            </w:r>
          </w:p>
        </w:tc>
        <w:tc>
          <w:tcPr>
            <w:tcW w:w="581" w:type="pct"/>
            <w:tcBorders>
              <w:tl2br w:val="nil"/>
              <w:tr2bl w:val="nil"/>
            </w:tcBorders>
            <w:shd w:val="clear" w:color="auto" w:fill="auto"/>
            <w:noWrap w:val="0"/>
            <w:vAlign w:val="center"/>
          </w:tcPr>
          <w:p w14:paraId="57A5A6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b w:val="0"/>
                <w:i w:val="0"/>
                <w:snapToGrid/>
                <w:color w:val="auto"/>
                <w:spacing w:val="0"/>
                <w:kern w:val="0"/>
                <w:position w:val="0"/>
                <w:sz w:val="21"/>
                <w:highlight w:val="none"/>
                <w:lang w:eastAsia="zh-CN"/>
              </w:rPr>
              <w:t>0.00</w:t>
            </w:r>
            <w:r>
              <w:rPr>
                <w:rFonts w:hint="eastAsia" w:cs="Times New Roman"/>
                <w:b w:val="0"/>
                <w:i w:val="0"/>
                <w:snapToGrid/>
                <w:color w:val="auto"/>
                <w:spacing w:val="0"/>
                <w:kern w:val="0"/>
                <w:position w:val="0"/>
                <w:sz w:val="21"/>
                <w:highlight w:val="none"/>
                <w:lang w:val="en-US" w:eastAsia="zh-CN"/>
              </w:rPr>
              <w:t>124</w:t>
            </w:r>
            <w:r>
              <w:rPr>
                <w:rFonts w:hint="default" w:ascii="Times New Roman" w:hAnsi="Times New Roman" w:eastAsia="宋体" w:cs="Times New Roman"/>
                <w:b w:val="0"/>
                <w:i w:val="0"/>
                <w:snapToGrid/>
                <w:color w:val="auto"/>
                <w:spacing w:val="0"/>
                <w:kern w:val="0"/>
                <w:position w:val="0"/>
                <w:sz w:val="21"/>
                <w:highlight w:val="none"/>
                <w:lang w:eastAsia="zh-CN"/>
              </w:rPr>
              <w:t>L</w:t>
            </w:r>
          </w:p>
        </w:tc>
        <w:tc>
          <w:tcPr>
            <w:tcW w:w="389" w:type="pct"/>
            <w:tcBorders>
              <w:tl2br w:val="nil"/>
              <w:tr2bl w:val="nil"/>
            </w:tcBorders>
            <w:shd w:val="clear" w:color="auto" w:fill="auto"/>
            <w:noWrap w:val="0"/>
            <w:vAlign w:val="center"/>
          </w:tcPr>
          <w:p w14:paraId="0E6E0F21">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0.06</w:t>
            </w:r>
          </w:p>
        </w:tc>
        <w:tc>
          <w:tcPr>
            <w:tcW w:w="581" w:type="pct"/>
            <w:tcBorders>
              <w:tl2br w:val="nil"/>
              <w:tr2bl w:val="nil"/>
            </w:tcBorders>
            <w:shd w:val="clear" w:color="auto" w:fill="auto"/>
            <w:noWrap w:val="0"/>
            <w:vAlign w:val="center"/>
          </w:tcPr>
          <w:p w14:paraId="0F22BF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b w:val="0"/>
                <w:i w:val="0"/>
                <w:snapToGrid/>
                <w:color w:val="auto"/>
                <w:spacing w:val="0"/>
                <w:kern w:val="0"/>
                <w:position w:val="0"/>
                <w:sz w:val="21"/>
                <w:highlight w:val="none"/>
                <w:lang w:eastAsia="zh-CN"/>
              </w:rPr>
              <w:t>0.00</w:t>
            </w:r>
            <w:r>
              <w:rPr>
                <w:rFonts w:hint="eastAsia" w:cs="Times New Roman"/>
                <w:b w:val="0"/>
                <w:i w:val="0"/>
                <w:snapToGrid/>
                <w:color w:val="auto"/>
                <w:spacing w:val="0"/>
                <w:kern w:val="0"/>
                <w:position w:val="0"/>
                <w:sz w:val="21"/>
                <w:highlight w:val="none"/>
                <w:lang w:val="en-US" w:eastAsia="zh-CN"/>
              </w:rPr>
              <w:t>124</w:t>
            </w:r>
            <w:r>
              <w:rPr>
                <w:rFonts w:hint="default" w:ascii="Times New Roman" w:hAnsi="Times New Roman" w:eastAsia="宋体" w:cs="Times New Roman"/>
                <w:b w:val="0"/>
                <w:i w:val="0"/>
                <w:snapToGrid/>
                <w:color w:val="auto"/>
                <w:spacing w:val="0"/>
                <w:kern w:val="0"/>
                <w:position w:val="0"/>
                <w:sz w:val="21"/>
                <w:highlight w:val="none"/>
                <w:lang w:eastAsia="zh-CN"/>
              </w:rPr>
              <w:t>L</w:t>
            </w:r>
          </w:p>
        </w:tc>
        <w:tc>
          <w:tcPr>
            <w:tcW w:w="389" w:type="pct"/>
            <w:tcBorders>
              <w:tl2br w:val="nil"/>
              <w:tr2bl w:val="nil"/>
            </w:tcBorders>
            <w:noWrap w:val="0"/>
            <w:vAlign w:val="center"/>
          </w:tcPr>
          <w:p w14:paraId="4AAD3EE0">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0.06</w:t>
            </w:r>
          </w:p>
        </w:tc>
      </w:tr>
      <w:tr w14:paraId="0AD67C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08" w:type="dxa"/>
            <w:bottom w:w="15" w:type="dxa"/>
            <w:right w:w="108" w:type="dxa"/>
          </w:tblCellMar>
        </w:tblPrEx>
        <w:trPr>
          <w:trHeight w:val="321" w:hRule="atLeast"/>
        </w:trPr>
        <w:tc>
          <w:tcPr>
            <w:tcW w:w="285" w:type="pct"/>
            <w:tcBorders>
              <w:tl2br w:val="nil"/>
              <w:tr2bl w:val="nil"/>
            </w:tcBorders>
            <w:noWrap w:val="0"/>
            <w:vAlign w:val="center"/>
          </w:tcPr>
          <w:p w14:paraId="6A130581">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21</w:t>
            </w:r>
          </w:p>
        </w:tc>
        <w:tc>
          <w:tcPr>
            <w:tcW w:w="559" w:type="pct"/>
            <w:tcBorders>
              <w:tl2br w:val="nil"/>
              <w:tr2bl w:val="nil"/>
            </w:tcBorders>
            <w:noWrap w:val="0"/>
            <w:vAlign w:val="center"/>
          </w:tcPr>
          <w:p w14:paraId="3E8228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K</w:t>
            </w:r>
            <w:r>
              <w:rPr>
                <w:rFonts w:hint="default" w:ascii="Times New Roman" w:hAnsi="Times New Roman" w:eastAsia="宋体" w:cs="Times New Roman"/>
                <w:caps w:val="0"/>
                <w:snapToGrid/>
                <w:color w:val="auto"/>
                <w:spacing w:val="0"/>
                <w:w w:val="100"/>
                <w:kern w:val="0"/>
                <w:position w:val="0"/>
                <w:sz w:val="21"/>
                <w:szCs w:val="21"/>
                <w:highlight w:val="none"/>
                <w:vertAlign w:val="superscript"/>
                <w:lang w:val="en-US" w:eastAsia="zh-CN"/>
              </w:rPr>
              <w:t>+</w:t>
            </w:r>
          </w:p>
        </w:tc>
        <w:tc>
          <w:tcPr>
            <w:tcW w:w="756" w:type="pct"/>
            <w:tcBorders>
              <w:tl2br w:val="nil"/>
              <w:tr2bl w:val="nil"/>
            </w:tcBorders>
            <w:noWrap w:val="0"/>
            <w:vAlign w:val="center"/>
          </w:tcPr>
          <w:p w14:paraId="517C13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mg/L</w:t>
            </w:r>
          </w:p>
        </w:tc>
        <w:tc>
          <w:tcPr>
            <w:tcW w:w="483" w:type="pct"/>
            <w:tcBorders>
              <w:tl2br w:val="nil"/>
              <w:tr2bl w:val="nil"/>
            </w:tcBorders>
            <w:noWrap w:val="0"/>
            <w:vAlign w:val="center"/>
          </w:tcPr>
          <w:p w14:paraId="551114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w:t>
            </w:r>
          </w:p>
        </w:tc>
        <w:tc>
          <w:tcPr>
            <w:tcW w:w="581" w:type="pct"/>
            <w:tcBorders>
              <w:tl2br w:val="nil"/>
              <w:tr2bl w:val="nil"/>
            </w:tcBorders>
            <w:noWrap w:val="0"/>
            <w:vAlign w:val="center"/>
          </w:tcPr>
          <w:p w14:paraId="2A2C65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556</w:t>
            </w:r>
          </w:p>
        </w:tc>
        <w:tc>
          <w:tcPr>
            <w:tcW w:w="389" w:type="pct"/>
            <w:tcBorders>
              <w:tl2br w:val="nil"/>
              <w:tr2bl w:val="nil"/>
            </w:tcBorders>
            <w:noWrap w:val="0"/>
            <w:vAlign w:val="center"/>
          </w:tcPr>
          <w:p w14:paraId="33BB03EB">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c>
          <w:tcPr>
            <w:tcW w:w="581" w:type="pct"/>
            <w:tcBorders>
              <w:tl2br w:val="nil"/>
              <w:tr2bl w:val="nil"/>
            </w:tcBorders>
            <w:noWrap w:val="0"/>
            <w:vAlign w:val="center"/>
          </w:tcPr>
          <w:p w14:paraId="6455B6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i w:val="0"/>
                <w:iCs w:val="0"/>
                <w:snapToGrid/>
                <w:color w:val="auto"/>
                <w:spacing w:val="0"/>
                <w:kern w:val="0"/>
                <w:position w:val="0"/>
                <w:sz w:val="21"/>
                <w:szCs w:val="21"/>
                <w:highlight w:val="none"/>
                <w:u w:val="none"/>
                <w:lang w:val="en-US" w:eastAsia="zh-CN" w:bidi="ar"/>
              </w:rPr>
              <w:t>281</w:t>
            </w:r>
          </w:p>
        </w:tc>
        <w:tc>
          <w:tcPr>
            <w:tcW w:w="389" w:type="pct"/>
            <w:tcBorders>
              <w:tl2br w:val="nil"/>
              <w:tr2bl w:val="nil"/>
            </w:tcBorders>
            <w:noWrap w:val="0"/>
            <w:vAlign w:val="center"/>
          </w:tcPr>
          <w:p w14:paraId="17DE21BC">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c>
          <w:tcPr>
            <w:tcW w:w="581" w:type="pct"/>
            <w:tcBorders>
              <w:tl2br w:val="nil"/>
              <w:tr2bl w:val="nil"/>
            </w:tcBorders>
            <w:noWrap w:val="0"/>
            <w:vAlign w:val="center"/>
          </w:tcPr>
          <w:p w14:paraId="0FEDD6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i w:val="0"/>
                <w:iCs w:val="0"/>
                <w:snapToGrid/>
                <w:color w:val="auto"/>
                <w:spacing w:val="0"/>
                <w:kern w:val="0"/>
                <w:position w:val="0"/>
                <w:sz w:val="21"/>
                <w:szCs w:val="21"/>
                <w:highlight w:val="none"/>
                <w:u w:val="none"/>
                <w:lang w:val="en-US" w:eastAsia="zh-CN" w:bidi="ar"/>
              </w:rPr>
              <w:t>680</w:t>
            </w:r>
          </w:p>
        </w:tc>
        <w:tc>
          <w:tcPr>
            <w:tcW w:w="389" w:type="pct"/>
            <w:tcBorders>
              <w:tl2br w:val="nil"/>
              <w:tr2bl w:val="nil"/>
            </w:tcBorders>
            <w:noWrap w:val="0"/>
            <w:vAlign w:val="center"/>
          </w:tcPr>
          <w:p w14:paraId="142482EF">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r>
      <w:tr w14:paraId="1F767E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08" w:type="dxa"/>
            <w:bottom w:w="15" w:type="dxa"/>
            <w:right w:w="108" w:type="dxa"/>
          </w:tblCellMar>
        </w:tblPrEx>
        <w:trPr>
          <w:trHeight w:val="351" w:hRule="atLeast"/>
        </w:trPr>
        <w:tc>
          <w:tcPr>
            <w:tcW w:w="285" w:type="pct"/>
            <w:tcBorders>
              <w:tl2br w:val="nil"/>
              <w:tr2bl w:val="nil"/>
            </w:tcBorders>
            <w:noWrap w:val="0"/>
            <w:vAlign w:val="center"/>
          </w:tcPr>
          <w:p w14:paraId="06D36192">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22</w:t>
            </w:r>
          </w:p>
        </w:tc>
        <w:tc>
          <w:tcPr>
            <w:tcW w:w="559" w:type="pct"/>
            <w:tcBorders>
              <w:tl2br w:val="nil"/>
              <w:tr2bl w:val="nil"/>
            </w:tcBorders>
            <w:noWrap w:val="0"/>
            <w:vAlign w:val="center"/>
          </w:tcPr>
          <w:p w14:paraId="2BD3B4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Ca</w:t>
            </w:r>
            <w:r>
              <w:rPr>
                <w:rFonts w:hint="default" w:ascii="Times New Roman" w:hAnsi="Times New Roman" w:eastAsia="宋体" w:cs="Times New Roman"/>
                <w:caps w:val="0"/>
                <w:snapToGrid/>
                <w:color w:val="auto"/>
                <w:spacing w:val="0"/>
                <w:w w:val="100"/>
                <w:kern w:val="0"/>
                <w:position w:val="0"/>
                <w:sz w:val="21"/>
                <w:szCs w:val="21"/>
                <w:highlight w:val="none"/>
                <w:vertAlign w:val="superscript"/>
                <w:lang w:val="en-US" w:eastAsia="zh-CN"/>
              </w:rPr>
              <w:t>2+</w:t>
            </w:r>
          </w:p>
        </w:tc>
        <w:tc>
          <w:tcPr>
            <w:tcW w:w="756" w:type="pct"/>
            <w:tcBorders>
              <w:tl2br w:val="nil"/>
              <w:tr2bl w:val="nil"/>
            </w:tcBorders>
            <w:noWrap w:val="0"/>
            <w:vAlign w:val="center"/>
          </w:tcPr>
          <w:p w14:paraId="37B16D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mg/L</w:t>
            </w:r>
          </w:p>
        </w:tc>
        <w:tc>
          <w:tcPr>
            <w:tcW w:w="483" w:type="pct"/>
            <w:tcBorders>
              <w:tl2br w:val="nil"/>
              <w:tr2bl w:val="nil"/>
            </w:tcBorders>
            <w:noWrap w:val="0"/>
            <w:vAlign w:val="center"/>
          </w:tcPr>
          <w:p w14:paraId="6306A7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w:t>
            </w:r>
          </w:p>
        </w:tc>
        <w:tc>
          <w:tcPr>
            <w:tcW w:w="581" w:type="pct"/>
            <w:tcBorders>
              <w:tl2br w:val="nil"/>
              <w:tr2bl w:val="nil"/>
            </w:tcBorders>
            <w:noWrap w:val="0"/>
            <w:vAlign w:val="center"/>
          </w:tcPr>
          <w:p w14:paraId="41663B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169</w:t>
            </w:r>
          </w:p>
        </w:tc>
        <w:tc>
          <w:tcPr>
            <w:tcW w:w="389" w:type="pct"/>
            <w:tcBorders>
              <w:tl2br w:val="nil"/>
              <w:tr2bl w:val="nil"/>
            </w:tcBorders>
            <w:noWrap w:val="0"/>
            <w:vAlign w:val="center"/>
          </w:tcPr>
          <w:p w14:paraId="67DDE68E">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c>
          <w:tcPr>
            <w:tcW w:w="581" w:type="pct"/>
            <w:tcBorders>
              <w:tl2br w:val="nil"/>
              <w:tr2bl w:val="nil"/>
            </w:tcBorders>
            <w:noWrap w:val="0"/>
            <w:vAlign w:val="center"/>
          </w:tcPr>
          <w:p w14:paraId="48E45F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i w:val="0"/>
                <w:iCs w:val="0"/>
                <w:snapToGrid/>
                <w:color w:val="auto"/>
                <w:spacing w:val="0"/>
                <w:kern w:val="0"/>
                <w:position w:val="0"/>
                <w:sz w:val="21"/>
                <w:szCs w:val="21"/>
                <w:highlight w:val="none"/>
                <w:u w:val="none"/>
                <w:lang w:val="en-US" w:eastAsia="zh-CN" w:bidi="ar"/>
              </w:rPr>
              <w:t>248</w:t>
            </w:r>
          </w:p>
        </w:tc>
        <w:tc>
          <w:tcPr>
            <w:tcW w:w="389" w:type="pct"/>
            <w:tcBorders>
              <w:tl2br w:val="nil"/>
              <w:tr2bl w:val="nil"/>
            </w:tcBorders>
            <w:noWrap w:val="0"/>
            <w:vAlign w:val="center"/>
          </w:tcPr>
          <w:p w14:paraId="1239A0BF">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c>
          <w:tcPr>
            <w:tcW w:w="581" w:type="pct"/>
            <w:tcBorders>
              <w:tl2br w:val="nil"/>
              <w:tr2bl w:val="nil"/>
            </w:tcBorders>
            <w:noWrap w:val="0"/>
            <w:vAlign w:val="center"/>
          </w:tcPr>
          <w:p w14:paraId="5D787A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snapToGrid/>
                <w:color w:val="auto"/>
                <w:spacing w:val="0"/>
                <w:kern w:val="0"/>
                <w:position w:val="0"/>
                <w:sz w:val="21"/>
                <w:szCs w:val="21"/>
                <w:highlight w:val="none"/>
                <w:u w:val="none"/>
                <w:lang w:val="en-US" w:eastAsia="zh-CN" w:bidi="ar"/>
              </w:rPr>
              <w:t>1</w:t>
            </w:r>
            <w:r>
              <w:rPr>
                <w:rFonts w:hint="eastAsia" w:cs="Times New Roman"/>
                <w:i w:val="0"/>
                <w:iCs w:val="0"/>
                <w:snapToGrid/>
                <w:color w:val="auto"/>
                <w:spacing w:val="0"/>
                <w:kern w:val="0"/>
                <w:position w:val="0"/>
                <w:sz w:val="21"/>
                <w:szCs w:val="21"/>
                <w:highlight w:val="none"/>
                <w:u w:val="none"/>
                <w:lang w:val="en-US" w:eastAsia="zh-CN" w:bidi="ar"/>
              </w:rPr>
              <w:t>60</w:t>
            </w:r>
          </w:p>
        </w:tc>
        <w:tc>
          <w:tcPr>
            <w:tcW w:w="389" w:type="pct"/>
            <w:tcBorders>
              <w:tl2br w:val="nil"/>
              <w:tr2bl w:val="nil"/>
            </w:tcBorders>
            <w:noWrap w:val="0"/>
            <w:vAlign w:val="center"/>
          </w:tcPr>
          <w:p w14:paraId="017CA9F7">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r>
      <w:tr w14:paraId="5D4A8B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08" w:type="dxa"/>
            <w:bottom w:w="15" w:type="dxa"/>
            <w:right w:w="108" w:type="dxa"/>
          </w:tblCellMar>
        </w:tblPrEx>
        <w:trPr>
          <w:trHeight w:val="321" w:hRule="atLeast"/>
        </w:trPr>
        <w:tc>
          <w:tcPr>
            <w:tcW w:w="285" w:type="pct"/>
            <w:tcBorders>
              <w:tl2br w:val="nil"/>
              <w:tr2bl w:val="nil"/>
            </w:tcBorders>
            <w:noWrap w:val="0"/>
            <w:vAlign w:val="center"/>
          </w:tcPr>
          <w:p w14:paraId="207390B8">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23</w:t>
            </w:r>
          </w:p>
        </w:tc>
        <w:tc>
          <w:tcPr>
            <w:tcW w:w="559" w:type="pct"/>
            <w:tcBorders>
              <w:tl2br w:val="nil"/>
              <w:tr2bl w:val="nil"/>
            </w:tcBorders>
            <w:noWrap w:val="0"/>
            <w:vAlign w:val="center"/>
          </w:tcPr>
          <w:p w14:paraId="2EC8A1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Na</w:t>
            </w:r>
            <w:r>
              <w:rPr>
                <w:rFonts w:hint="default" w:ascii="Times New Roman" w:hAnsi="Times New Roman" w:eastAsia="宋体" w:cs="Times New Roman"/>
                <w:caps w:val="0"/>
                <w:snapToGrid/>
                <w:color w:val="auto"/>
                <w:spacing w:val="0"/>
                <w:w w:val="100"/>
                <w:kern w:val="0"/>
                <w:position w:val="0"/>
                <w:sz w:val="21"/>
                <w:szCs w:val="21"/>
                <w:highlight w:val="none"/>
                <w:vertAlign w:val="superscript"/>
                <w:lang w:val="en-US" w:eastAsia="zh-CN"/>
              </w:rPr>
              <w:t>+</w:t>
            </w:r>
          </w:p>
        </w:tc>
        <w:tc>
          <w:tcPr>
            <w:tcW w:w="756" w:type="pct"/>
            <w:tcBorders>
              <w:tl2br w:val="nil"/>
              <w:tr2bl w:val="nil"/>
            </w:tcBorders>
            <w:noWrap w:val="0"/>
            <w:vAlign w:val="center"/>
          </w:tcPr>
          <w:p w14:paraId="2C0B06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mg/L</w:t>
            </w:r>
          </w:p>
        </w:tc>
        <w:tc>
          <w:tcPr>
            <w:tcW w:w="483" w:type="pct"/>
            <w:tcBorders>
              <w:tl2br w:val="nil"/>
              <w:tr2bl w:val="nil"/>
            </w:tcBorders>
            <w:noWrap w:val="0"/>
            <w:vAlign w:val="center"/>
          </w:tcPr>
          <w:p w14:paraId="120237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w:t>
            </w:r>
          </w:p>
        </w:tc>
        <w:tc>
          <w:tcPr>
            <w:tcW w:w="581" w:type="pct"/>
            <w:tcBorders>
              <w:tl2br w:val="nil"/>
              <w:tr2bl w:val="nil"/>
            </w:tcBorders>
            <w:noWrap w:val="0"/>
            <w:vAlign w:val="center"/>
          </w:tcPr>
          <w:p w14:paraId="01E359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4598</w:t>
            </w:r>
          </w:p>
        </w:tc>
        <w:tc>
          <w:tcPr>
            <w:tcW w:w="389" w:type="pct"/>
            <w:tcBorders>
              <w:tl2br w:val="nil"/>
              <w:tr2bl w:val="nil"/>
            </w:tcBorders>
            <w:noWrap w:val="0"/>
            <w:vAlign w:val="center"/>
          </w:tcPr>
          <w:p w14:paraId="61A2FE6D">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c>
          <w:tcPr>
            <w:tcW w:w="581" w:type="pct"/>
            <w:tcBorders>
              <w:tl2br w:val="nil"/>
              <w:tr2bl w:val="nil"/>
            </w:tcBorders>
            <w:noWrap w:val="0"/>
            <w:vAlign w:val="center"/>
          </w:tcPr>
          <w:p w14:paraId="39BA06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i w:val="0"/>
                <w:iCs w:val="0"/>
                <w:snapToGrid/>
                <w:color w:val="auto"/>
                <w:spacing w:val="0"/>
                <w:kern w:val="0"/>
                <w:position w:val="0"/>
                <w:sz w:val="21"/>
                <w:szCs w:val="21"/>
                <w:highlight w:val="none"/>
                <w:u w:val="none"/>
                <w:lang w:val="en-US" w:eastAsia="zh-CN" w:bidi="ar"/>
              </w:rPr>
              <w:t>3653</w:t>
            </w:r>
          </w:p>
        </w:tc>
        <w:tc>
          <w:tcPr>
            <w:tcW w:w="389" w:type="pct"/>
            <w:tcBorders>
              <w:tl2br w:val="nil"/>
              <w:tr2bl w:val="nil"/>
            </w:tcBorders>
            <w:noWrap w:val="0"/>
            <w:vAlign w:val="center"/>
          </w:tcPr>
          <w:p w14:paraId="7ADDB206">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c>
          <w:tcPr>
            <w:tcW w:w="581" w:type="pct"/>
            <w:tcBorders>
              <w:tl2br w:val="nil"/>
              <w:tr2bl w:val="nil"/>
            </w:tcBorders>
            <w:noWrap w:val="0"/>
            <w:vAlign w:val="center"/>
          </w:tcPr>
          <w:p w14:paraId="12AFD0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i w:val="0"/>
                <w:iCs w:val="0"/>
                <w:snapToGrid/>
                <w:color w:val="auto"/>
                <w:spacing w:val="0"/>
                <w:kern w:val="0"/>
                <w:position w:val="0"/>
                <w:sz w:val="21"/>
                <w:szCs w:val="21"/>
                <w:highlight w:val="none"/>
                <w:u w:val="none"/>
                <w:lang w:val="en-US" w:eastAsia="zh-CN" w:bidi="ar"/>
              </w:rPr>
              <w:t>5530</w:t>
            </w:r>
          </w:p>
        </w:tc>
        <w:tc>
          <w:tcPr>
            <w:tcW w:w="389" w:type="pct"/>
            <w:tcBorders>
              <w:tl2br w:val="nil"/>
              <w:tr2bl w:val="nil"/>
            </w:tcBorders>
            <w:noWrap w:val="0"/>
            <w:vAlign w:val="center"/>
          </w:tcPr>
          <w:p w14:paraId="09095EFB">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r>
      <w:tr w14:paraId="1D0521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08" w:type="dxa"/>
            <w:bottom w:w="15" w:type="dxa"/>
            <w:right w:w="108" w:type="dxa"/>
          </w:tblCellMar>
        </w:tblPrEx>
        <w:trPr>
          <w:trHeight w:val="261" w:hRule="atLeast"/>
        </w:trPr>
        <w:tc>
          <w:tcPr>
            <w:tcW w:w="285" w:type="pct"/>
            <w:tcBorders>
              <w:tl2br w:val="nil"/>
              <w:tr2bl w:val="nil"/>
            </w:tcBorders>
            <w:noWrap w:val="0"/>
            <w:vAlign w:val="center"/>
          </w:tcPr>
          <w:p w14:paraId="0DC105A5">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24</w:t>
            </w:r>
          </w:p>
        </w:tc>
        <w:tc>
          <w:tcPr>
            <w:tcW w:w="559" w:type="pct"/>
            <w:tcBorders>
              <w:tl2br w:val="nil"/>
              <w:tr2bl w:val="nil"/>
            </w:tcBorders>
            <w:noWrap w:val="0"/>
            <w:vAlign w:val="center"/>
          </w:tcPr>
          <w:p w14:paraId="77199E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Mg</w:t>
            </w:r>
            <w:r>
              <w:rPr>
                <w:rFonts w:hint="default" w:ascii="Times New Roman" w:hAnsi="Times New Roman" w:eastAsia="宋体" w:cs="Times New Roman"/>
                <w:caps w:val="0"/>
                <w:snapToGrid/>
                <w:color w:val="auto"/>
                <w:spacing w:val="0"/>
                <w:w w:val="100"/>
                <w:kern w:val="0"/>
                <w:position w:val="0"/>
                <w:sz w:val="21"/>
                <w:szCs w:val="21"/>
                <w:highlight w:val="none"/>
                <w:vertAlign w:val="superscript"/>
                <w:lang w:val="en-US" w:eastAsia="zh-CN"/>
              </w:rPr>
              <w:t>2+</w:t>
            </w:r>
          </w:p>
        </w:tc>
        <w:tc>
          <w:tcPr>
            <w:tcW w:w="756" w:type="pct"/>
            <w:tcBorders>
              <w:tl2br w:val="nil"/>
              <w:tr2bl w:val="nil"/>
            </w:tcBorders>
            <w:noWrap w:val="0"/>
            <w:vAlign w:val="center"/>
          </w:tcPr>
          <w:p w14:paraId="169ACF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mg/L</w:t>
            </w:r>
          </w:p>
        </w:tc>
        <w:tc>
          <w:tcPr>
            <w:tcW w:w="483" w:type="pct"/>
            <w:tcBorders>
              <w:tl2br w:val="nil"/>
              <w:tr2bl w:val="nil"/>
            </w:tcBorders>
            <w:noWrap w:val="0"/>
            <w:vAlign w:val="center"/>
          </w:tcPr>
          <w:p w14:paraId="77FE28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w:t>
            </w:r>
          </w:p>
        </w:tc>
        <w:tc>
          <w:tcPr>
            <w:tcW w:w="581" w:type="pct"/>
            <w:tcBorders>
              <w:tl2br w:val="nil"/>
              <w:tr2bl w:val="nil"/>
            </w:tcBorders>
            <w:noWrap w:val="0"/>
            <w:vAlign w:val="center"/>
          </w:tcPr>
          <w:p w14:paraId="45C508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659</w:t>
            </w:r>
          </w:p>
        </w:tc>
        <w:tc>
          <w:tcPr>
            <w:tcW w:w="389" w:type="pct"/>
            <w:tcBorders>
              <w:tl2br w:val="nil"/>
              <w:tr2bl w:val="nil"/>
            </w:tcBorders>
            <w:noWrap w:val="0"/>
            <w:vAlign w:val="center"/>
          </w:tcPr>
          <w:p w14:paraId="7F90194B">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c>
          <w:tcPr>
            <w:tcW w:w="581" w:type="pct"/>
            <w:tcBorders>
              <w:tl2br w:val="nil"/>
              <w:tr2bl w:val="nil"/>
            </w:tcBorders>
            <w:noWrap w:val="0"/>
            <w:vAlign w:val="center"/>
          </w:tcPr>
          <w:p w14:paraId="57A5B1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i w:val="0"/>
                <w:iCs w:val="0"/>
                <w:snapToGrid/>
                <w:color w:val="auto"/>
                <w:spacing w:val="0"/>
                <w:kern w:val="0"/>
                <w:position w:val="0"/>
                <w:sz w:val="21"/>
                <w:szCs w:val="21"/>
                <w:highlight w:val="none"/>
                <w:u w:val="none"/>
                <w:lang w:val="en-US" w:eastAsia="zh-CN" w:bidi="ar"/>
              </w:rPr>
              <w:t>316</w:t>
            </w:r>
          </w:p>
        </w:tc>
        <w:tc>
          <w:tcPr>
            <w:tcW w:w="389" w:type="pct"/>
            <w:tcBorders>
              <w:tl2br w:val="nil"/>
              <w:tr2bl w:val="nil"/>
            </w:tcBorders>
            <w:noWrap w:val="0"/>
            <w:vAlign w:val="center"/>
          </w:tcPr>
          <w:p w14:paraId="2013D9A7">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c>
          <w:tcPr>
            <w:tcW w:w="581" w:type="pct"/>
            <w:tcBorders>
              <w:tl2br w:val="nil"/>
              <w:tr2bl w:val="nil"/>
            </w:tcBorders>
            <w:noWrap w:val="0"/>
            <w:vAlign w:val="center"/>
          </w:tcPr>
          <w:p w14:paraId="5E1714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i w:val="0"/>
                <w:iCs w:val="0"/>
                <w:snapToGrid/>
                <w:color w:val="auto"/>
                <w:spacing w:val="0"/>
                <w:kern w:val="0"/>
                <w:position w:val="0"/>
                <w:sz w:val="21"/>
                <w:szCs w:val="21"/>
                <w:highlight w:val="none"/>
                <w:u w:val="none"/>
                <w:lang w:val="en-US" w:eastAsia="zh-CN" w:bidi="ar"/>
              </w:rPr>
              <w:t>818</w:t>
            </w:r>
          </w:p>
        </w:tc>
        <w:tc>
          <w:tcPr>
            <w:tcW w:w="389" w:type="pct"/>
            <w:tcBorders>
              <w:tl2br w:val="nil"/>
              <w:tr2bl w:val="nil"/>
            </w:tcBorders>
            <w:noWrap w:val="0"/>
            <w:vAlign w:val="center"/>
          </w:tcPr>
          <w:p w14:paraId="62EFBC4E">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r>
      <w:tr w14:paraId="0AEF36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08" w:type="dxa"/>
            <w:bottom w:w="15" w:type="dxa"/>
            <w:right w:w="108" w:type="dxa"/>
          </w:tblCellMar>
        </w:tblPrEx>
        <w:trPr>
          <w:trHeight w:val="306" w:hRule="atLeast"/>
        </w:trPr>
        <w:tc>
          <w:tcPr>
            <w:tcW w:w="285" w:type="pct"/>
            <w:tcBorders>
              <w:tl2br w:val="nil"/>
              <w:tr2bl w:val="nil"/>
            </w:tcBorders>
            <w:noWrap w:val="0"/>
            <w:vAlign w:val="center"/>
          </w:tcPr>
          <w:p w14:paraId="06B1AD72">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25</w:t>
            </w:r>
          </w:p>
        </w:tc>
        <w:tc>
          <w:tcPr>
            <w:tcW w:w="559" w:type="pct"/>
            <w:tcBorders>
              <w:tl2br w:val="nil"/>
              <w:tr2bl w:val="nil"/>
            </w:tcBorders>
            <w:noWrap w:val="0"/>
            <w:vAlign w:val="center"/>
          </w:tcPr>
          <w:p w14:paraId="349B75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CO</w:t>
            </w:r>
            <w:r>
              <w:rPr>
                <w:rFonts w:hint="default" w:ascii="Times New Roman" w:hAnsi="Times New Roman" w:eastAsia="宋体" w:cs="Times New Roman"/>
                <w:caps w:val="0"/>
                <w:snapToGrid/>
                <w:color w:val="auto"/>
                <w:spacing w:val="0"/>
                <w:w w:val="100"/>
                <w:kern w:val="0"/>
                <w:position w:val="0"/>
                <w:sz w:val="21"/>
                <w:szCs w:val="21"/>
                <w:highlight w:val="none"/>
                <w:vertAlign w:val="subscript"/>
                <w:lang w:val="en-US" w:eastAsia="zh-CN"/>
              </w:rPr>
              <w:t>3</w:t>
            </w:r>
            <w:r>
              <w:rPr>
                <w:rFonts w:hint="default" w:ascii="Times New Roman" w:hAnsi="Times New Roman" w:eastAsia="宋体" w:cs="Times New Roman"/>
                <w:caps w:val="0"/>
                <w:snapToGrid/>
                <w:color w:val="auto"/>
                <w:spacing w:val="0"/>
                <w:w w:val="100"/>
                <w:kern w:val="0"/>
                <w:position w:val="0"/>
                <w:sz w:val="21"/>
                <w:szCs w:val="21"/>
                <w:highlight w:val="none"/>
                <w:vertAlign w:val="superscript"/>
                <w:lang w:val="en-US" w:eastAsia="zh-CN"/>
              </w:rPr>
              <w:t>2-</w:t>
            </w:r>
          </w:p>
        </w:tc>
        <w:tc>
          <w:tcPr>
            <w:tcW w:w="756" w:type="pct"/>
            <w:tcBorders>
              <w:tl2br w:val="nil"/>
              <w:tr2bl w:val="nil"/>
            </w:tcBorders>
            <w:noWrap w:val="0"/>
            <w:vAlign w:val="center"/>
          </w:tcPr>
          <w:p w14:paraId="6B46C9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mg/L</w:t>
            </w:r>
          </w:p>
        </w:tc>
        <w:tc>
          <w:tcPr>
            <w:tcW w:w="483" w:type="pct"/>
            <w:tcBorders>
              <w:tl2br w:val="nil"/>
              <w:tr2bl w:val="nil"/>
            </w:tcBorders>
            <w:noWrap w:val="0"/>
            <w:vAlign w:val="center"/>
          </w:tcPr>
          <w:p w14:paraId="120CAF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w:t>
            </w:r>
          </w:p>
        </w:tc>
        <w:tc>
          <w:tcPr>
            <w:tcW w:w="581" w:type="pct"/>
            <w:tcBorders>
              <w:tl2br w:val="nil"/>
              <w:tr2bl w:val="nil"/>
            </w:tcBorders>
            <w:noWrap w:val="0"/>
            <w:vAlign w:val="center"/>
          </w:tcPr>
          <w:p w14:paraId="295114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5L</w:t>
            </w:r>
          </w:p>
        </w:tc>
        <w:tc>
          <w:tcPr>
            <w:tcW w:w="389" w:type="pct"/>
            <w:tcBorders>
              <w:tl2br w:val="nil"/>
              <w:tr2bl w:val="nil"/>
            </w:tcBorders>
            <w:noWrap w:val="0"/>
            <w:vAlign w:val="center"/>
          </w:tcPr>
          <w:p w14:paraId="392C2F1C">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c>
          <w:tcPr>
            <w:tcW w:w="581" w:type="pct"/>
            <w:tcBorders>
              <w:tl2br w:val="nil"/>
              <w:tr2bl w:val="nil"/>
            </w:tcBorders>
            <w:shd w:val="clear" w:color="auto" w:fill="auto"/>
            <w:noWrap w:val="0"/>
            <w:vAlign w:val="center"/>
          </w:tcPr>
          <w:p w14:paraId="01B203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eastAsia" w:cs="Times New Roman"/>
                <w:i w:val="0"/>
                <w:iCs w:val="0"/>
                <w:snapToGrid/>
                <w:color w:val="auto"/>
                <w:spacing w:val="0"/>
                <w:kern w:val="0"/>
                <w:position w:val="0"/>
                <w:sz w:val="21"/>
                <w:szCs w:val="21"/>
                <w:highlight w:val="none"/>
                <w:u w:val="none"/>
                <w:lang w:val="en-US" w:eastAsia="zh-CN" w:bidi="ar"/>
              </w:rPr>
              <w:t>5L</w:t>
            </w:r>
          </w:p>
        </w:tc>
        <w:tc>
          <w:tcPr>
            <w:tcW w:w="389" w:type="pct"/>
            <w:tcBorders>
              <w:tl2br w:val="nil"/>
              <w:tr2bl w:val="nil"/>
            </w:tcBorders>
            <w:shd w:val="clear" w:color="auto" w:fill="auto"/>
            <w:noWrap w:val="0"/>
            <w:vAlign w:val="center"/>
          </w:tcPr>
          <w:p w14:paraId="3C2DAC8D">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w:t>
            </w:r>
          </w:p>
        </w:tc>
        <w:tc>
          <w:tcPr>
            <w:tcW w:w="581" w:type="pct"/>
            <w:tcBorders>
              <w:tl2br w:val="nil"/>
              <w:tr2bl w:val="nil"/>
            </w:tcBorders>
            <w:shd w:val="clear" w:color="auto" w:fill="auto"/>
            <w:noWrap w:val="0"/>
            <w:vAlign w:val="center"/>
          </w:tcPr>
          <w:p w14:paraId="2F926F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eastAsia" w:cs="Times New Roman"/>
                <w:i w:val="0"/>
                <w:iCs w:val="0"/>
                <w:snapToGrid/>
                <w:color w:val="auto"/>
                <w:spacing w:val="0"/>
                <w:kern w:val="0"/>
                <w:position w:val="0"/>
                <w:sz w:val="21"/>
                <w:szCs w:val="21"/>
                <w:highlight w:val="none"/>
                <w:u w:val="none"/>
                <w:lang w:val="en-US" w:eastAsia="zh-CN" w:bidi="ar"/>
              </w:rPr>
              <w:t>5L</w:t>
            </w:r>
          </w:p>
        </w:tc>
        <w:tc>
          <w:tcPr>
            <w:tcW w:w="389" w:type="pct"/>
            <w:tcBorders>
              <w:tl2br w:val="nil"/>
              <w:tr2bl w:val="nil"/>
            </w:tcBorders>
            <w:noWrap w:val="0"/>
            <w:vAlign w:val="center"/>
          </w:tcPr>
          <w:p w14:paraId="49103E57">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57E433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08" w:type="dxa"/>
            <w:bottom w:w="15" w:type="dxa"/>
            <w:right w:w="108" w:type="dxa"/>
          </w:tblCellMar>
        </w:tblPrEx>
        <w:trPr>
          <w:trHeight w:val="361" w:hRule="atLeast"/>
        </w:trPr>
        <w:tc>
          <w:tcPr>
            <w:tcW w:w="285" w:type="pct"/>
            <w:tcBorders>
              <w:tl2br w:val="nil"/>
              <w:tr2bl w:val="nil"/>
            </w:tcBorders>
            <w:noWrap w:val="0"/>
            <w:vAlign w:val="center"/>
          </w:tcPr>
          <w:p w14:paraId="76EA7F68">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26</w:t>
            </w:r>
          </w:p>
        </w:tc>
        <w:tc>
          <w:tcPr>
            <w:tcW w:w="559" w:type="pct"/>
            <w:tcBorders>
              <w:tl2br w:val="nil"/>
              <w:tr2bl w:val="nil"/>
            </w:tcBorders>
            <w:noWrap w:val="0"/>
            <w:vAlign w:val="center"/>
          </w:tcPr>
          <w:p w14:paraId="0FF0C8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HCO</w:t>
            </w:r>
            <w:r>
              <w:rPr>
                <w:rFonts w:hint="default" w:ascii="Times New Roman" w:hAnsi="Times New Roman" w:eastAsia="宋体" w:cs="Times New Roman"/>
                <w:caps w:val="0"/>
                <w:snapToGrid/>
                <w:color w:val="auto"/>
                <w:spacing w:val="0"/>
                <w:w w:val="100"/>
                <w:kern w:val="0"/>
                <w:position w:val="0"/>
                <w:sz w:val="21"/>
                <w:szCs w:val="21"/>
                <w:highlight w:val="none"/>
                <w:vertAlign w:val="superscript"/>
                <w:lang w:val="en-US" w:eastAsia="zh-CN"/>
              </w:rPr>
              <w:t>-</w:t>
            </w:r>
          </w:p>
        </w:tc>
        <w:tc>
          <w:tcPr>
            <w:tcW w:w="756" w:type="pct"/>
            <w:tcBorders>
              <w:tl2br w:val="nil"/>
              <w:tr2bl w:val="nil"/>
            </w:tcBorders>
            <w:noWrap w:val="0"/>
            <w:vAlign w:val="center"/>
          </w:tcPr>
          <w:p w14:paraId="102924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mg/L</w:t>
            </w:r>
          </w:p>
        </w:tc>
        <w:tc>
          <w:tcPr>
            <w:tcW w:w="483" w:type="pct"/>
            <w:tcBorders>
              <w:tl2br w:val="nil"/>
              <w:tr2bl w:val="nil"/>
            </w:tcBorders>
            <w:noWrap w:val="0"/>
            <w:vAlign w:val="center"/>
          </w:tcPr>
          <w:p w14:paraId="0AA419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w:t>
            </w:r>
          </w:p>
        </w:tc>
        <w:tc>
          <w:tcPr>
            <w:tcW w:w="581" w:type="pct"/>
            <w:tcBorders>
              <w:tl2br w:val="nil"/>
              <w:tr2bl w:val="nil"/>
            </w:tcBorders>
            <w:noWrap w:val="0"/>
            <w:vAlign w:val="center"/>
          </w:tcPr>
          <w:p w14:paraId="333D05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3056</w:t>
            </w:r>
          </w:p>
        </w:tc>
        <w:tc>
          <w:tcPr>
            <w:tcW w:w="389" w:type="pct"/>
            <w:tcBorders>
              <w:tl2br w:val="nil"/>
              <w:tr2bl w:val="nil"/>
            </w:tcBorders>
            <w:noWrap w:val="0"/>
            <w:vAlign w:val="center"/>
          </w:tcPr>
          <w:p w14:paraId="69306E97">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c>
          <w:tcPr>
            <w:tcW w:w="581" w:type="pct"/>
            <w:tcBorders>
              <w:tl2br w:val="nil"/>
              <w:tr2bl w:val="nil"/>
            </w:tcBorders>
            <w:noWrap w:val="0"/>
            <w:vAlign w:val="center"/>
          </w:tcPr>
          <w:p w14:paraId="40B021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i w:val="0"/>
                <w:iCs w:val="0"/>
                <w:snapToGrid/>
                <w:color w:val="auto"/>
                <w:spacing w:val="0"/>
                <w:kern w:val="0"/>
                <w:position w:val="0"/>
                <w:sz w:val="21"/>
                <w:szCs w:val="21"/>
                <w:highlight w:val="none"/>
                <w:u w:val="none"/>
                <w:lang w:val="en-US" w:eastAsia="zh-CN" w:bidi="ar"/>
              </w:rPr>
              <w:t>934</w:t>
            </w:r>
          </w:p>
        </w:tc>
        <w:tc>
          <w:tcPr>
            <w:tcW w:w="389" w:type="pct"/>
            <w:tcBorders>
              <w:tl2br w:val="nil"/>
              <w:tr2bl w:val="nil"/>
            </w:tcBorders>
            <w:noWrap w:val="0"/>
            <w:vAlign w:val="center"/>
          </w:tcPr>
          <w:p w14:paraId="5C661ECE">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c>
          <w:tcPr>
            <w:tcW w:w="581" w:type="pct"/>
            <w:tcBorders>
              <w:tl2br w:val="nil"/>
              <w:tr2bl w:val="nil"/>
            </w:tcBorders>
            <w:noWrap w:val="0"/>
            <w:vAlign w:val="center"/>
          </w:tcPr>
          <w:p w14:paraId="3CBF82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i w:val="0"/>
                <w:iCs w:val="0"/>
                <w:snapToGrid/>
                <w:color w:val="auto"/>
                <w:spacing w:val="0"/>
                <w:kern w:val="0"/>
                <w:position w:val="0"/>
                <w:sz w:val="21"/>
                <w:szCs w:val="21"/>
                <w:highlight w:val="none"/>
                <w:u w:val="none"/>
                <w:lang w:val="en-US" w:eastAsia="zh-CN" w:bidi="ar"/>
              </w:rPr>
              <w:t>2084</w:t>
            </w:r>
          </w:p>
        </w:tc>
        <w:tc>
          <w:tcPr>
            <w:tcW w:w="389" w:type="pct"/>
            <w:tcBorders>
              <w:tl2br w:val="nil"/>
              <w:tr2bl w:val="nil"/>
            </w:tcBorders>
            <w:noWrap w:val="0"/>
            <w:vAlign w:val="center"/>
          </w:tcPr>
          <w:p w14:paraId="5A7BEAA4">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r>
      <w:tr w14:paraId="63781D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08" w:type="dxa"/>
            <w:bottom w:w="15" w:type="dxa"/>
            <w:right w:w="108" w:type="dxa"/>
          </w:tblCellMar>
        </w:tblPrEx>
        <w:trPr>
          <w:trHeight w:val="361" w:hRule="atLeast"/>
        </w:trPr>
        <w:tc>
          <w:tcPr>
            <w:tcW w:w="285" w:type="pct"/>
            <w:tcBorders>
              <w:tl2br w:val="nil"/>
              <w:tr2bl w:val="nil"/>
            </w:tcBorders>
            <w:noWrap w:val="0"/>
            <w:vAlign w:val="center"/>
          </w:tcPr>
          <w:p w14:paraId="593DD0FA">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27</w:t>
            </w:r>
          </w:p>
        </w:tc>
        <w:tc>
          <w:tcPr>
            <w:tcW w:w="559" w:type="pct"/>
            <w:tcBorders>
              <w:tl2br w:val="nil"/>
              <w:tr2bl w:val="nil"/>
            </w:tcBorders>
            <w:noWrap w:val="0"/>
            <w:vAlign w:val="center"/>
          </w:tcPr>
          <w:p w14:paraId="45BFE9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菌落总数</w:t>
            </w:r>
          </w:p>
        </w:tc>
        <w:tc>
          <w:tcPr>
            <w:tcW w:w="756" w:type="pct"/>
            <w:tcBorders>
              <w:tl2br w:val="nil"/>
              <w:tr2bl w:val="nil"/>
            </w:tcBorders>
            <w:noWrap w:val="0"/>
            <w:vAlign w:val="center"/>
          </w:tcPr>
          <w:p w14:paraId="0EA0C1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CFU/mL</w:t>
            </w:r>
          </w:p>
        </w:tc>
        <w:tc>
          <w:tcPr>
            <w:tcW w:w="483" w:type="pct"/>
            <w:tcBorders>
              <w:tl2br w:val="nil"/>
              <w:tr2bl w:val="nil"/>
            </w:tcBorders>
            <w:noWrap w:val="0"/>
            <w:vAlign w:val="center"/>
          </w:tcPr>
          <w:p w14:paraId="6C8E04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100</w:t>
            </w:r>
          </w:p>
        </w:tc>
        <w:tc>
          <w:tcPr>
            <w:tcW w:w="581" w:type="pct"/>
            <w:tcBorders>
              <w:tl2br w:val="nil"/>
              <w:tr2bl w:val="nil"/>
            </w:tcBorders>
            <w:noWrap w:val="0"/>
            <w:vAlign w:val="center"/>
          </w:tcPr>
          <w:p w14:paraId="13EC1E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35</w:t>
            </w:r>
          </w:p>
        </w:tc>
        <w:tc>
          <w:tcPr>
            <w:tcW w:w="389" w:type="pct"/>
            <w:tcBorders>
              <w:tl2br w:val="nil"/>
              <w:tr2bl w:val="nil"/>
            </w:tcBorders>
            <w:noWrap w:val="0"/>
            <w:vAlign w:val="center"/>
          </w:tcPr>
          <w:p w14:paraId="04D02943">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0.35</w:t>
            </w:r>
          </w:p>
        </w:tc>
        <w:tc>
          <w:tcPr>
            <w:tcW w:w="581" w:type="pct"/>
            <w:tcBorders>
              <w:tl2br w:val="nil"/>
              <w:tr2bl w:val="nil"/>
            </w:tcBorders>
            <w:noWrap w:val="0"/>
            <w:vAlign w:val="center"/>
          </w:tcPr>
          <w:p w14:paraId="39C820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i w:val="0"/>
                <w:iCs w:val="0"/>
                <w:snapToGrid/>
                <w:color w:val="auto"/>
                <w:spacing w:val="0"/>
                <w:kern w:val="0"/>
                <w:position w:val="0"/>
                <w:sz w:val="21"/>
                <w:szCs w:val="21"/>
                <w:highlight w:val="none"/>
                <w:u w:val="none"/>
                <w:lang w:val="en-US" w:eastAsia="zh-CN" w:bidi="ar"/>
              </w:rPr>
              <w:t>40</w:t>
            </w:r>
          </w:p>
        </w:tc>
        <w:tc>
          <w:tcPr>
            <w:tcW w:w="389" w:type="pct"/>
            <w:tcBorders>
              <w:tl2br w:val="nil"/>
              <w:tr2bl w:val="nil"/>
            </w:tcBorders>
            <w:noWrap w:val="0"/>
            <w:vAlign w:val="center"/>
          </w:tcPr>
          <w:p w14:paraId="5018A107">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0.40</w:t>
            </w:r>
          </w:p>
        </w:tc>
        <w:tc>
          <w:tcPr>
            <w:tcW w:w="581" w:type="pct"/>
            <w:tcBorders>
              <w:tl2br w:val="nil"/>
              <w:tr2bl w:val="nil"/>
            </w:tcBorders>
            <w:noWrap w:val="0"/>
            <w:vAlign w:val="center"/>
          </w:tcPr>
          <w:p w14:paraId="0403EC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i w:val="0"/>
                <w:iCs w:val="0"/>
                <w:snapToGrid/>
                <w:color w:val="auto"/>
                <w:spacing w:val="0"/>
                <w:kern w:val="0"/>
                <w:position w:val="0"/>
                <w:sz w:val="21"/>
                <w:szCs w:val="21"/>
                <w:highlight w:val="none"/>
                <w:u w:val="none"/>
                <w:lang w:val="en-US" w:eastAsia="zh-CN" w:bidi="ar"/>
              </w:rPr>
              <w:t>37</w:t>
            </w:r>
          </w:p>
        </w:tc>
        <w:tc>
          <w:tcPr>
            <w:tcW w:w="389" w:type="pct"/>
            <w:tcBorders>
              <w:tl2br w:val="nil"/>
              <w:tr2bl w:val="nil"/>
            </w:tcBorders>
            <w:noWrap w:val="0"/>
            <w:vAlign w:val="center"/>
          </w:tcPr>
          <w:p w14:paraId="58C2EF19">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0.37</w:t>
            </w:r>
          </w:p>
        </w:tc>
      </w:tr>
      <w:tr w14:paraId="274EAE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08" w:type="dxa"/>
            <w:bottom w:w="15" w:type="dxa"/>
            <w:right w:w="108" w:type="dxa"/>
          </w:tblCellMar>
        </w:tblPrEx>
        <w:trPr>
          <w:trHeight w:val="361" w:hRule="atLeast"/>
        </w:trPr>
        <w:tc>
          <w:tcPr>
            <w:tcW w:w="285" w:type="pct"/>
            <w:tcBorders>
              <w:tl2br w:val="nil"/>
              <w:tr2bl w:val="nil"/>
            </w:tcBorders>
            <w:noWrap w:val="0"/>
            <w:vAlign w:val="center"/>
          </w:tcPr>
          <w:p w14:paraId="38A36E6E">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28</w:t>
            </w:r>
          </w:p>
        </w:tc>
        <w:tc>
          <w:tcPr>
            <w:tcW w:w="559" w:type="pct"/>
            <w:tcBorders>
              <w:tl2br w:val="nil"/>
              <w:tr2bl w:val="nil"/>
            </w:tcBorders>
            <w:noWrap w:val="0"/>
            <w:vAlign w:val="center"/>
          </w:tcPr>
          <w:p w14:paraId="6D23AA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石油类</w:t>
            </w:r>
          </w:p>
        </w:tc>
        <w:tc>
          <w:tcPr>
            <w:tcW w:w="756" w:type="pct"/>
            <w:tcBorders>
              <w:tl2br w:val="nil"/>
              <w:tr2bl w:val="nil"/>
            </w:tcBorders>
            <w:noWrap w:val="0"/>
            <w:vAlign w:val="center"/>
          </w:tcPr>
          <w:p w14:paraId="3D7F79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mg/L</w:t>
            </w:r>
          </w:p>
        </w:tc>
        <w:tc>
          <w:tcPr>
            <w:tcW w:w="483" w:type="pct"/>
            <w:tcBorders>
              <w:tl2br w:val="nil"/>
              <w:tr2bl w:val="nil"/>
            </w:tcBorders>
            <w:noWrap w:val="0"/>
            <w:vAlign w:val="center"/>
          </w:tcPr>
          <w:p w14:paraId="790188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w:t>
            </w:r>
          </w:p>
        </w:tc>
        <w:tc>
          <w:tcPr>
            <w:tcW w:w="581" w:type="pct"/>
            <w:tcBorders>
              <w:tl2br w:val="nil"/>
              <w:tr2bl w:val="nil"/>
            </w:tcBorders>
            <w:noWrap w:val="0"/>
            <w:vAlign w:val="center"/>
          </w:tcPr>
          <w:p w14:paraId="7508A9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0.01L</w:t>
            </w:r>
          </w:p>
        </w:tc>
        <w:tc>
          <w:tcPr>
            <w:tcW w:w="389" w:type="pct"/>
            <w:tcBorders>
              <w:tl2br w:val="nil"/>
              <w:tr2bl w:val="nil"/>
            </w:tcBorders>
            <w:noWrap w:val="0"/>
            <w:vAlign w:val="center"/>
          </w:tcPr>
          <w:p w14:paraId="31379DB0">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c>
          <w:tcPr>
            <w:tcW w:w="581" w:type="pct"/>
            <w:tcBorders>
              <w:tl2br w:val="nil"/>
              <w:tr2bl w:val="nil"/>
            </w:tcBorders>
            <w:shd w:val="clear" w:color="auto" w:fill="auto"/>
            <w:noWrap w:val="0"/>
            <w:vAlign w:val="center"/>
          </w:tcPr>
          <w:p w14:paraId="084BD8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i w:val="0"/>
                <w:iCs w:val="0"/>
                <w:snapToGrid/>
                <w:color w:val="auto"/>
                <w:spacing w:val="0"/>
                <w:kern w:val="0"/>
                <w:position w:val="0"/>
                <w:sz w:val="21"/>
                <w:szCs w:val="21"/>
                <w:highlight w:val="none"/>
                <w:u w:val="none"/>
                <w:lang w:val="en-US" w:eastAsia="zh-CN" w:bidi="ar"/>
              </w:rPr>
              <w:t>0.01</w:t>
            </w:r>
            <w:r>
              <w:rPr>
                <w:rFonts w:hint="eastAsia" w:cs="Times New Roman"/>
                <w:i w:val="0"/>
                <w:iCs w:val="0"/>
                <w:snapToGrid/>
                <w:color w:val="auto"/>
                <w:spacing w:val="0"/>
                <w:kern w:val="0"/>
                <w:position w:val="0"/>
                <w:sz w:val="21"/>
                <w:szCs w:val="21"/>
                <w:highlight w:val="none"/>
                <w:u w:val="none"/>
                <w:lang w:val="en-US" w:eastAsia="zh-CN" w:bidi="ar"/>
              </w:rPr>
              <w:t>L</w:t>
            </w:r>
          </w:p>
        </w:tc>
        <w:tc>
          <w:tcPr>
            <w:tcW w:w="389" w:type="pct"/>
            <w:tcBorders>
              <w:tl2br w:val="nil"/>
              <w:tr2bl w:val="nil"/>
            </w:tcBorders>
            <w:shd w:val="clear" w:color="auto" w:fill="auto"/>
            <w:noWrap w:val="0"/>
            <w:vAlign w:val="center"/>
          </w:tcPr>
          <w:p w14:paraId="7FAE3894">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w:t>
            </w:r>
          </w:p>
        </w:tc>
        <w:tc>
          <w:tcPr>
            <w:tcW w:w="581" w:type="pct"/>
            <w:tcBorders>
              <w:tl2br w:val="nil"/>
              <w:tr2bl w:val="nil"/>
            </w:tcBorders>
            <w:shd w:val="clear" w:color="auto" w:fill="auto"/>
            <w:noWrap w:val="0"/>
            <w:vAlign w:val="center"/>
          </w:tcPr>
          <w:p w14:paraId="2D1A76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i w:val="0"/>
                <w:iCs w:val="0"/>
                <w:snapToGrid/>
                <w:color w:val="auto"/>
                <w:spacing w:val="0"/>
                <w:kern w:val="0"/>
                <w:position w:val="0"/>
                <w:sz w:val="21"/>
                <w:szCs w:val="21"/>
                <w:highlight w:val="none"/>
                <w:u w:val="none"/>
                <w:lang w:val="en-US" w:eastAsia="zh-CN" w:bidi="ar"/>
              </w:rPr>
              <w:t>0.01</w:t>
            </w:r>
            <w:r>
              <w:rPr>
                <w:rFonts w:hint="eastAsia" w:cs="Times New Roman"/>
                <w:i w:val="0"/>
                <w:iCs w:val="0"/>
                <w:snapToGrid/>
                <w:color w:val="auto"/>
                <w:spacing w:val="0"/>
                <w:kern w:val="0"/>
                <w:position w:val="0"/>
                <w:sz w:val="21"/>
                <w:szCs w:val="21"/>
                <w:highlight w:val="none"/>
                <w:u w:val="none"/>
                <w:lang w:val="en-US" w:eastAsia="zh-CN" w:bidi="ar"/>
              </w:rPr>
              <w:t>L</w:t>
            </w:r>
          </w:p>
        </w:tc>
        <w:tc>
          <w:tcPr>
            <w:tcW w:w="389" w:type="pct"/>
            <w:tcBorders>
              <w:tl2br w:val="nil"/>
              <w:tr2bl w:val="nil"/>
            </w:tcBorders>
            <w:noWrap w:val="0"/>
            <w:vAlign w:val="center"/>
          </w:tcPr>
          <w:p w14:paraId="2FDA773D">
            <w:pPr>
              <w:keepNext w:val="0"/>
              <w:keepLines w:val="0"/>
              <w:widowControl/>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r>
    </w:tbl>
    <w:p w14:paraId="08F9C5B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default"/>
          <w:color w:val="auto"/>
          <w:spacing w:val="0"/>
        </w:rPr>
      </w:pPr>
      <w:r>
        <w:rPr>
          <w:rFonts w:hint="eastAsia" w:ascii="Times New Roman" w:hAnsi="Times New Roman" w:eastAsia="宋体" w:cs="Times New Roman"/>
          <w:snapToGrid/>
          <w:color w:val="auto"/>
          <w:spacing w:val="0"/>
          <w:w w:val="100"/>
          <w:kern w:val="28"/>
          <w:position w:val="0"/>
          <w:sz w:val="24"/>
          <w:szCs w:val="24"/>
          <w:highlight w:val="none"/>
          <w:lang w:val="en-US" w:eastAsia="zh-CN" w:bidi="ar"/>
        </w:rPr>
        <w:t>根据表4.2.2-2，</w:t>
      </w:r>
      <w:r>
        <w:rPr>
          <w:rFonts w:hint="default" w:ascii="Times New Roman" w:hAnsi="Times New Roman" w:eastAsia="宋体" w:cs="Times New Roman"/>
          <w:color w:val="auto"/>
          <w:spacing w:val="0"/>
          <w:w w:val="100"/>
          <w:kern w:val="21"/>
          <w:position w:val="0"/>
          <w:sz w:val="24"/>
          <w:szCs w:val="24"/>
          <w:lang w:val="en-US" w:eastAsia="zh-CN"/>
        </w:rPr>
        <w:t>监测因子</w:t>
      </w:r>
      <w:r>
        <w:rPr>
          <w:rFonts w:hint="eastAsia" w:cs="Times New Roman"/>
          <w:color w:val="auto"/>
          <w:spacing w:val="0"/>
          <w:w w:val="100"/>
          <w:kern w:val="21"/>
          <w:position w:val="0"/>
          <w:sz w:val="24"/>
          <w:szCs w:val="24"/>
          <w:lang w:val="en-US" w:eastAsia="zh-CN"/>
        </w:rPr>
        <w:t>总硬度、溶解性总固体、硫酸盐、氯化物、耗氧量</w:t>
      </w:r>
      <w:r>
        <w:rPr>
          <w:rFonts w:hint="default" w:ascii="Times New Roman" w:hAnsi="Times New Roman" w:eastAsia="宋体" w:cs="Times New Roman"/>
          <w:i w:val="0"/>
          <w:iCs w:val="0"/>
          <w:snapToGrid w:val="0"/>
          <w:color w:val="auto"/>
          <w:spacing w:val="0"/>
          <w:kern w:val="21"/>
          <w:sz w:val="24"/>
          <w:szCs w:val="24"/>
          <w:u w:val="none"/>
          <w:lang w:val="en-US" w:eastAsia="zh-CN" w:bidi="ar"/>
        </w:rPr>
        <w:t>超出标准，其余</w:t>
      </w:r>
      <w:r>
        <w:rPr>
          <w:rFonts w:hint="default" w:ascii="Times New Roman" w:hAnsi="Times New Roman" w:eastAsia="宋体" w:cs="Times New Roman"/>
          <w:color w:val="auto"/>
          <w:spacing w:val="0"/>
          <w:w w:val="100"/>
          <w:kern w:val="21"/>
          <w:position w:val="0"/>
          <w:sz w:val="24"/>
          <w:szCs w:val="24"/>
          <w:lang w:val="en-US" w:eastAsia="zh-CN"/>
        </w:rPr>
        <w:t>各项监测指标均符合《地下水质量标准》（GB/T14848-2017）中Ⅲ类标准。超标与项目区属干早区，地下水径流缓慢、交替滞后，溶滤作用强烈及地下水赋存环境有关</w:t>
      </w:r>
      <w:r>
        <w:rPr>
          <w:rFonts w:hint="eastAsia" w:ascii="Times New Roman" w:hAnsi="Times New Roman" w:eastAsia="宋体" w:cs="Times New Roman"/>
          <w:color w:val="auto"/>
          <w:spacing w:val="0"/>
          <w:w w:val="100"/>
          <w:kern w:val="21"/>
          <w:position w:val="0"/>
          <w:sz w:val="24"/>
          <w:szCs w:val="24"/>
          <w:lang w:val="en-US" w:eastAsia="zh-CN"/>
        </w:rPr>
        <w:t>，而非外部环境污染所致，</w:t>
      </w:r>
      <w:r>
        <w:rPr>
          <w:rFonts w:hint="default" w:ascii="Times New Roman" w:hAnsi="Times New Roman" w:eastAsia="宋体" w:cs="Times New Roman"/>
          <w:color w:val="auto"/>
          <w:spacing w:val="0"/>
          <w:w w:val="100"/>
          <w:kern w:val="21"/>
          <w:position w:val="0"/>
          <w:sz w:val="24"/>
          <w:szCs w:val="24"/>
          <w:lang w:val="en-US" w:eastAsia="zh-CN"/>
        </w:rPr>
        <w:t>项目所在区域地下水水质较差。</w:t>
      </w:r>
    </w:p>
    <w:p w14:paraId="4CACD1B8">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r>
        <w:rPr>
          <w:rFonts w:hint="default"/>
          <w:color w:val="auto"/>
          <w:spacing w:val="0"/>
          <w:w w:val="100"/>
          <w:position w:val="0"/>
          <w:highlight w:val="none"/>
        </w:rPr>
        <w:t>4.3.3声环境质量现状</w:t>
      </w:r>
      <w:bookmarkEnd w:id="304"/>
    </w:p>
    <w:p w14:paraId="6EA60ED0">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default" w:ascii="Times New Roman" w:hAnsi="Times New Roman" w:eastAsia="宋体" w:cs="Times New Roman"/>
          <w:snapToGrid/>
          <w:color w:val="auto"/>
          <w:spacing w:val="0"/>
          <w:w w:val="100"/>
          <w:kern w:val="28"/>
          <w:position w:val="0"/>
          <w:sz w:val="24"/>
          <w:szCs w:val="24"/>
          <w:highlight w:val="none"/>
        </w:rPr>
      </w:pPr>
      <w:bookmarkStart w:id="305" w:name="_Toc4434"/>
      <w:r>
        <w:rPr>
          <w:rFonts w:hint="default" w:ascii="Times New Roman" w:hAnsi="Times New Roman" w:eastAsia="宋体" w:cs="Times New Roman"/>
          <w:snapToGrid/>
          <w:color w:val="auto"/>
          <w:spacing w:val="0"/>
          <w:w w:val="100"/>
          <w:kern w:val="28"/>
          <w:position w:val="0"/>
          <w:sz w:val="24"/>
          <w:szCs w:val="24"/>
          <w:highlight w:val="none"/>
          <w:lang w:bidi="ar"/>
        </w:rPr>
        <w:t>（1）监测布点：噪声监测点设在厂界四周外1m处各1个点位。</w:t>
      </w:r>
    </w:p>
    <w:p w14:paraId="5E205E93">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default" w:ascii="Times New Roman" w:hAnsi="Times New Roman" w:eastAsia="宋体" w:cs="Times New Roman"/>
          <w:snapToGrid/>
          <w:color w:val="auto"/>
          <w:spacing w:val="0"/>
          <w:w w:val="100"/>
          <w:kern w:val="28"/>
          <w:position w:val="0"/>
          <w:sz w:val="24"/>
          <w:szCs w:val="24"/>
          <w:highlight w:val="none"/>
        </w:rPr>
      </w:pPr>
      <w:r>
        <w:rPr>
          <w:rFonts w:hint="default" w:ascii="Times New Roman" w:hAnsi="Times New Roman" w:eastAsia="宋体" w:cs="Times New Roman"/>
          <w:snapToGrid/>
          <w:color w:val="auto"/>
          <w:spacing w:val="0"/>
          <w:w w:val="100"/>
          <w:kern w:val="28"/>
          <w:position w:val="0"/>
          <w:sz w:val="24"/>
          <w:szCs w:val="24"/>
          <w:highlight w:val="none"/>
          <w:lang w:bidi="ar"/>
        </w:rPr>
        <w:t>（2）监测项目：等效连续A声级（Leq）。</w:t>
      </w:r>
    </w:p>
    <w:p w14:paraId="5C4B4790">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default" w:ascii="Times New Roman" w:hAnsi="Times New Roman" w:eastAsia="宋体" w:cs="Times New Roman"/>
          <w:snapToGrid/>
          <w:color w:val="auto"/>
          <w:spacing w:val="0"/>
          <w:w w:val="100"/>
          <w:kern w:val="28"/>
          <w:position w:val="0"/>
          <w:sz w:val="24"/>
          <w:szCs w:val="24"/>
          <w:highlight w:val="none"/>
        </w:rPr>
      </w:pPr>
      <w:r>
        <w:rPr>
          <w:rFonts w:hint="default" w:ascii="Times New Roman" w:hAnsi="Times New Roman" w:eastAsia="宋体" w:cs="Times New Roman"/>
          <w:snapToGrid/>
          <w:color w:val="auto"/>
          <w:spacing w:val="0"/>
          <w:w w:val="100"/>
          <w:kern w:val="28"/>
          <w:position w:val="0"/>
          <w:sz w:val="24"/>
          <w:szCs w:val="24"/>
          <w:highlight w:val="none"/>
          <w:lang w:bidi="ar"/>
        </w:rPr>
        <w:t>（3）监测时间及频率：202</w:t>
      </w:r>
      <w:r>
        <w:rPr>
          <w:rFonts w:hint="eastAsia" w:ascii="Times New Roman" w:hAnsi="Times New Roman" w:eastAsia="宋体" w:cs="Times New Roman"/>
          <w:snapToGrid/>
          <w:color w:val="auto"/>
          <w:spacing w:val="0"/>
          <w:w w:val="100"/>
          <w:kern w:val="28"/>
          <w:position w:val="0"/>
          <w:sz w:val="24"/>
          <w:szCs w:val="24"/>
          <w:highlight w:val="none"/>
          <w:lang w:val="en-US" w:eastAsia="zh-CN" w:bidi="ar"/>
        </w:rPr>
        <w:t>6</w:t>
      </w:r>
      <w:r>
        <w:rPr>
          <w:rFonts w:hint="default" w:ascii="Times New Roman" w:hAnsi="Times New Roman" w:eastAsia="宋体" w:cs="Times New Roman"/>
          <w:snapToGrid/>
          <w:color w:val="auto"/>
          <w:spacing w:val="0"/>
          <w:w w:val="100"/>
          <w:kern w:val="28"/>
          <w:position w:val="0"/>
          <w:sz w:val="24"/>
          <w:szCs w:val="24"/>
          <w:highlight w:val="none"/>
          <w:lang w:bidi="ar"/>
        </w:rPr>
        <w:t>年</w:t>
      </w:r>
      <w:r>
        <w:rPr>
          <w:rFonts w:hint="eastAsia" w:cs="Times New Roman"/>
          <w:snapToGrid/>
          <w:color w:val="auto"/>
          <w:spacing w:val="0"/>
          <w:w w:val="100"/>
          <w:kern w:val="28"/>
          <w:position w:val="0"/>
          <w:sz w:val="24"/>
          <w:szCs w:val="24"/>
          <w:highlight w:val="none"/>
          <w:lang w:val="en-US" w:eastAsia="zh-CN" w:bidi="ar"/>
        </w:rPr>
        <w:t>7</w:t>
      </w:r>
      <w:r>
        <w:rPr>
          <w:rFonts w:hint="default" w:ascii="Times New Roman" w:hAnsi="Times New Roman" w:eastAsia="宋体" w:cs="Times New Roman"/>
          <w:snapToGrid/>
          <w:color w:val="auto"/>
          <w:spacing w:val="0"/>
          <w:w w:val="100"/>
          <w:kern w:val="28"/>
          <w:position w:val="0"/>
          <w:sz w:val="24"/>
          <w:szCs w:val="24"/>
          <w:highlight w:val="none"/>
          <w:lang w:bidi="ar"/>
        </w:rPr>
        <w:t>月</w:t>
      </w:r>
      <w:r>
        <w:rPr>
          <w:rFonts w:hint="eastAsia" w:cs="Times New Roman"/>
          <w:snapToGrid/>
          <w:color w:val="auto"/>
          <w:spacing w:val="0"/>
          <w:w w:val="100"/>
          <w:kern w:val="28"/>
          <w:position w:val="0"/>
          <w:sz w:val="24"/>
          <w:szCs w:val="24"/>
          <w:highlight w:val="none"/>
          <w:lang w:val="en-US" w:eastAsia="zh-CN" w:bidi="ar"/>
        </w:rPr>
        <w:t>10</w:t>
      </w:r>
      <w:r>
        <w:rPr>
          <w:rFonts w:hint="default" w:ascii="Times New Roman" w:hAnsi="Times New Roman" w:eastAsia="宋体" w:cs="Times New Roman"/>
          <w:snapToGrid/>
          <w:color w:val="auto"/>
          <w:spacing w:val="0"/>
          <w:w w:val="100"/>
          <w:kern w:val="28"/>
          <w:position w:val="0"/>
          <w:sz w:val="24"/>
          <w:szCs w:val="24"/>
          <w:highlight w:val="none"/>
          <w:lang w:bidi="ar"/>
        </w:rPr>
        <w:t>日，监测1天，分昼间、夜间进行。</w:t>
      </w:r>
    </w:p>
    <w:p w14:paraId="31B9B749">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default" w:ascii="Times New Roman" w:hAnsi="Times New Roman" w:eastAsia="宋体" w:cs="Times New Roman"/>
          <w:snapToGrid/>
          <w:color w:val="auto"/>
          <w:spacing w:val="0"/>
          <w:w w:val="100"/>
          <w:kern w:val="28"/>
          <w:position w:val="0"/>
          <w:sz w:val="24"/>
          <w:szCs w:val="24"/>
          <w:highlight w:val="none"/>
        </w:rPr>
      </w:pPr>
      <w:r>
        <w:rPr>
          <w:rFonts w:hint="default" w:ascii="Times New Roman" w:hAnsi="Times New Roman" w:eastAsia="宋体" w:cs="Times New Roman"/>
          <w:snapToGrid/>
          <w:color w:val="auto"/>
          <w:spacing w:val="0"/>
          <w:w w:val="100"/>
          <w:kern w:val="28"/>
          <w:position w:val="0"/>
          <w:sz w:val="24"/>
          <w:szCs w:val="24"/>
          <w:highlight w:val="none"/>
          <w:lang w:bidi="ar"/>
        </w:rPr>
        <w:t>（4）监测方法：监测分析方法和测量仪器按《声环境质量标准》（GB3096-2008）中有关规定和《</w:t>
      </w:r>
      <w:r>
        <w:rPr>
          <w:rFonts w:hint="eastAsia" w:ascii="Times New Roman" w:hAnsi="Times New Roman" w:eastAsia="宋体" w:cs="Times New Roman"/>
          <w:snapToGrid/>
          <w:color w:val="auto"/>
          <w:spacing w:val="0"/>
          <w:w w:val="100"/>
          <w:kern w:val="28"/>
          <w:position w:val="0"/>
          <w:sz w:val="24"/>
          <w:szCs w:val="24"/>
          <w:highlight w:val="none"/>
          <w:lang w:eastAsia="zh-CN" w:bidi="ar"/>
        </w:rPr>
        <w:t>声学 环境噪声的描述、测量与评价 第1部分：基本参量与评价方法</w:t>
      </w:r>
      <w:r>
        <w:rPr>
          <w:rFonts w:hint="default" w:ascii="Times New Roman" w:hAnsi="Times New Roman" w:eastAsia="宋体" w:cs="Times New Roman"/>
          <w:snapToGrid/>
          <w:color w:val="auto"/>
          <w:spacing w:val="0"/>
          <w:w w:val="100"/>
          <w:kern w:val="28"/>
          <w:position w:val="0"/>
          <w:sz w:val="24"/>
          <w:szCs w:val="24"/>
          <w:highlight w:val="none"/>
          <w:lang w:bidi="ar"/>
        </w:rPr>
        <w:t>》（</w:t>
      </w:r>
      <w:r>
        <w:rPr>
          <w:rFonts w:hint="eastAsia" w:ascii="Times New Roman" w:hAnsi="Times New Roman" w:eastAsia="宋体" w:cs="Times New Roman"/>
          <w:snapToGrid/>
          <w:color w:val="auto"/>
          <w:spacing w:val="0"/>
          <w:w w:val="100"/>
          <w:kern w:val="28"/>
          <w:position w:val="0"/>
          <w:sz w:val="24"/>
          <w:szCs w:val="24"/>
          <w:highlight w:val="none"/>
          <w:lang w:eastAsia="zh-CN" w:bidi="ar"/>
        </w:rPr>
        <w:t>GB/T3222.1-2022</w:t>
      </w:r>
      <w:r>
        <w:rPr>
          <w:rFonts w:hint="default" w:ascii="Times New Roman" w:hAnsi="Times New Roman" w:eastAsia="宋体" w:cs="Times New Roman"/>
          <w:snapToGrid/>
          <w:color w:val="auto"/>
          <w:spacing w:val="0"/>
          <w:w w:val="100"/>
          <w:kern w:val="28"/>
          <w:position w:val="0"/>
          <w:sz w:val="24"/>
          <w:szCs w:val="24"/>
          <w:highlight w:val="none"/>
          <w:lang w:bidi="ar"/>
        </w:rPr>
        <w:t>）中要求的方法执行，监测同时记录周围环境特征和主要噪声源等相关信息。</w:t>
      </w:r>
    </w:p>
    <w:p w14:paraId="62228CF8">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default" w:ascii="Times New Roman" w:hAnsi="Times New Roman" w:eastAsia="宋体" w:cs="Times New Roman"/>
          <w:snapToGrid/>
          <w:color w:val="auto"/>
          <w:spacing w:val="0"/>
          <w:w w:val="100"/>
          <w:kern w:val="28"/>
          <w:position w:val="0"/>
          <w:sz w:val="24"/>
          <w:szCs w:val="24"/>
          <w:highlight w:val="none"/>
        </w:rPr>
      </w:pPr>
      <w:r>
        <w:rPr>
          <w:rFonts w:hint="default" w:ascii="Times New Roman" w:hAnsi="Times New Roman" w:eastAsia="宋体" w:cs="Times New Roman"/>
          <w:snapToGrid/>
          <w:color w:val="auto"/>
          <w:spacing w:val="0"/>
          <w:w w:val="100"/>
          <w:kern w:val="28"/>
          <w:position w:val="0"/>
          <w:sz w:val="24"/>
          <w:szCs w:val="24"/>
          <w:highlight w:val="none"/>
          <w:lang w:bidi="ar"/>
        </w:rPr>
        <w:t>（5）监测结果</w:t>
      </w:r>
    </w:p>
    <w:p w14:paraId="0C8BD7A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default" w:ascii="Times New Roman" w:hAnsi="Times New Roman" w:eastAsia="宋体" w:cs="Times New Roman"/>
          <w:snapToGrid/>
          <w:color w:val="auto"/>
          <w:spacing w:val="0"/>
          <w:w w:val="100"/>
          <w:kern w:val="28"/>
          <w:position w:val="0"/>
          <w:sz w:val="24"/>
          <w:szCs w:val="24"/>
          <w:highlight w:val="none"/>
          <w:lang w:val="en-US"/>
        </w:rPr>
      </w:pPr>
      <w:r>
        <w:rPr>
          <w:rFonts w:hint="default" w:ascii="Times New Roman" w:hAnsi="Times New Roman" w:eastAsia="宋体" w:cs="Times New Roman"/>
          <w:snapToGrid/>
          <w:color w:val="auto"/>
          <w:spacing w:val="0"/>
          <w:w w:val="100"/>
          <w:kern w:val="28"/>
          <w:position w:val="0"/>
          <w:sz w:val="24"/>
          <w:szCs w:val="24"/>
          <w:highlight w:val="none"/>
          <w:lang w:bidi="ar"/>
        </w:rPr>
        <w:t>声环境质量现状监测数据统计结果见表4.</w:t>
      </w:r>
      <w:r>
        <w:rPr>
          <w:rFonts w:hint="eastAsia" w:cs="Times New Roman"/>
          <w:snapToGrid/>
          <w:color w:val="auto"/>
          <w:spacing w:val="0"/>
          <w:w w:val="100"/>
          <w:kern w:val="28"/>
          <w:position w:val="0"/>
          <w:sz w:val="24"/>
          <w:szCs w:val="24"/>
          <w:highlight w:val="none"/>
          <w:lang w:val="en-US" w:eastAsia="zh-CN" w:bidi="ar"/>
        </w:rPr>
        <w:t>3</w:t>
      </w:r>
      <w:r>
        <w:rPr>
          <w:rFonts w:hint="eastAsia" w:ascii="Times New Roman" w:hAnsi="Times New Roman" w:eastAsia="宋体" w:cs="Times New Roman"/>
          <w:snapToGrid/>
          <w:color w:val="auto"/>
          <w:spacing w:val="0"/>
          <w:w w:val="100"/>
          <w:kern w:val="28"/>
          <w:position w:val="0"/>
          <w:sz w:val="24"/>
          <w:szCs w:val="24"/>
          <w:highlight w:val="none"/>
          <w:lang w:val="en-US" w:eastAsia="zh-CN" w:bidi="ar"/>
        </w:rPr>
        <w:t>.3-1。</w:t>
      </w:r>
    </w:p>
    <w:p w14:paraId="13F4CF09">
      <w:pPr>
        <w:pStyle w:val="6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bidi="ar"/>
        </w:rPr>
      </w:pPr>
      <w:r>
        <w:rPr>
          <w:rFonts w:hint="default" w:ascii="Times New Roman" w:hAnsi="Times New Roman" w:eastAsia="宋体" w:cs="Times New Roman"/>
          <w:b/>
          <w:bCs/>
          <w:snapToGrid/>
          <w:color w:val="auto"/>
          <w:spacing w:val="0"/>
          <w:w w:val="100"/>
          <w:kern w:val="28"/>
          <w:position w:val="0"/>
          <w:sz w:val="21"/>
          <w:szCs w:val="21"/>
          <w:highlight w:val="none"/>
          <w:lang w:val="en-US" w:eastAsia="zh-CN" w:bidi="ar"/>
        </w:rPr>
        <w:t>表4.</w:t>
      </w:r>
      <w:r>
        <w:rPr>
          <w:rFonts w:hint="eastAsia" w:cs="Times New Roman"/>
          <w:b/>
          <w:bCs/>
          <w:snapToGrid/>
          <w:color w:val="auto"/>
          <w:spacing w:val="0"/>
          <w:w w:val="100"/>
          <w:kern w:val="28"/>
          <w:position w:val="0"/>
          <w:sz w:val="21"/>
          <w:szCs w:val="21"/>
          <w:highlight w:val="none"/>
          <w:lang w:val="en-US" w:eastAsia="zh-CN" w:bidi="ar"/>
        </w:rPr>
        <w:t>3</w:t>
      </w:r>
      <w:r>
        <w:rPr>
          <w:rFonts w:hint="eastAsia" w:ascii="Times New Roman" w:hAnsi="Times New Roman" w:eastAsia="宋体" w:cs="Times New Roman"/>
          <w:b/>
          <w:bCs/>
          <w:snapToGrid/>
          <w:color w:val="auto"/>
          <w:spacing w:val="0"/>
          <w:w w:val="100"/>
          <w:kern w:val="28"/>
          <w:position w:val="0"/>
          <w:sz w:val="21"/>
          <w:szCs w:val="21"/>
          <w:highlight w:val="none"/>
          <w:lang w:val="en-US" w:eastAsia="zh-CN" w:bidi="ar"/>
        </w:rPr>
        <w:t xml:space="preserve">.3-1  </w:t>
      </w:r>
      <w:r>
        <w:rPr>
          <w:rFonts w:hint="default" w:ascii="Times New Roman" w:hAnsi="Times New Roman" w:eastAsia="宋体" w:cs="Times New Roman"/>
          <w:b/>
          <w:bCs/>
          <w:snapToGrid/>
          <w:color w:val="auto"/>
          <w:spacing w:val="0"/>
          <w:w w:val="100"/>
          <w:kern w:val="28"/>
          <w:position w:val="0"/>
          <w:sz w:val="21"/>
          <w:szCs w:val="21"/>
          <w:highlight w:val="none"/>
          <w:lang w:val="en-US" w:eastAsia="zh-CN" w:bidi="ar"/>
        </w:rPr>
        <w:t>声环境监测结果单位dB（A）</w:t>
      </w:r>
    </w:p>
    <w:tbl>
      <w:tblPr>
        <w:tblStyle w:val="25"/>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1717"/>
        <w:gridCol w:w="1112"/>
        <w:gridCol w:w="1175"/>
        <w:gridCol w:w="1182"/>
        <w:gridCol w:w="1170"/>
        <w:gridCol w:w="1175"/>
        <w:gridCol w:w="1198"/>
      </w:tblGrid>
      <w:tr w14:paraId="49EC31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83" w:type="pct"/>
            <w:vMerge w:val="restart"/>
            <w:tcBorders>
              <w:tl2br w:val="nil"/>
              <w:tr2bl w:val="nil"/>
            </w:tcBorders>
            <w:vAlign w:val="center"/>
          </w:tcPr>
          <w:p w14:paraId="57F60657">
            <w:pPr>
              <w:pStyle w:val="5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val="0"/>
                <w:snapToGrid/>
                <w:color w:val="auto"/>
                <w:spacing w:val="0"/>
                <w:w w:val="100"/>
                <w:kern w:val="28"/>
                <w:position w:val="0"/>
                <w:sz w:val="21"/>
                <w:szCs w:val="21"/>
                <w:highlight w:val="none"/>
              </w:rPr>
            </w:pPr>
            <w:r>
              <w:rPr>
                <w:rFonts w:hint="default" w:ascii="Times New Roman" w:hAnsi="Times New Roman" w:eastAsia="宋体" w:cs="Times New Roman"/>
                <w:b/>
                <w:bCs w:val="0"/>
                <w:snapToGrid/>
                <w:color w:val="auto"/>
                <w:spacing w:val="0"/>
                <w:w w:val="100"/>
                <w:kern w:val="28"/>
                <w:position w:val="0"/>
                <w:sz w:val="21"/>
                <w:szCs w:val="21"/>
                <w:highlight w:val="none"/>
              </w:rPr>
              <w:t>监测点</w:t>
            </w:r>
          </w:p>
        </w:tc>
        <w:tc>
          <w:tcPr>
            <w:tcW w:w="1987" w:type="pct"/>
            <w:gridSpan w:val="3"/>
            <w:tcBorders>
              <w:tl2br w:val="nil"/>
              <w:tr2bl w:val="nil"/>
            </w:tcBorders>
            <w:vAlign w:val="center"/>
          </w:tcPr>
          <w:p w14:paraId="4FDC588B">
            <w:pPr>
              <w:pStyle w:val="5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val="0"/>
                <w:snapToGrid/>
                <w:color w:val="auto"/>
                <w:spacing w:val="0"/>
                <w:w w:val="100"/>
                <w:kern w:val="28"/>
                <w:position w:val="0"/>
                <w:sz w:val="21"/>
                <w:szCs w:val="21"/>
                <w:highlight w:val="none"/>
              </w:rPr>
            </w:pPr>
            <w:r>
              <w:rPr>
                <w:rFonts w:hint="default" w:ascii="Times New Roman" w:hAnsi="Times New Roman" w:eastAsia="宋体" w:cs="Times New Roman"/>
                <w:b/>
                <w:bCs w:val="0"/>
                <w:snapToGrid/>
                <w:color w:val="auto"/>
                <w:spacing w:val="0"/>
                <w:w w:val="100"/>
                <w:kern w:val="28"/>
                <w:position w:val="0"/>
                <w:sz w:val="21"/>
                <w:szCs w:val="21"/>
                <w:highlight w:val="none"/>
              </w:rPr>
              <w:t>昼间</w:t>
            </w:r>
          </w:p>
        </w:tc>
        <w:tc>
          <w:tcPr>
            <w:tcW w:w="2029" w:type="pct"/>
            <w:gridSpan w:val="3"/>
            <w:tcBorders>
              <w:tl2br w:val="nil"/>
              <w:tr2bl w:val="nil"/>
            </w:tcBorders>
            <w:vAlign w:val="center"/>
          </w:tcPr>
          <w:p w14:paraId="5D5B4289">
            <w:pPr>
              <w:pStyle w:val="5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val="0"/>
                <w:snapToGrid/>
                <w:color w:val="auto"/>
                <w:spacing w:val="0"/>
                <w:w w:val="100"/>
                <w:kern w:val="28"/>
                <w:position w:val="0"/>
                <w:sz w:val="21"/>
                <w:szCs w:val="21"/>
                <w:highlight w:val="none"/>
              </w:rPr>
            </w:pPr>
            <w:r>
              <w:rPr>
                <w:rFonts w:hint="default" w:ascii="Times New Roman" w:hAnsi="Times New Roman" w:eastAsia="宋体" w:cs="Times New Roman"/>
                <w:b/>
                <w:bCs w:val="0"/>
                <w:snapToGrid/>
                <w:color w:val="auto"/>
                <w:spacing w:val="0"/>
                <w:w w:val="100"/>
                <w:kern w:val="28"/>
                <w:position w:val="0"/>
                <w:sz w:val="21"/>
                <w:szCs w:val="21"/>
                <w:highlight w:val="none"/>
              </w:rPr>
              <w:t>夜间</w:t>
            </w:r>
          </w:p>
        </w:tc>
      </w:tr>
      <w:tr w14:paraId="405E62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83" w:type="pct"/>
            <w:vMerge w:val="continue"/>
            <w:tcBorders>
              <w:tl2br w:val="nil"/>
              <w:tr2bl w:val="nil"/>
            </w:tcBorders>
            <w:vAlign w:val="center"/>
          </w:tcPr>
          <w:p w14:paraId="62B13F80">
            <w:pPr>
              <w:pStyle w:val="5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val="0"/>
                <w:snapToGrid/>
                <w:color w:val="auto"/>
                <w:spacing w:val="0"/>
                <w:w w:val="100"/>
                <w:kern w:val="28"/>
                <w:position w:val="0"/>
                <w:sz w:val="21"/>
                <w:szCs w:val="21"/>
                <w:highlight w:val="none"/>
              </w:rPr>
            </w:pPr>
          </w:p>
        </w:tc>
        <w:tc>
          <w:tcPr>
            <w:tcW w:w="637" w:type="pct"/>
            <w:tcBorders>
              <w:tl2br w:val="nil"/>
              <w:tr2bl w:val="nil"/>
            </w:tcBorders>
            <w:vAlign w:val="center"/>
          </w:tcPr>
          <w:p w14:paraId="5075E32C">
            <w:pPr>
              <w:pStyle w:val="5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val="0"/>
                <w:snapToGrid/>
                <w:color w:val="auto"/>
                <w:spacing w:val="0"/>
                <w:w w:val="100"/>
                <w:kern w:val="28"/>
                <w:position w:val="0"/>
                <w:sz w:val="21"/>
                <w:szCs w:val="21"/>
                <w:highlight w:val="none"/>
              </w:rPr>
            </w:pPr>
            <w:r>
              <w:rPr>
                <w:rFonts w:hint="default" w:ascii="Times New Roman" w:hAnsi="Times New Roman" w:eastAsia="宋体" w:cs="Times New Roman"/>
                <w:b/>
                <w:bCs w:val="0"/>
                <w:snapToGrid/>
                <w:color w:val="auto"/>
                <w:spacing w:val="0"/>
                <w:w w:val="100"/>
                <w:kern w:val="28"/>
                <w:position w:val="0"/>
                <w:sz w:val="21"/>
                <w:szCs w:val="21"/>
                <w:highlight w:val="none"/>
              </w:rPr>
              <w:t>监测值</w:t>
            </w:r>
          </w:p>
        </w:tc>
        <w:tc>
          <w:tcPr>
            <w:tcW w:w="673" w:type="pct"/>
            <w:tcBorders>
              <w:tl2br w:val="nil"/>
              <w:tr2bl w:val="nil"/>
            </w:tcBorders>
            <w:vAlign w:val="center"/>
          </w:tcPr>
          <w:p w14:paraId="032CFEBC">
            <w:pPr>
              <w:pStyle w:val="5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val="0"/>
                <w:snapToGrid/>
                <w:color w:val="auto"/>
                <w:spacing w:val="0"/>
                <w:w w:val="100"/>
                <w:kern w:val="28"/>
                <w:position w:val="0"/>
                <w:sz w:val="21"/>
                <w:szCs w:val="21"/>
                <w:highlight w:val="none"/>
              </w:rPr>
            </w:pPr>
            <w:r>
              <w:rPr>
                <w:rFonts w:hint="default" w:ascii="Times New Roman" w:hAnsi="Times New Roman" w:eastAsia="宋体" w:cs="Times New Roman"/>
                <w:b/>
                <w:bCs w:val="0"/>
                <w:snapToGrid/>
                <w:color w:val="auto"/>
                <w:spacing w:val="0"/>
                <w:w w:val="100"/>
                <w:kern w:val="28"/>
                <w:position w:val="0"/>
                <w:sz w:val="21"/>
                <w:szCs w:val="21"/>
                <w:highlight w:val="none"/>
              </w:rPr>
              <w:t>标准值</w:t>
            </w:r>
          </w:p>
        </w:tc>
        <w:tc>
          <w:tcPr>
            <w:tcW w:w="676" w:type="pct"/>
            <w:tcBorders>
              <w:tl2br w:val="nil"/>
              <w:tr2bl w:val="nil"/>
            </w:tcBorders>
            <w:vAlign w:val="center"/>
          </w:tcPr>
          <w:p w14:paraId="1EC27333">
            <w:pPr>
              <w:pStyle w:val="5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val="0"/>
                <w:snapToGrid/>
                <w:color w:val="auto"/>
                <w:spacing w:val="0"/>
                <w:w w:val="100"/>
                <w:kern w:val="28"/>
                <w:position w:val="0"/>
                <w:sz w:val="21"/>
                <w:szCs w:val="21"/>
                <w:highlight w:val="none"/>
              </w:rPr>
            </w:pPr>
            <w:r>
              <w:rPr>
                <w:rFonts w:hint="default" w:ascii="Times New Roman" w:hAnsi="Times New Roman" w:eastAsia="宋体" w:cs="Times New Roman"/>
                <w:b/>
                <w:bCs w:val="0"/>
                <w:snapToGrid/>
                <w:color w:val="auto"/>
                <w:spacing w:val="0"/>
                <w:w w:val="100"/>
                <w:kern w:val="28"/>
                <w:position w:val="0"/>
                <w:sz w:val="21"/>
                <w:szCs w:val="21"/>
                <w:highlight w:val="none"/>
              </w:rPr>
              <w:t>判定</w:t>
            </w:r>
          </w:p>
        </w:tc>
        <w:tc>
          <w:tcPr>
            <w:tcW w:w="670" w:type="pct"/>
            <w:tcBorders>
              <w:tl2br w:val="nil"/>
              <w:tr2bl w:val="nil"/>
            </w:tcBorders>
            <w:vAlign w:val="center"/>
          </w:tcPr>
          <w:p w14:paraId="5790AF7C">
            <w:pPr>
              <w:pStyle w:val="5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val="0"/>
                <w:snapToGrid/>
                <w:color w:val="auto"/>
                <w:spacing w:val="0"/>
                <w:w w:val="100"/>
                <w:kern w:val="28"/>
                <w:position w:val="0"/>
                <w:sz w:val="21"/>
                <w:szCs w:val="21"/>
                <w:highlight w:val="none"/>
              </w:rPr>
            </w:pPr>
            <w:r>
              <w:rPr>
                <w:rFonts w:hint="default" w:ascii="Times New Roman" w:hAnsi="Times New Roman" w:eastAsia="宋体" w:cs="Times New Roman"/>
                <w:b/>
                <w:bCs w:val="0"/>
                <w:snapToGrid/>
                <w:color w:val="auto"/>
                <w:spacing w:val="0"/>
                <w:w w:val="100"/>
                <w:kern w:val="28"/>
                <w:position w:val="0"/>
                <w:sz w:val="21"/>
                <w:szCs w:val="21"/>
                <w:highlight w:val="none"/>
              </w:rPr>
              <w:t>监测值</w:t>
            </w:r>
          </w:p>
        </w:tc>
        <w:tc>
          <w:tcPr>
            <w:tcW w:w="673" w:type="pct"/>
            <w:tcBorders>
              <w:tl2br w:val="nil"/>
              <w:tr2bl w:val="nil"/>
            </w:tcBorders>
            <w:vAlign w:val="center"/>
          </w:tcPr>
          <w:p w14:paraId="020ABA1A">
            <w:pPr>
              <w:pStyle w:val="5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val="0"/>
                <w:snapToGrid/>
                <w:color w:val="auto"/>
                <w:spacing w:val="0"/>
                <w:w w:val="100"/>
                <w:kern w:val="28"/>
                <w:position w:val="0"/>
                <w:sz w:val="21"/>
                <w:szCs w:val="21"/>
                <w:highlight w:val="none"/>
              </w:rPr>
            </w:pPr>
            <w:r>
              <w:rPr>
                <w:rFonts w:hint="default" w:ascii="Times New Roman" w:hAnsi="Times New Roman" w:eastAsia="宋体" w:cs="Times New Roman"/>
                <w:b/>
                <w:bCs w:val="0"/>
                <w:snapToGrid/>
                <w:color w:val="auto"/>
                <w:spacing w:val="0"/>
                <w:w w:val="100"/>
                <w:kern w:val="28"/>
                <w:position w:val="0"/>
                <w:sz w:val="21"/>
                <w:szCs w:val="21"/>
                <w:highlight w:val="none"/>
              </w:rPr>
              <w:t>标准值</w:t>
            </w:r>
          </w:p>
        </w:tc>
        <w:tc>
          <w:tcPr>
            <w:tcW w:w="684" w:type="pct"/>
            <w:tcBorders>
              <w:tl2br w:val="nil"/>
              <w:tr2bl w:val="nil"/>
            </w:tcBorders>
            <w:vAlign w:val="center"/>
          </w:tcPr>
          <w:p w14:paraId="676CF751">
            <w:pPr>
              <w:pStyle w:val="5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val="0"/>
                <w:snapToGrid/>
                <w:color w:val="auto"/>
                <w:spacing w:val="0"/>
                <w:w w:val="100"/>
                <w:kern w:val="28"/>
                <w:position w:val="0"/>
                <w:sz w:val="21"/>
                <w:szCs w:val="21"/>
                <w:highlight w:val="none"/>
              </w:rPr>
            </w:pPr>
            <w:r>
              <w:rPr>
                <w:rFonts w:hint="default" w:ascii="Times New Roman" w:hAnsi="Times New Roman" w:eastAsia="宋体" w:cs="Times New Roman"/>
                <w:b/>
                <w:bCs w:val="0"/>
                <w:snapToGrid/>
                <w:color w:val="auto"/>
                <w:spacing w:val="0"/>
                <w:w w:val="100"/>
                <w:kern w:val="28"/>
                <w:position w:val="0"/>
                <w:sz w:val="21"/>
                <w:szCs w:val="21"/>
                <w:highlight w:val="none"/>
              </w:rPr>
              <w:t>判定</w:t>
            </w:r>
          </w:p>
        </w:tc>
      </w:tr>
      <w:tr w14:paraId="62AF47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83" w:type="pct"/>
            <w:tcBorders>
              <w:tl2br w:val="nil"/>
              <w:tr2bl w:val="nil"/>
            </w:tcBorders>
            <w:vAlign w:val="center"/>
          </w:tcPr>
          <w:p w14:paraId="72DC2EC3">
            <w:pPr>
              <w:pStyle w:val="5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default" w:ascii="Times New Roman" w:hAnsi="Times New Roman" w:eastAsia="宋体" w:cs="Times New Roman"/>
                <w:snapToGrid/>
                <w:color w:val="auto"/>
                <w:spacing w:val="0"/>
                <w:w w:val="100"/>
                <w:kern w:val="28"/>
                <w:position w:val="0"/>
                <w:sz w:val="21"/>
                <w:szCs w:val="21"/>
                <w:highlight w:val="none"/>
                <w:lang w:val="en-US" w:eastAsia="zh-CN"/>
              </w:rPr>
              <w:t>厂区东侧</w:t>
            </w:r>
          </w:p>
        </w:tc>
        <w:tc>
          <w:tcPr>
            <w:tcW w:w="637" w:type="pct"/>
            <w:tcBorders>
              <w:tl2br w:val="nil"/>
              <w:tr2bl w:val="nil"/>
            </w:tcBorders>
            <w:vAlign w:val="center"/>
          </w:tcPr>
          <w:p w14:paraId="7D16334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rPr>
            </w:pPr>
            <w:r>
              <w:rPr>
                <w:rFonts w:hint="eastAsia" w:ascii="Times New Roman" w:hAnsi="Times New Roman" w:eastAsia="宋体" w:cs="Times New Roman"/>
                <w:snapToGrid/>
                <w:color w:val="auto"/>
                <w:spacing w:val="0"/>
                <w:w w:val="100"/>
                <w:kern w:val="28"/>
                <w:position w:val="0"/>
                <w:sz w:val="21"/>
                <w:szCs w:val="21"/>
                <w:highlight w:val="none"/>
                <w:lang w:val="en-US" w:eastAsia="zh-CN" w:bidi="ar-SA"/>
              </w:rPr>
              <w:t>5</w:t>
            </w:r>
            <w:r>
              <w:rPr>
                <w:rFonts w:hint="eastAsia" w:cs="Times New Roman"/>
                <w:snapToGrid/>
                <w:color w:val="auto"/>
                <w:spacing w:val="0"/>
                <w:w w:val="100"/>
                <w:kern w:val="28"/>
                <w:position w:val="0"/>
                <w:sz w:val="21"/>
                <w:szCs w:val="21"/>
                <w:highlight w:val="none"/>
                <w:lang w:val="en-US" w:eastAsia="zh-CN" w:bidi="ar-SA"/>
              </w:rPr>
              <w:t>4</w:t>
            </w:r>
          </w:p>
        </w:tc>
        <w:tc>
          <w:tcPr>
            <w:tcW w:w="673" w:type="pct"/>
            <w:tcBorders>
              <w:tl2br w:val="nil"/>
              <w:tr2bl w:val="nil"/>
            </w:tcBorders>
            <w:vAlign w:val="center"/>
          </w:tcPr>
          <w:p w14:paraId="016D8A38">
            <w:pPr>
              <w:pStyle w:val="5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ascii="Times New Roman" w:cs="Times New Roman"/>
                <w:snapToGrid/>
                <w:color w:val="auto"/>
                <w:spacing w:val="0"/>
                <w:w w:val="100"/>
                <w:kern w:val="28"/>
                <w:position w:val="0"/>
                <w:sz w:val="21"/>
                <w:szCs w:val="21"/>
                <w:highlight w:val="none"/>
                <w:lang w:val="en-US" w:eastAsia="zh-CN"/>
              </w:rPr>
              <w:t>65</w:t>
            </w:r>
          </w:p>
        </w:tc>
        <w:tc>
          <w:tcPr>
            <w:tcW w:w="676" w:type="pct"/>
            <w:tcBorders>
              <w:tl2br w:val="nil"/>
              <w:tr2bl w:val="nil"/>
            </w:tcBorders>
            <w:vAlign w:val="center"/>
          </w:tcPr>
          <w:p w14:paraId="07993959">
            <w:pPr>
              <w:pStyle w:val="5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rPr>
            </w:pPr>
            <w:r>
              <w:rPr>
                <w:rFonts w:hint="default" w:ascii="Times New Roman" w:hAnsi="Times New Roman" w:eastAsia="宋体" w:cs="Times New Roman"/>
                <w:snapToGrid/>
                <w:color w:val="auto"/>
                <w:spacing w:val="0"/>
                <w:w w:val="100"/>
                <w:kern w:val="28"/>
                <w:position w:val="0"/>
                <w:sz w:val="21"/>
                <w:szCs w:val="21"/>
                <w:highlight w:val="none"/>
              </w:rPr>
              <w:t>达标</w:t>
            </w:r>
          </w:p>
        </w:tc>
        <w:tc>
          <w:tcPr>
            <w:tcW w:w="670" w:type="pct"/>
            <w:tcBorders>
              <w:tl2br w:val="nil"/>
              <w:tr2bl w:val="nil"/>
            </w:tcBorders>
            <w:vAlign w:val="center"/>
          </w:tcPr>
          <w:p w14:paraId="77072C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rPr>
            </w:pPr>
            <w:r>
              <w:rPr>
                <w:rFonts w:hint="eastAsia" w:ascii="Times New Roman" w:hAnsi="Times New Roman" w:eastAsia="宋体" w:cs="Times New Roman"/>
                <w:snapToGrid/>
                <w:color w:val="auto"/>
                <w:spacing w:val="0"/>
                <w:w w:val="100"/>
                <w:kern w:val="28"/>
                <w:position w:val="0"/>
                <w:sz w:val="21"/>
                <w:szCs w:val="21"/>
                <w:highlight w:val="none"/>
                <w:lang w:val="en-US" w:eastAsia="zh-CN" w:bidi="ar-SA"/>
              </w:rPr>
              <w:t>44</w:t>
            </w:r>
          </w:p>
        </w:tc>
        <w:tc>
          <w:tcPr>
            <w:tcW w:w="673" w:type="pct"/>
            <w:tcBorders>
              <w:tl2br w:val="nil"/>
              <w:tr2bl w:val="nil"/>
            </w:tcBorders>
            <w:vAlign w:val="center"/>
          </w:tcPr>
          <w:p w14:paraId="2881DEFB">
            <w:pPr>
              <w:pStyle w:val="5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ascii="Times New Roman" w:cs="Times New Roman"/>
                <w:snapToGrid/>
                <w:color w:val="auto"/>
                <w:spacing w:val="0"/>
                <w:w w:val="100"/>
                <w:kern w:val="28"/>
                <w:position w:val="0"/>
                <w:sz w:val="21"/>
                <w:szCs w:val="21"/>
                <w:highlight w:val="none"/>
                <w:lang w:val="en-US" w:eastAsia="zh-CN"/>
              </w:rPr>
              <w:t>55</w:t>
            </w:r>
          </w:p>
        </w:tc>
        <w:tc>
          <w:tcPr>
            <w:tcW w:w="684" w:type="pct"/>
            <w:tcBorders>
              <w:tl2br w:val="nil"/>
              <w:tr2bl w:val="nil"/>
            </w:tcBorders>
            <w:vAlign w:val="center"/>
          </w:tcPr>
          <w:p w14:paraId="6D1CACBF">
            <w:pPr>
              <w:pStyle w:val="5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rPr>
            </w:pPr>
            <w:r>
              <w:rPr>
                <w:rFonts w:hint="default" w:ascii="Times New Roman" w:hAnsi="Times New Roman" w:eastAsia="宋体" w:cs="Times New Roman"/>
                <w:snapToGrid/>
                <w:color w:val="auto"/>
                <w:spacing w:val="0"/>
                <w:w w:val="100"/>
                <w:kern w:val="28"/>
                <w:position w:val="0"/>
                <w:sz w:val="21"/>
                <w:szCs w:val="21"/>
                <w:highlight w:val="none"/>
              </w:rPr>
              <w:t>达标</w:t>
            </w:r>
          </w:p>
        </w:tc>
      </w:tr>
      <w:tr w14:paraId="68706D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83" w:type="pct"/>
            <w:tcBorders>
              <w:tl2br w:val="nil"/>
              <w:tr2bl w:val="nil"/>
            </w:tcBorders>
            <w:vAlign w:val="center"/>
          </w:tcPr>
          <w:p w14:paraId="29D4D451">
            <w:pPr>
              <w:pStyle w:val="5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default" w:ascii="Times New Roman" w:hAnsi="Times New Roman" w:eastAsia="宋体" w:cs="Times New Roman"/>
                <w:snapToGrid/>
                <w:color w:val="auto"/>
                <w:spacing w:val="0"/>
                <w:w w:val="100"/>
                <w:kern w:val="28"/>
                <w:position w:val="0"/>
                <w:sz w:val="21"/>
                <w:szCs w:val="21"/>
                <w:highlight w:val="none"/>
                <w:lang w:val="en-US" w:eastAsia="zh-CN"/>
              </w:rPr>
              <w:t>厂区南侧</w:t>
            </w:r>
          </w:p>
        </w:tc>
        <w:tc>
          <w:tcPr>
            <w:tcW w:w="637" w:type="pct"/>
            <w:tcBorders>
              <w:tl2br w:val="nil"/>
              <w:tr2bl w:val="nil"/>
            </w:tcBorders>
            <w:vAlign w:val="center"/>
          </w:tcPr>
          <w:p w14:paraId="53170B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rPr>
            </w:pPr>
            <w:r>
              <w:rPr>
                <w:rFonts w:hint="eastAsia" w:ascii="Times New Roman" w:hAnsi="Times New Roman" w:eastAsia="宋体" w:cs="Times New Roman"/>
                <w:snapToGrid/>
                <w:color w:val="auto"/>
                <w:spacing w:val="0"/>
                <w:w w:val="100"/>
                <w:kern w:val="28"/>
                <w:position w:val="0"/>
                <w:sz w:val="21"/>
                <w:szCs w:val="21"/>
                <w:highlight w:val="none"/>
                <w:lang w:val="en-US" w:eastAsia="zh-CN" w:bidi="ar-SA"/>
              </w:rPr>
              <w:t>5</w:t>
            </w:r>
            <w:r>
              <w:rPr>
                <w:rFonts w:hint="eastAsia" w:cs="Times New Roman"/>
                <w:snapToGrid/>
                <w:color w:val="auto"/>
                <w:spacing w:val="0"/>
                <w:w w:val="100"/>
                <w:kern w:val="28"/>
                <w:position w:val="0"/>
                <w:sz w:val="21"/>
                <w:szCs w:val="21"/>
                <w:highlight w:val="none"/>
                <w:lang w:val="en-US" w:eastAsia="zh-CN" w:bidi="ar-SA"/>
              </w:rPr>
              <w:t>5</w:t>
            </w:r>
          </w:p>
        </w:tc>
        <w:tc>
          <w:tcPr>
            <w:tcW w:w="673" w:type="pct"/>
            <w:tcBorders>
              <w:tl2br w:val="nil"/>
              <w:tr2bl w:val="nil"/>
            </w:tcBorders>
            <w:vAlign w:val="center"/>
          </w:tcPr>
          <w:p w14:paraId="7E799D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rPr>
            </w:pPr>
            <w:r>
              <w:rPr>
                <w:rFonts w:hint="eastAsia" w:ascii="Times New Roman" w:cs="Times New Roman"/>
                <w:snapToGrid/>
                <w:color w:val="auto"/>
                <w:spacing w:val="0"/>
                <w:w w:val="100"/>
                <w:kern w:val="28"/>
                <w:position w:val="0"/>
                <w:sz w:val="21"/>
                <w:szCs w:val="21"/>
                <w:highlight w:val="none"/>
                <w:lang w:val="en-US" w:eastAsia="zh-CN"/>
              </w:rPr>
              <w:t>65</w:t>
            </w:r>
          </w:p>
        </w:tc>
        <w:tc>
          <w:tcPr>
            <w:tcW w:w="676" w:type="pct"/>
            <w:tcBorders>
              <w:tl2br w:val="nil"/>
              <w:tr2bl w:val="nil"/>
            </w:tcBorders>
            <w:vAlign w:val="center"/>
          </w:tcPr>
          <w:p w14:paraId="383C6360">
            <w:pPr>
              <w:pStyle w:val="5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rPr>
            </w:pPr>
            <w:r>
              <w:rPr>
                <w:rFonts w:hint="default" w:ascii="Times New Roman" w:hAnsi="Times New Roman" w:eastAsia="宋体" w:cs="Times New Roman"/>
                <w:snapToGrid/>
                <w:color w:val="auto"/>
                <w:spacing w:val="0"/>
                <w:w w:val="100"/>
                <w:kern w:val="28"/>
                <w:position w:val="0"/>
                <w:sz w:val="21"/>
                <w:szCs w:val="21"/>
                <w:highlight w:val="none"/>
              </w:rPr>
              <w:t>达标</w:t>
            </w:r>
          </w:p>
        </w:tc>
        <w:tc>
          <w:tcPr>
            <w:tcW w:w="670" w:type="pct"/>
            <w:tcBorders>
              <w:tl2br w:val="nil"/>
              <w:tr2bl w:val="nil"/>
            </w:tcBorders>
            <w:vAlign w:val="center"/>
          </w:tcPr>
          <w:p w14:paraId="2704625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rPr>
            </w:pPr>
            <w:r>
              <w:rPr>
                <w:rFonts w:hint="eastAsia" w:ascii="Times New Roman" w:hAnsi="Times New Roman" w:eastAsia="宋体" w:cs="Times New Roman"/>
                <w:snapToGrid/>
                <w:color w:val="auto"/>
                <w:spacing w:val="0"/>
                <w:w w:val="100"/>
                <w:kern w:val="28"/>
                <w:position w:val="0"/>
                <w:sz w:val="21"/>
                <w:szCs w:val="21"/>
                <w:highlight w:val="none"/>
                <w:lang w:val="en-US" w:eastAsia="zh-CN" w:bidi="ar-SA"/>
              </w:rPr>
              <w:t>4</w:t>
            </w:r>
            <w:r>
              <w:rPr>
                <w:rFonts w:hint="eastAsia" w:cs="Times New Roman"/>
                <w:snapToGrid/>
                <w:color w:val="auto"/>
                <w:spacing w:val="0"/>
                <w:w w:val="100"/>
                <w:kern w:val="28"/>
                <w:position w:val="0"/>
                <w:sz w:val="21"/>
                <w:szCs w:val="21"/>
                <w:highlight w:val="none"/>
                <w:lang w:val="en-US" w:eastAsia="zh-CN" w:bidi="ar-SA"/>
              </w:rPr>
              <w:t>1</w:t>
            </w:r>
          </w:p>
        </w:tc>
        <w:tc>
          <w:tcPr>
            <w:tcW w:w="673" w:type="pct"/>
            <w:tcBorders>
              <w:tl2br w:val="nil"/>
              <w:tr2bl w:val="nil"/>
            </w:tcBorders>
            <w:vAlign w:val="center"/>
          </w:tcPr>
          <w:p w14:paraId="4EC931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rPr>
            </w:pPr>
            <w:r>
              <w:rPr>
                <w:rFonts w:hint="eastAsia" w:ascii="Times New Roman" w:cs="Times New Roman"/>
                <w:snapToGrid/>
                <w:color w:val="auto"/>
                <w:spacing w:val="0"/>
                <w:w w:val="100"/>
                <w:kern w:val="28"/>
                <w:position w:val="0"/>
                <w:sz w:val="21"/>
                <w:szCs w:val="21"/>
                <w:highlight w:val="none"/>
                <w:lang w:val="en-US" w:eastAsia="zh-CN"/>
              </w:rPr>
              <w:t>55</w:t>
            </w:r>
          </w:p>
        </w:tc>
        <w:tc>
          <w:tcPr>
            <w:tcW w:w="684" w:type="pct"/>
            <w:tcBorders>
              <w:tl2br w:val="nil"/>
              <w:tr2bl w:val="nil"/>
            </w:tcBorders>
            <w:vAlign w:val="center"/>
          </w:tcPr>
          <w:p w14:paraId="4DECD85A">
            <w:pPr>
              <w:pStyle w:val="5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rPr>
            </w:pPr>
            <w:r>
              <w:rPr>
                <w:rFonts w:hint="default" w:ascii="Times New Roman" w:hAnsi="Times New Roman" w:eastAsia="宋体" w:cs="Times New Roman"/>
                <w:snapToGrid/>
                <w:color w:val="auto"/>
                <w:spacing w:val="0"/>
                <w:w w:val="100"/>
                <w:kern w:val="28"/>
                <w:position w:val="0"/>
                <w:sz w:val="21"/>
                <w:szCs w:val="21"/>
                <w:highlight w:val="none"/>
              </w:rPr>
              <w:t>达标</w:t>
            </w:r>
          </w:p>
        </w:tc>
      </w:tr>
      <w:tr w14:paraId="1F7784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83" w:type="pct"/>
            <w:tcBorders>
              <w:tl2br w:val="nil"/>
              <w:tr2bl w:val="nil"/>
            </w:tcBorders>
            <w:vAlign w:val="center"/>
          </w:tcPr>
          <w:p w14:paraId="29E1E3D7">
            <w:pPr>
              <w:pStyle w:val="5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default" w:ascii="Times New Roman" w:hAnsi="Times New Roman" w:eastAsia="宋体" w:cs="Times New Roman"/>
                <w:snapToGrid/>
                <w:color w:val="auto"/>
                <w:spacing w:val="0"/>
                <w:w w:val="100"/>
                <w:kern w:val="28"/>
                <w:position w:val="0"/>
                <w:sz w:val="21"/>
                <w:szCs w:val="21"/>
                <w:highlight w:val="none"/>
                <w:lang w:val="en-US" w:eastAsia="zh-CN"/>
              </w:rPr>
              <w:t>厂区西侧</w:t>
            </w:r>
          </w:p>
        </w:tc>
        <w:tc>
          <w:tcPr>
            <w:tcW w:w="637" w:type="pct"/>
            <w:tcBorders>
              <w:tl2br w:val="nil"/>
              <w:tr2bl w:val="nil"/>
            </w:tcBorders>
            <w:vAlign w:val="center"/>
          </w:tcPr>
          <w:p w14:paraId="6E423C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58</w:t>
            </w:r>
          </w:p>
        </w:tc>
        <w:tc>
          <w:tcPr>
            <w:tcW w:w="673" w:type="pct"/>
            <w:tcBorders>
              <w:tl2br w:val="nil"/>
              <w:tr2bl w:val="nil"/>
            </w:tcBorders>
            <w:vAlign w:val="center"/>
          </w:tcPr>
          <w:p w14:paraId="6C30A3A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rPr>
            </w:pPr>
            <w:r>
              <w:rPr>
                <w:rFonts w:hint="eastAsia" w:ascii="Times New Roman" w:cs="Times New Roman"/>
                <w:snapToGrid/>
                <w:color w:val="auto"/>
                <w:spacing w:val="0"/>
                <w:w w:val="100"/>
                <w:kern w:val="28"/>
                <w:position w:val="0"/>
                <w:sz w:val="21"/>
                <w:szCs w:val="21"/>
                <w:highlight w:val="none"/>
                <w:lang w:val="en-US" w:eastAsia="zh-CN"/>
              </w:rPr>
              <w:t>65</w:t>
            </w:r>
          </w:p>
        </w:tc>
        <w:tc>
          <w:tcPr>
            <w:tcW w:w="676" w:type="pct"/>
            <w:tcBorders>
              <w:tl2br w:val="nil"/>
              <w:tr2bl w:val="nil"/>
            </w:tcBorders>
            <w:vAlign w:val="center"/>
          </w:tcPr>
          <w:p w14:paraId="5C0ABC54">
            <w:pPr>
              <w:pStyle w:val="5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rPr>
            </w:pPr>
            <w:r>
              <w:rPr>
                <w:rFonts w:hint="default" w:ascii="Times New Roman" w:hAnsi="Times New Roman" w:eastAsia="宋体" w:cs="Times New Roman"/>
                <w:snapToGrid/>
                <w:color w:val="auto"/>
                <w:spacing w:val="0"/>
                <w:w w:val="100"/>
                <w:kern w:val="28"/>
                <w:position w:val="0"/>
                <w:sz w:val="21"/>
                <w:szCs w:val="21"/>
                <w:highlight w:val="none"/>
              </w:rPr>
              <w:t>达标</w:t>
            </w:r>
          </w:p>
        </w:tc>
        <w:tc>
          <w:tcPr>
            <w:tcW w:w="670" w:type="pct"/>
            <w:tcBorders>
              <w:tl2br w:val="nil"/>
              <w:tr2bl w:val="nil"/>
            </w:tcBorders>
            <w:vAlign w:val="center"/>
          </w:tcPr>
          <w:p w14:paraId="3B1AF7B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rPr>
            </w:pPr>
            <w:r>
              <w:rPr>
                <w:rFonts w:hint="eastAsia" w:ascii="Times New Roman" w:hAnsi="Times New Roman" w:eastAsia="宋体" w:cs="Times New Roman"/>
                <w:snapToGrid/>
                <w:color w:val="auto"/>
                <w:spacing w:val="0"/>
                <w:w w:val="100"/>
                <w:kern w:val="28"/>
                <w:position w:val="0"/>
                <w:sz w:val="21"/>
                <w:szCs w:val="21"/>
                <w:highlight w:val="none"/>
                <w:lang w:val="en-US" w:eastAsia="zh-CN" w:bidi="ar-SA"/>
              </w:rPr>
              <w:t>4</w:t>
            </w:r>
            <w:r>
              <w:rPr>
                <w:rFonts w:hint="eastAsia" w:cs="Times New Roman"/>
                <w:snapToGrid/>
                <w:color w:val="auto"/>
                <w:spacing w:val="0"/>
                <w:w w:val="100"/>
                <w:kern w:val="28"/>
                <w:position w:val="0"/>
                <w:sz w:val="21"/>
                <w:szCs w:val="21"/>
                <w:highlight w:val="none"/>
                <w:lang w:val="en-US" w:eastAsia="zh-CN" w:bidi="ar-SA"/>
              </w:rPr>
              <w:t>1</w:t>
            </w:r>
          </w:p>
        </w:tc>
        <w:tc>
          <w:tcPr>
            <w:tcW w:w="673" w:type="pct"/>
            <w:tcBorders>
              <w:tl2br w:val="nil"/>
              <w:tr2bl w:val="nil"/>
            </w:tcBorders>
            <w:vAlign w:val="center"/>
          </w:tcPr>
          <w:p w14:paraId="1212F6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rPr>
            </w:pPr>
            <w:r>
              <w:rPr>
                <w:rFonts w:hint="eastAsia" w:ascii="Times New Roman" w:cs="Times New Roman"/>
                <w:snapToGrid/>
                <w:color w:val="auto"/>
                <w:spacing w:val="0"/>
                <w:w w:val="100"/>
                <w:kern w:val="28"/>
                <w:position w:val="0"/>
                <w:sz w:val="21"/>
                <w:szCs w:val="21"/>
                <w:highlight w:val="none"/>
                <w:lang w:val="en-US" w:eastAsia="zh-CN"/>
              </w:rPr>
              <w:t>55</w:t>
            </w:r>
          </w:p>
        </w:tc>
        <w:tc>
          <w:tcPr>
            <w:tcW w:w="684" w:type="pct"/>
            <w:tcBorders>
              <w:tl2br w:val="nil"/>
              <w:tr2bl w:val="nil"/>
            </w:tcBorders>
            <w:vAlign w:val="center"/>
          </w:tcPr>
          <w:p w14:paraId="122B9EB7">
            <w:pPr>
              <w:pStyle w:val="5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rPr>
            </w:pPr>
            <w:r>
              <w:rPr>
                <w:rFonts w:hint="default" w:ascii="Times New Roman" w:hAnsi="Times New Roman" w:eastAsia="宋体" w:cs="Times New Roman"/>
                <w:snapToGrid/>
                <w:color w:val="auto"/>
                <w:spacing w:val="0"/>
                <w:w w:val="100"/>
                <w:kern w:val="28"/>
                <w:position w:val="0"/>
                <w:sz w:val="21"/>
                <w:szCs w:val="21"/>
                <w:highlight w:val="none"/>
              </w:rPr>
              <w:t>达标</w:t>
            </w:r>
          </w:p>
        </w:tc>
      </w:tr>
      <w:tr w14:paraId="3E4F05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83" w:type="pct"/>
            <w:tcBorders>
              <w:tl2br w:val="nil"/>
              <w:tr2bl w:val="nil"/>
            </w:tcBorders>
            <w:vAlign w:val="center"/>
          </w:tcPr>
          <w:p w14:paraId="35C65457">
            <w:pPr>
              <w:pStyle w:val="5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default" w:ascii="Times New Roman" w:hAnsi="Times New Roman" w:eastAsia="宋体" w:cs="Times New Roman"/>
                <w:snapToGrid/>
                <w:color w:val="auto"/>
                <w:spacing w:val="0"/>
                <w:w w:val="100"/>
                <w:kern w:val="28"/>
                <w:position w:val="0"/>
                <w:sz w:val="21"/>
                <w:szCs w:val="21"/>
                <w:highlight w:val="none"/>
                <w:lang w:val="en-US" w:eastAsia="zh-CN"/>
              </w:rPr>
              <w:t>厂区北侧</w:t>
            </w:r>
          </w:p>
        </w:tc>
        <w:tc>
          <w:tcPr>
            <w:tcW w:w="637" w:type="pct"/>
            <w:tcBorders>
              <w:tl2br w:val="nil"/>
              <w:tr2bl w:val="nil"/>
            </w:tcBorders>
            <w:vAlign w:val="center"/>
          </w:tcPr>
          <w:p w14:paraId="3449E05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61</w:t>
            </w:r>
          </w:p>
        </w:tc>
        <w:tc>
          <w:tcPr>
            <w:tcW w:w="673" w:type="pct"/>
            <w:tcBorders>
              <w:tl2br w:val="nil"/>
              <w:tr2bl w:val="nil"/>
            </w:tcBorders>
            <w:vAlign w:val="center"/>
          </w:tcPr>
          <w:p w14:paraId="417D81E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rPr>
            </w:pPr>
            <w:r>
              <w:rPr>
                <w:rFonts w:hint="eastAsia" w:ascii="Times New Roman" w:cs="Times New Roman"/>
                <w:snapToGrid/>
                <w:color w:val="auto"/>
                <w:spacing w:val="0"/>
                <w:w w:val="100"/>
                <w:kern w:val="28"/>
                <w:position w:val="0"/>
                <w:sz w:val="21"/>
                <w:szCs w:val="21"/>
                <w:highlight w:val="none"/>
                <w:lang w:val="en-US" w:eastAsia="zh-CN"/>
              </w:rPr>
              <w:t>65</w:t>
            </w:r>
          </w:p>
        </w:tc>
        <w:tc>
          <w:tcPr>
            <w:tcW w:w="676" w:type="pct"/>
            <w:tcBorders>
              <w:tl2br w:val="nil"/>
              <w:tr2bl w:val="nil"/>
            </w:tcBorders>
            <w:vAlign w:val="center"/>
          </w:tcPr>
          <w:p w14:paraId="3635B857">
            <w:pPr>
              <w:pStyle w:val="5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rPr>
            </w:pPr>
            <w:r>
              <w:rPr>
                <w:rFonts w:hint="default" w:ascii="Times New Roman" w:hAnsi="Times New Roman" w:eastAsia="宋体" w:cs="Times New Roman"/>
                <w:snapToGrid/>
                <w:color w:val="auto"/>
                <w:spacing w:val="0"/>
                <w:w w:val="100"/>
                <w:kern w:val="28"/>
                <w:position w:val="0"/>
                <w:sz w:val="21"/>
                <w:szCs w:val="21"/>
                <w:highlight w:val="none"/>
              </w:rPr>
              <w:t>达标</w:t>
            </w:r>
          </w:p>
        </w:tc>
        <w:tc>
          <w:tcPr>
            <w:tcW w:w="670" w:type="pct"/>
            <w:tcBorders>
              <w:tl2br w:val="nil"/>
              <w:tr2bl w:val="nil"/>
            </w:tcBorders>
            <w:vAlign w:val="center"/>
          </w:tcPr>
          <w:p w14:paraId="5F747FE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rPr>
            </w:pPr>
            <w:r>
              <w:rPr>
                <w:rFonts w:hint="eastAsia" w:cs="Times New Roman"/>
                <w:snapToGrid/>
                <w:color w:val="auto"/>
                <w:spacing w:val="0"/>
                <w:w w:val="100"/>
                <w:kern w:val="28"/>
                <w:position w:val="0"/>
                <w:sz w:val="21"/>
                <w:szCs w:val="21"/>
                <w:highlight w:val="none"/>
                <w:lang w:val="en-US" w:eastAsia="zh-CN" w:bidi="ar-SA"/>
              </w:rPr>
              <w:t>43</w:t>
            </w:r>
          </w:p>
        </w:tc>
        <w:tc>
          <w:tcPr>
            <w:tcW w:w="673" w:type="pct"/>
            <w:tcBorders>
              <w:tl2br w:val="nil"/>
              <w:tr2bl w:val="nil"/>
            </w:tcBorders>
            <w:vAlign w:val="center"/>
          </w:tcPr>
          <w:p w14:paraId="4AA126C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rPr>
            </w:pPr>
            <w:r>
              <w:rPr>
                <w:rFonts w:hint="eastAsia" w:ascii="Times New Roman" w:cs="Times New Roman"/>
                <w:snapToGrid/>
                <w:color w:val="auto"/>
                <w:spacing w:val="0"/>
                <w:w w:val="100"/>
                <w:kern w:val="28"/>
                <w:position w:val="0"/>
                <w:sz w:val="21"/>
                <w:szCs w:val="21"/>
                <w:highlight w:val="none"/>
                <w:lang w:val="en-US" w:eastAsia="zh-CN"/>
              </w:rPr>
              <w:t>55</w:t>
            </w:r>
          </w:p>
        </w:tc>
        <w:tc>
          <w:tcPr>
            <w:tcW w:w="684" w:type="pct"/>
            <w:tcBorders>
              <w:tl2br w:val="nil"/>
              <w:tr2bl w:val="nil"/>
            </w:tcBorders>
            <w:vAlign w:val="center"/>
          </w:tcPr>
          <w:p w14:paraId="526392EA">
            <w:pPr>
              <w:pStyle w:val="5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rPr>
            </w:pPr>
            <w:r>
              <w:rPr>
                <w:rFonts w:hint="default" w:ascii="Times New Roman" w:hAnsi="Times New Roman" w:eastAsia="宋体" w:cs="Times New Roman"/>
                <w:snapToGrid/>
                <w:color w:val="auto"/>
                <w:spacing w:val="0"/>
                <w:w w:val="100"/>
                <w:kern w:val="28"/>
                <w:position w:val="0"/>
                <w:sz w:val="21"/>
                <w:szCs w:val="21"/>
                <w:highlight w:val="none"/>
              </w:rPr>
              <w:t>达标</w:t>
            </w:r>
          </w:p>
        </w:tc>
      </w:tr>
    </w:tbl>
    <w:p w14:paraId="306CF654">
      <w:pPr>
        <w:pStyle w:val="64"/>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default" w:ascii="Times New Roman" w:hAnsi="Times New Roman" w:eastAsia="宋体" w:cs="Times New Roman"/>
          <w:snapToGrid/>
          <w:color w:val="auto"/>
          <w:spacing w:val="0"/>
          <w:w w:val="100"/>
          <w:kern w:val="28"/>
          <w:position w:val="0"/>
          <w:sz w:val="24"/>
          <w:szCs w:val="24"/>
          <w:highlight w:val="none"/>
        </w:rPr>
      </w:pPr>
      <w:r>
        <w:rPr>
          <w:rFonts w:hint="default" w:ascii="Times New Roman" w:hAnsi="Times New Roman" w:eastAsia="宋体" w:cs="Times New Roman"/>
          <w:snapToGrid/>
          <w:color w:val="auto"/>
          <w:spacing w:val="0"/>
          <w:w w:val="100"/>
          <w:kern w:val="28"/>
          <w:position w:val="0"/>
          <w:sz w:val="24"/>
          <w:szCs w:val="24"/>
          <w:highlight w:val="none"/>
        </w:rPr>
        <w:t>由监测结果可知，厂界监测点位昼间、夜间噪声监测值均符合《声环境质量标准》（GB3096-2008）中</w:t>
      </w:r>
      <w:r>
        <w:rPr>
          <w:rFonts w:hint="eastAsia" w:eastAsia="宋体" w:cs="Times New Roman"/>
          <w:snapToGrid/>
          <w:color w:val="auto"/>
          <w:spacing w:val="0"/>
          <w:w w:val="100"/>
          <w:kern w:val="28"/>
          <w:position w:val="0"/>
          <w:sz w:val="24"/>
          <w:szCs w:val="24"/>
          <w:highlight w:val="none"/>
          <w:lang w:val="en-US" w:eastAsia="zh-CN"/>
        </w:rPr>
        <w:t>3</w:t>
      </w:r>
      <w:r>
        <w:rPr>
          <w:rFonts w:hint="default" w:ascii="Times New Roman" w:hAnsi="Times New Roman" w:eastAsia="宋体" w:cs="Times New Roman"/>
          <w:snapToGrid/>
          <w:color w:val="auto"/>
          <w:spacing w:val="0"/>
          <w:w w:val="100"/>
          <w:kern w:val="28"/>
          <w:position w:val="0"/>
          <w:sz w:val="24"/>
          <w:szCs w:val="24"/>
          <w:highlight w:val="none"/>
        </w:rPr>
        <w:t>类功能区标准限值要求，区域声环境质量良好。</w:t>
      </w:r>
    </w:p>
    <w:p w14:paraId="6038D0C9">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r>
        <w:rPr>
          <w:rFonts w:hint="default"/>
          <w:color w:val="auto"/>
          <w:spacing w:val="0"/>
          <w:w w:val="100"/>
          <w:position w:val="0"/>
          <w:highlight w:val="none"/>
        </w:rPr>
        <w:t>4.3.4土壤环境质量现状</w:t>
      </w:r>
      <w:bookmarkEnd w:id="305"/>
    </w:p>
    <w:p w14:paraId="5F4C710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outlineLvl w:val="9"/>
        <w:rPr>
          <w:rFonts w:hint="eastAsia"/>
          <w:color w:val="auto"/>
          <w:spacing w:val="0"/>
          <w:w w:val="100"/>
          <w:position w:val="0"/>
          <w:highlight w:val="none"/>
          <w:lang w:val="en-US" w:eastAsia="zh-CN"/>
        </w:rPr>
      </w:pPr>
      <w:r>
        <w:rPr>
          <w:rFonts w:hint="default" w:ascii="Times New Roman" w:hAnsi="Times New Roman" w:eastAsia="宋体" w:cs="Times New Roman"/>
          <w:caps w:val="0"/>
          <w:snapToGrid/>
          <w:color w:val="auto"/>
          <w:spacing w:val="0"/>
          <w:w w:val="100"/>
          <w:kern w:val="0"/>
          <w:position w:val="0"/>
          <w:sz w:val="24"/>
          <w:szCs w:val="24"/>
          <w:highlight w:val="none"/>
        </w:rPr>
        <w:t>根据</w:t>
      </w:r>
      <w:r>
        <w:rPr>
          <w:rFonts w:hint="eastAsia" w:cs="Times New Roman"/>
          <w:caps w:val="0"/>
          <w:snapToGrid/>
          <w:color w:val="auto"/>
          <w:spacing w:val="0"/>
          <w:w w:val="100"/>
          <w:kern w:val="0"/>
          <w:position w:val="0"/>
          <w:sz w:val="24"/>
          <w:szCs w:val="24"/>
          <w:highlight w:val="none"/>
          <w:lang w:val="en-US" w:eastAsia="zh-CN"/>
        </w:rPr>
        <w:t>“2.3.4土壤环境”章节土壤评价等级判定，</w:t>
      </w:r>
      <w:r>
        <w:rPr>
          <w:rFonts w:hint="default" w:ascii="Times New Roman" w:hAnsi="Times New Roman" w:eastAsia="宋体" w:cs="Times New Roman"/>
          <w:caps w:val="0"/>
          <w:snapToGrid/>
          <w:color w:val="auto"/>
          <w:spacing w:val="0"/>
          <w:w w:val="100"/>
          <w:kern w:val="21"/>
          <w:position w:val="0"/>
          <w:highlight w:val="none"/>
        </w:rPr>
        <w:t>确定本项目可不开展土壤环境影响评价工作</w:t>
      </w:r>
      <w:r>
        <w:rPr>
          <w:rFonts w:hint="eastAsia" w:cs="Times New Roman"/>
          <w:caps w:val="0"/>
          <w:snapToGrid/>
          <w:color w:val="auto"/>
          <w:spacing w:val="0"/>
          <w:w w:val="100"/>
          <w:kern w:val="21"/>
          <w:position w:val="0"/>
          <w:highlight w:val="none"/>
          <w:lang w:eastAsia="zh-CN"/>
        </w:rPr>
        <w:t>，</w:t>
      </w:r>
      <w:r>
        <w:rPr>
          <w:rFonts w:hint="eastAsia" w:ascii="Times New Roman" w:hAnsi="Times New Roman" w:eastAsia="宋体" w:cs="Times New Roman"/>
          <w:caps w:val="0"/>
          <w:snapToGrid/>
          <w:color w:val="auto"/>
          <w:spacing w:val="0"/>
          <w:w w:val="100"/>
          <w:kern w:val="21"/>
          <w:position w:val="0"/>
          <w:highlight w:val="none"/>
          <w:lang w:val="en-US" w:eastAsia="zh-CN"/>
        </w:rPr>
        <w:t>因此本次环评不再</w:t>
      </w:r>
      <w:r>
        <w:rPr>
          <w:rFonts w:hint="eastAsia" w:cs="Times New Roman"/>
          <w:caps w:val="0"/>
          <w:snapToGrid/>
          <w:color w:val="auto"/>
          <w:spacing w:val="0"/>
          <w:w w:val="100"/>
          <w:kern w:val="21"/>
          <w:position w:val="0"/>
          <w:highlight w:val="none"/>
          <w:lang w:val="en-US" w:eastAsia="zh-CN"/>
        </w:rPr>
        <w:t>土壤</w:t>
      </w:r>
      <w:r>
        <w:rPr>
          <w:rFonts w:hint="eastAsia" w:ascii="Times New Roman" w:hAnsi="Times New Roman" w:eastAsia="宋体" w:cs="Times New Roman"/>
          <w:caps w:val="0"/>
          <w:snapToGrid/>
          <w:color w:val="auto"/>
          <w:spacing w:val="0"/>
          <w:w w:val="100"/>
          <w:kern w:val="21"/>
          <w:position w:val="0"/>
          <w:highlight w:val="none"/>
          <w:lang w:val="en-US" w:eastAsia="zh-CN"/>
        </w:rPr>
        <w:t>环境进行现状监测及评价。</w:t>
      </w:r>
    </w:p>
    <w:p w14:paraId="3EFB1980">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4.3.5生态环境现状调查</w:t>
      </w:r>
    </w:p>
    <w:p w14:paraId="178D73BA">
      <w:pPr>
        <w:keepNext w:val="0"/>
        <w:keepLines w:val="0"/>
        <w:pageBreakBefore w:val="0"/>
        <w:widowControl w:val="0"/>
        <w:kinsoku/>
        <w:wordWrap/>
        <w:overflowPunct/>
        <w:topLinePunct w:val="0"/>
        <w:autoSpaceDE/>
        <w:autoSpaceDN/>
        <w:bidi w:val="0"/>
        <w:adjustRightInd/>
        <w:snapToGrid/>
        <w:ind w:firstLine="480"/>
        <w:rPr>
          <w:color w:val="auto"/>
          <w:spacing w:val="0"/>
          <w:w w:val="100"/>
          <w:position w:val="0"/>
          <w:highlight w:val="none"/>
        </w:rPr>
      </w:pPr>
      <w:r>
        <w:rPr>
          <w:rFonts w:hint="eastAsia"/>
          <w:color w:val="auto"/>
          <w:spacing w:val="0"/>
          <w:w w:val="100"/>
          <w:position w:val="0"/>
          <w:highlight w:val="none"/>
        </w:rPr>
        <w:t>本项目建设地点</w:t>
      </w:r>
      <w:r>
        <w:rPr>
          <w:rFonts w:hint="eastAsia"/>
          <w:color w:val="auto"/>
          <w:spacing w:val="0"/>
          <w:w w:val="100"/>
          <w:position w:val="0"/>
          <w:highlight w:val="none"/>
          <w:lang w:val="en-US" w:eastAsia="zh-CN"/>
        </w:rPr>
        <w:t>属于</w:t>
      </w:r>
      <w:r>
        <w:rPr>
          <w:rFonts w:hint="eastAsia" w:cs="Times New Roman"/>
          <w:caps w:val="0"/>
          <w:snapToGrid/>
          <w:color w:val="auto"/>
          <w:spacing w:val="0"/>
          <w:w w:val="100"/>
          <w:kern w:val="21"/>
          <w:position w:val="0"/>
          <w:sz w:val="24"/>
          <w:szCs w:val="24"/>
          <w:highlight w:val="none"/>
          <w:lang w:eastAsia="zh-CN" w:bidi="ar"/>
        </w:rPr>
        <w:t>甘泉堡工业园区中小微企业创新区</w:t>
      </w:r>
      <w:r>
        <w:rPr>
          <w:rFonts w:hint="eastAsia"/>
          <w:color w:val="auto"/>
          <w:spacing w:val="0"/>
          <w:w w:val="100"/>
          <w:position w:val="0"/>
          <w:highlight w:val="none"/>
          <w:lang w:eastAsia="zh-CN"/>
        </w:rPr>
        <w:t>，</w:t>
      </w:r>
      <w:r>
        <w:rPr>
          <w:rFonts w:hint="default"/>
          <w:color w:val="auto"/>
          <w:spacing w:val="0"/>
          <w:w w:val="100"/>
          <w:position w:val="0"/>
          <w:highlight w:val="none"/>
          <w:lang w:val="en-US" w:eastAsia="zh-CN"/>
        </w:rPr>
        <w:t>根据《新疆生态功能区划》（新政函〔2005〕96号），本项目所在区域生态功能属Ⅱ准噶尔盆地温性荒漠与绿洲农业生态区—Ⅱ5准噶尔盆地南部荒漠绿洲农业生态亚区—2</w:t>
      </w:r>
      <w:r>
        <w:rPr>
          <w:rFonts w:hint="eastAsia"/>
          <w:color w:val="auto"/>
          <w:spacing w:val="0"/>
          <w:w w:val="100"/>
          <w:position w:val="0"/>
          <w:highlight w:val="none"/>
          <w:lang w:val="en-US" w:eastAsia="zh-CN"/>
        </w:rPr>
        <w:t>8.阜康</w:t>
      </w:r>
      <w:r>
        <w:rPr>
          <w:rFonts w:hint="default"/>
          <w:color w:val="auto"/>
          <w:spacing w:val="0"/>
          <w:w w:val="100"/>
          <w:position w:val="0"/>
          <w:highlight w:val="none"/>
          <w:lang w:val="en-US" w:eastAsia="zh-CN"/>
        </w:rPr>
        <w:t>—</w:t>
      </w:r>
      <w:r>
        <w:rPr>
          <w:rFonts w:hint="eastAsia"/>
          <w:color w:val="auto"/>
          <w:spacing w:val="0"/>
          <w:w w:val="100"/>
          <w:position w:val="0"/>
          <w:highlight w:val="none"/>
          <w:lang w:val="en-US" w:eastAsia="zh-CN"/>
        </w:rPr>
        <w:t>木垒</w:t>
      </w:r>
      <w:r>
        <w:rPr>
          <w:rFonts w:hint="default"/>
          <w:color w:val="auto"/>
          <w:spacing w:val="0"/>
          <w:w w:val="100"/>
          <w:position w:val="0"/>
          <w:highlight w:val="none"/>
          <w:lang w:val="en-US" w:eastAsia="zh-CN"/>
        </w:rPr>
        <w:t>绿洲农业</w:t>
      </w:r>
      <w:r>
        <w:rPr>
          <w:rFonts w:hint="eastAsia"/>
          <w:color w:val="auto"/>
          <w:spacing w:val="0"/>
          <w:w w:val="100"/>
          <w:position w:val="0"/>
          <w:highlight w:val="none"/>
          <w:lang w:val="en-US" w:eastAsia="zh-CN"/>
        </w:rPr>
        <w:t>、荒漠草地保护</w:t>
      </w:r>
      <w:r>
        <w:rPr>
          <w:rFonts w:hint="default"/>
          <w:color w:val="auto"/>
          <w:spacing w:val="0"/>
          <w:w w:val="100"/>
          <w:position w:val="0"/>
          <w:highlight w:val="none"/>
          <w:lang w:val="en-US" w:eastAsia="zh-CN"/>
        </w:rPr>
        <w:t>生态功能区。</w:t>
      </w:r>
    </w:p>
    <w:p w14:paraId="5C25616C">
      <w:pPr>
        <w:keepNext w:val="0"/>
        <w:keepLines w:val="0"/>
        <w:pageBreakBefore w:val="0"/>
        <w:widowControl w:val="0"/>
        <w:kinsoku/>
        <w:wordWrap/>
        <w:overflowPunct/>
        <w:topLinePunct w:val="0"/>
        <w:autoSpaceDE/>
        <w:autoSpaceDN/>
        <w:bidi w:val="0"/>
        <w:adjustRightInd/>
        <w:snapToGrid/>
        <w:ind w:firstLine="480"/>
        <w:rPr>
          <w:rFonts w:hint="default" w:eastAsia="宋体"/>
          <w:color w:val="auto"/>
          <w:spacing w:val="0"/>
          <w:w w:val="100"/>
          <w:position w:val="0"/>
          <w:highlight w:val="none"/>
          <w:lang w:val="en-US" w:eastAsia="zh-CN"/>
        </w:rPr>
      </w:pPr>
      <w:r>
        <w:rPr>
          <w:rFonts w:hint="eastAsia"/>
          <w:color w:val="auto"/>
          <w:spacing w:val="0"/>
          <w:w w:val="100"/>
          <w:position w:val="0"/>
          <w:highlight w:val="none"/>
          <w:lang w:eastAsia="zh-CN"/>
        </w:rPr>
        <w:t>（</w:t>
      </w:r>
      <w:r>
        <w:rPr>
          <w:rFonts w:hint="eastAsia"/>
          <w:color w:val="auto"/>
          <w:spacing w:val="0"/>
          <w:w w:val="100"/>
          <w:position w:val="0"/>
          <w:highlight w:val="none"/>
          <w:lang w:val="en-US" w:eastAsia="zh-CN"/>
        </w:rPr>
        <w:t>1</w:t>
      </w:r>
      <w:r>
        <w:rPr>
          <w:rFonts w:hint="eastAsia"/>
          <w:color w:val="auto"/>
          <w:spacing w:val="0"/>
          <w:w w:val="100"/>
          <w:position w:val="0"/>
          <w:highlight w:val="none"/>
          <w:lang w:eastAsia="zh-CN"/>
        </w:rPr>
        <w:t>）</w:t>
      </w:r>
      <w:r>
        <w:rPr>
          <w:rFonts w:hint="eastAsia"/>
          <w:color w:val="auto"/>
          <w:spacing w:val="0"/>
          <w:w w:val="100"/>
          <w:position w:val="0"/>
          <w:highlight w:val="none"/>
          <w:lang w:val="en-US" w:eastAsia="zh-CN"/>
        </w:rPr>
        <w:t>土地利用现状</w:t>
      </w:r>
    </w:p>
    <w:p w14:paraId="57D2E3F4">
      <w:pPr>
        <w:keepNext w:val="0"/>
        <w:keepLines w:val="0"/>
        <w:pageBreakBefore w:val="0"/>
        <w:widowControl w:val="0"/>
        <w:kinsoku/>
        <w:wordWrap/>
        <w:overflowPunct/>
        <w:topLinePunct w:val="0"/>
        <w:autoSpaceDE/>
        <w:autoSpaceDN/>
        <w:bidi w:val="0"/>
        <w:adjustRightInd/>
        <w:snapToGrid/>
        <w:ind w:firstLine="480"/>
        <w:rPr>
          <w:rFonts w:hint="eastAsia"/>
          <w:color w:val="auto"/>
          <w:spacing w:val="0"/>
          <w:w w:val="100"/>
          <w:position w:val="0"/>
          <w:highlight w:val="none"/>
        </w:rPr>
      </w:pPr>
      <w:r>
        <w:rPr>
          <w:rFonts w:hint="eastAsia"/>
          <w:color w:val="auto"/>
          <w:spacing w:val="0"/>
          <w:w w:val="100"/>
          <w:position w:val="0"/>
          <w:highlight w:val="none"/>
        </w:rPr>
        <w:t>项目占地属于工业用地。</w:t>
      </w:r>
    </w:p>
    <w:p w14:paraId="2C894D67">
      <w:pPr>
        <w:keepNext w:val="0"/>
        <w:keepLines w:val="0"/>
        <w:pageBreakBefore w:val="0"/>
        <w:widowControl w:val="0"/>
        <w:kinsoku/>
        <w:wordWrap/>
        <w:overflowPunct/>
        <w:topLinePunct w:val="0"/>
        <w:autoSpaceDE/>
        <w:autoSpaceDN/>
        <w:bidi w:val="0"/>
        <w:adjustRightInd/>
        <w:snapToGrid/>
        <w:ind w:firstLine="480"/>
        <w:rPr>
          <w:rFonts w:hint="eastAsia"/>
          <w:color w:val="auto"/>
          <w:spacing w:val="0"/>
          <w:w w:val="100"/>
          <w:position w:val="0"/>
          <w:highlight w:val="none"/>
        </w:rPr>
      </w:pPr>
      <w:r>
        <w:rPr>
          <w:rFonts w:hint="eastAsia"/>
          <w:color w:val="auto"/>
          <w:spacing w:val="0"/>
          <w:w w:val="100"/>
          <w:position w:val="0"/>
          <w:highlight w:val="none"/>
        </w:rPr>
        <w:t>（2）植被及野生动物</w:t>
      </w:r>
    </w:p>
    <w:p w14:paraId="0F0B58D6">
      <w:pPr>
        <w:keepNext w:val="0"/>
        <w:keepLines w:val="0"/>
        <w:pageBreakBefore w:val="0"/>
        <w:widowControl w:val="0"/>
        <w:kinsoku/>
        <w:wordWrap/>
        <w:overflowPunct/>
        <w:topLinePunct w:val="0"/>
        <w:autoSpaceDE/>
        <w:autoSpaceDN/>
        <w:bidi w:val="0"/>
        <w:adjustRightInd/>
        <w:snapToGrid/>
        <w:ind w:firstLine="480"/>
        <w:rPr>
          <w:rFonts w:hint="eastAsia"/>
          <w:color w:val="auto"/>
          <w:spacing w:val="0"/>
          <w:w w:val="100"/>
          <w:position w:val="0"/>
          <w:highlight w:val="none"/>
        </w:rPr>
      </w:pPr>
      <w:r>
        <w:rPr>
          <w:rFonts w:hint="eastAsia"/>
          <w:color w:val="auto"/>
          <w:spacing w:val="0"/>
          <w:w w:val="100"/>
          <w:position w:val="0"/>
          <w:highlight w:val="none"/>
        </w:rPr>
        <w:t>本项目</w:t>
      </w:r>
      <w:r>
        <w:rPr>
          <w:rFonts w:hint="eastAsia"/>
          <w:color w:val="auto"/>
          <w:spacing w:val="0"/>
          <w:w w:val="100"/>
          <w:position w:val="0"/>
          <w:highlight w:val="none"/>
          <w:lang w:val="en-US" w:eastAsia="zh-CN"/>
        </w:rPr>
        <w:t>所在区域</w:t>
      </w:r>
      <w:r>
        <w:rPr>
          <w:rFonts w:hint="eastAsia"/>
          <w:color w:val="auto"/>
          <w:spacing w:val="0"/>
          <w:w w:val="100"/>
          <w:position w:val="0"/>
          <w:highlight w:val="none"/>
        </w:rPr>
        <w:t>受人为活动的影响，野生动物分布较少，主要为伴人类鸟类及啮齿类小动物。</w:t>
      </w:r>
    </w:p>
    <w:p w14:paraId="1E42646B">
      <w:pPr>
        <w:keepNext w:val="0"/>
        <w:keepLines w:val="0"/>
        <w:pageBreakBefore w:val="0"/>
        <w:widowControl w:val="0"/>
        <w:kinsoku/>
        <w:wordWrap/>
        <w:overflowPunct/>
        <w:topLinePunct w:val="0"/>
        <w:autoSpaceDE/>
        <w:autoSpaceDN/>
        <w:bidi w:val="0"/>
        <w:adjustRightInd/>
        <w:snapToGrid/>
        <w:ind w:firstLine="480"/>
        <w:rPr>
          <w:rFonts w:hint="eastAsia"/>
          <w:color w:val="auto"/>
          <w:spacing w:val="0"/>
          <w:w w:val="100"/>
          <w:position w:val="0"/>
          <w:highlight w:val="none"/>
        </w:rPr>
      </w:pPr>
      <w:r>
        <w:rPr>
          <w:rFonts w:hint="eastAsia"/>
          <w:color w:val="auto"/>
          <w:spacing w:val="0"/>
          <w:w w:val="100"/>
          <w:position w:val="0"/>
          <w:highlight w:val="none"/>
        </w:rPr>
        <w:t>经调查，未见国家及自治区级保护野生动植物。</w:t>
      </w:r>
    </w:p>
    <w:p w14:paraId="27C95ADC">
      <w:pPr>
        <w:keepNext w:val="0"/>
        <w:keepLines w:val="0"/>
        <w:pageBreakBefore w:val="0"/>
        <w:widowControl w:val="0"/>
        <w:kinsoku/>
        <w:wordWrap/>
        <w:overflowPunct/>
        <w:topLinePunct w:val="0"/>
        <w:autoSpaceDE/>
        <w:autoSpaceDN/>
        <w:bidi w:val="0"/>
        <w:adjustRightInd/>
        <w:snapToGrid/>
        <w:ind w:firstLine="480"/>
        <w:rPr>
          <w:rFonts w:hint="eastAsia"/>
          <w:color w:val="auto"/>
          <w:spacing w:val="0"/>
          <w:w w:val="100"/>
          <w:position w:val="0"/>
          <w:highlight w:val="none"/>
        </w:rPr>
      </w:pPr>
      <w:r>
        <w:rPr>
          <w:rFonts w:hint="eastAsia"/>
          <w:color w:val="auto"/>
          <w:spacing w:val="0"/>
          <w:w w:val="100"/>
          <w:position w:val="0"/>
          <w:highlight w:val="none"/>
        </w:rPr>
        <w:t>（3）土壤现状</w:t>
      </w:r>
    </w:p>
    <w:p w14:paraId="1BA58822">
      <w:pPr>
        <w:keepNext w:val="0"/>
        <w:keepLines w:val="0"/>
        <w:pageBreakBefore w:val="0"/>
        <w:widowControl w:val="0"/>
        <w:kinsoku/>
        <w:wordWrap/>
        <w:overflowPunct/>
        <w:topLinePunct w:val="0"/>
        <w:autoSpaceDE/>
        <w:autoSpaceDN/>
        <w:bidi w:val="0"/>
        <w:adjustRightInd/>
        <w:snapToGrid/>
        <w:ind w:firstLine="480"/>
        <w:rPr>
          <w:color w:val="auto"/>
          <w:spacing w:val="0"/>
          <w:w w:val="100"/>
          <w:kern w:val="2"/>
          <w:position w:val="0"/>
          <w:highlight w:val="none"/>
        </w:rPr>
      </w:pPr>
      <w:r>
        <w:rPr>
          <w:rFonts w:hint="eastAsia"/>
          <w:color w:val="auto"/>
          <w:spacing w:val="0"/>
          <w:w w:val="100"/>
          <w:position w:val="0"/>
          <w:highlight w:val="none"/>
        </w:rPr>
        <w:t>经在国家土壤信息服务平台（http：//www.soilinfo.cn/map/index.aspx）查询，本项目所在区域土壤类型为灰漠土，查询结果截图见图4</w:t>
      </w:r>
      <w:r>
        <w:rPr>
          <w:rFonts w:hint="eastAsia"/>
          <w:color w:val="auto"/>
          <w:spacing w:val="0"/>
          <w:w w:val="100"/>
          <w:position w:val="0"/>
          <w:highlight w:val="none"/>
          <w:lang w:val="en-US" w:eastAsia="zh-CN"/>
        </w:rPr>
        <w:t>.3.5-1</w:t>
      </w:r>
      <w:r>
        <w:rPr>
          <w:rFonts w:hint="eastAsia"/>
          <w:color w:val="auto"/>
          <w:spacing w:val="0"/>
          <w:w w:val="100"/>
          <w:position w:val="0"/>
          <w:highlight w:val="none"/>
        </w:rPr>
        <w:t>。</w:t>
      </w:r>
    </w:p>
    <w:p w14:paraId="60CCA2D5">
      <w:pPr>
        <w:keepNext w:val="0"/>
        <w:keepLines w:val="0"/>
        <w:pageBreakBefore w:val="0"/>
        <w:widowControl w:val="0"/>
        <w:kinsoku/>
        <w:wordWrap/>
        <w:overflowPunct/>
        <w:topLinePunct w:val="0"/>
        <w:autoSpaceDE/>
        <w:autoSpaceDN/>
        <w:bidi w:val="0"/>
        <w:adjustRightInd/>
        <w:snapToGrid/>
        <w:ind w:firstLine="480"/>
        <w:rPr>
          <w:color w:val="auto"/>
          <w:spacing w:val="0"/>
          <w:w w:val="100"/>
          <w:kern w:val="2"/>
          <w:position w:val="0"/>
          <w:highlight w:val="none"/>
        </w:rPr>
        <w:sectPr>
          <w:pgSz w:w="11906" w:h="16838"/>
          <w:pgMar w:top="1440" w:right="1587" w:bottom="1440" w:left="1701" w:header="851" w:footer="850" w:gutter="0"/>
          <w:pgBorders>
            <w:top w:val="none" w:sz="0" w:space="0"/>
            <w:left w:val="none" w:sz="0" w:space="0"/>
            <w:bottom w:val="none" w:sz="0" w:space="0"/>
            <w:right w:val="none" w:sz="0" w:space="0"/>
          </w:pgBorders>
          <w:pgNumType w:fmt="decimal"/>
          <w:cols w:space="425" w:num="1"/>
          <w:docGrid w:type="lines" w:linePitch="312" w:charSpace="0"/>
        </w:sectPr>
      </w:pPr>
    </w:p>
    <w:p w14:paraId="35AB6891">
      <w:pPr>
        <w:pStyle w:val="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bookmarkStart w:id="306" w:name="_Toc137738991"/>
      <w:bookmarkStart w:id="307" w:name="_Toc283077112"/>
      <w:bookmarkStart w:id="308" w:name="_Toc387919230"/>
      <w:bookmarkStart w:id="309" w:name="_Toc389048650"/>
      <w:bookmarkStart w:id="310" w:name="_Toc21417"/>
      <w:bookmarkStart w:id="311" w:name="_Toc6764"/>
      <w:bookmarkStart w:id="312" w:name="_Toc7886"/>
      <w:bookmarkStart w:id="313" w:name="_Toc12632"/>
      <w:r>
        <w:rPr>
          <w:rFonts w:hint="default"/>
          <w:color w:val="auto"/>
          <w:spacing w:val="0"/>
          <w:w w:val="100"/>
          <w:position w:val="0"/>
          <w:highlight w:val="none"/>
        </w:rPr>
        <mc:AlternateContent>
          <mc:Choice Requires="wps">
            <w:drawing>
              <wp:anchor distT="0" distB="0" distL="114300" distR="114300" simplePos="0" relativeHeight="251659264" behindDoc="0" locked="0" layoutInCell="1" allowOverlap="1">
                <wp:simplePos x="0" y="0"/>
                <wp:positionH relativeFrom="column">
                  <wp:posOffset>10353675</wp:posOffset>
                </wp:positionH>
                <wp:positionV relativeFrom="paragraph">
                  <wp:posOffset>5062855</wp:posOffset>
                </wp:positionV>
                <wp:extent cx="1412875" cy="2821940"/>
                <wp:effectExtent l="96520" t="68580" r="14605" b="5080"/>
                <wp:wrapNone/>
                <wp:docPr id="42" name="自选图形 2657"/>
                <wp:cNvGraphicFramePr/>
                <a:graphic xmlns:a="http://schemas.openxmlformats.org/drawingml/2006/main">
                  <a:graphicData uri="http://schemas.microsoft.com/office/word/2010/wordprocessingShape">
                    <wps:wsp>
                      <wps:cNvSpPr/>
                      <wps:spPr>
                        <a:xfrm flipH="1">
                          <a:off x="0" y="0"/>
                          <a:ext cx="1412875" cy="2821940"/>
                        </a:xfrm>
                        <a:prstGeom prst="wedgeRoundRectCallout">
                          <a:avLst>
                            <a:gd name="adj1" fmla="val 56292"/>
                            <a:gd name="adj2" fmla="val -51069"/>
                            <a:gd name="adj3" fmla="val 16667"/>
                          </a:avLst>
                        </a:prstGeom>
                        <a:solidFill>
                          <a:srgbClr val="F79646">
                            <a:alpha val="50000"/>
                          </a:srgbClr>
                        </a:solidFill>
                        <a:ln w="6350" cap="flat" cmpd="sng">
                          <a:solidFill>
                            <a:srgbClr val="000000"/>
                          </a:solidFill>
                          <a:prstDash val="solid"/>
                          <a:miter/>
                          <a:headEnd type="none" w="med" len="med"/>
                          <a:tailEnd type="triangle" w="med" len="med"/>
                        </a:ln>
                      </wps:spPr>
                      <wps:txbx>
                        <w:txbxContent>
                          <w:p w14:paraId="440DBA28">
                            <w:pPr>
                              <w:jc w:val="center"/>
                              <w:rPr>
                                <w:rFonts w:hint="eastAsia"/>
                                <w:b/>
                                <w:bCs/>
                                <w:sz w:val="21"/>
                              </w:rPr>
                            </w:pPr>
                            <w:r>
                              <w:rPr>
                                <w:b/>
                                <w:bCs/>
                                <w:color w:val="FF0000"/>
                                <w:sz w:val="21"/>
                              </w:rPr>
                              <w:t>场界边缘地带</w:t>
                            </w:r>
                            <w:r>
                              <w:rPr>
                                <w:rFonts w:hint="eastAsia"/>
                                <w:b/>
                                <w:bCs/>
                                <w:color w:val="FF0000"/>
                                <w:sz w:val="21"/>
                              </w:rPr>
                              <w:t>根据项目区布置情况</w:t>
                            </w:r>
                            <w:r>
                              <w:rPr>
                                <w:b/>
                                <w:bCs/>
                                <w:color w:val="FF0000"/>
                                <w:sz w:val="21"/>
                              </w:rPr>
                              <w:t>形成多层防护林带</w:t>
                            </w:r>
                            <w:r>
                              <w:rPr>
                                <w:rFonts w:hint="eastAsia"/>
                                <w:b/>
                                <w:bCs/>
                                <w:color w:val="FF0000"/>
                                <w:sz w:val="21"/>
                              </w:rPr>
                              <w:t>，</w:t>
                            </w:r>
                            <w:r>
                              <w:rPr>
                                <w:b/>
                                <w:bCs/>
                                <w:color w:val="FF0000"/>
                                <w:sz w:val="21"/>
                              </w:rPr>
                              <w:t>绿化带的布置采用多行、高低结合进行，树种选择根据当地习惯多选用吸尘、降噪、防毒树种</w:t>
                            </w:r>
                            <w:r>
                              <w:rPr>
                                <w:rFonts w:hint="eastAsia"/>
                                <w:b/>
                                <w:bCs/>
                                <w:color w:val="FF0000"/>
                                <w:sz w:val="21"/>
                              </w:rPr>
                              <w:t>，如云杉、垂柳、刺槐、新疆杨等</w:t>
                            </w:r>
                          </w:p>
                        </w:txbxContent>
                      </wps:txbx>
                      <wps:bodyPr wrap="square" upright="1"/>
                    </wps:wsp>
                  </a:graphicData>
                </a:graphic>
              </wp:anchor>
            </w:drawing>
          </mc:Choice>
          <mc:Fallback>
            <w:pict>
              <v:shape id="自选图形 2657" o:spid="_x0000_s1026" o:spt="62" type="#_x0000_t62" style="position:absolute;left:0pt;flip:x;margin-left:815.25pt;margin-top:398.65pt;height:222.2pt;width:111.25pt;z-index:251659264;mso-width-relative:page;mso-height-relative:page;" fillcolor="#F79646" filled="t" stroked="t" coordsize="21600,21600" o:gfxdata="UEsDBAoAAAAAAIdO4kAAAAAAAAAAAAAAAAAEAAAAZHJzL1BLAwQUAAAACACHTuJAz9ux59oAAAAO&#10;AQAADwAAAGRycy9kb3ducmV2LnhtbE2Py07DMBBF90j8gzVI7KidpGlKGqcSldiwQDTwAU7sJlHt&#10;cRS7D/h6pivYzdUc3Ue1vTrLzmYOo0cJyUIAM9h5PWIv4evz9WkNLESFWlmPRsK3CbCt7+8qVWp/&#10;wb05N7FnZIKhVBKGGKeS89ANxqmw8JNB+h387FQkOfdcz+pC5s7yVIgVd2pEShjUZHaD6Y7NyUn4&#10;eV+msRVvaG2+V2k8Ni8f407Kx4dEbIBFc41/MNzqU3WoqVPrT6gDs6RXmciJlVA8FxmwG7LOM9rX&#10;0pUukwJ4XfH/M+pfUEsDBBQAAAAIAIdO4kCsx1bRdwIAAPgEAAAOAAAAZHJzL2Uyb0RvYy54bWyt&#10;VE1uEzEU3iNxB8v7djLTZJpEnXTRUFggqFo4gGN7Zoz8h+1kkh07xBm6Y8kd4DaV4BY8e4YmalWp&#10;C7IYPdsv3/u+z+/57HyrJNpw54XRFc6PRxhxTQ0Tuqnwxw+XR1OMfCCaEWk0r/COe3y+ePnirLNz&#10;XpjWSMYdAhDt552tcBuCnWeZpy1XxB8byzUc1sYpEmDpmow50gG6klkxGpVZZxyzzlDuPewu+0M8&#10;ILrnAJq6FpQvDV0rrkOP6rgkAST5VliPF4ltXXMa3te15wHJCoPSkL5QBOJV/GaLMzJvHLGtoAMF&#10;8hwKDzQpIjQUvYdakkDQ2olHUEpQZ7ypwzE1KuuFJEdART564M1NSyxPWsBqb+9N9/8Plr7bXDkk&#10;WIXHBUaaKLjx319//Pny7e72193P76goJ6fRpc76OSTf2Cs3rDyEUfK2dgrVUtg30E7JBJCFtsnj&#10;3b3HfBsQhc18nBfT0wlGFM6KaZHPxukWsh4oAlrnw2tuFIpBhTvOGn5t1ppdw3VeECnNOqQ6ZPPW&#10;h+Q6G6gT9inHqFYSLnFDJJqUxawYLvkgB6Tuc44m+aicPU46OUzKy7JMPgDPoSxE/5hGDt5IwS6F&#10;lGnhmtWFdAg4VPjydFaOy56xtC3pdycj+MWqgOP79D4+xJEadRUuTybQr5TAtNXQ5RAqCzfmdZNA&#10;n64cS+yLHAJH5kvi255LQugdUCJwl6ai5YS90gyFnYWm0PAY4EhGcYaR5PB2xChlBiLkPjM4QXQj&#10;n8gGtVKD0NhPfQfFKGxX26GtVobtoCU7mEmQ+HlNHCCtrRNNC82QJ8fiX2Agkl/D8MaJO1ynEvsH&#10;a/EX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z9ux59oAAAAOAQAADwAAAAAAAAABACAAAAAiAAAA&#10;ZHJzL2Rvd25yZXYueG1sUEsBAhQAFAAAAAgAh07iQKzHVtF3AgAA+AQAAA4AAAAAAAAAAQAgAAAA&#10;KQEAAGRycy9lMm9Eb2MueG1sUEsFBgAAAAAGAAYAWQEAABIGAAAAAA==&#10;" adj="22959,-231,14400">
                <v:fill on="t" opacity="32768f" focussize="0,0"/>
                <v:stroke weight="0.5pt" color="#000000" joinstyle="miter" endarrow="block"/>
                <v:imagedata o:title=""/>
                <o:lock v:ext="edit" aspectratio="f"/>
                <v:textbox>
                  <w:txbxContent>
                    <w:p w14:paraId="440DBA28">
                      <w:pPr>
                        <w:jc w:val="center"/>
                        <w:rPr>
                          <w:rFonts w:hint="eastAsia"/>
                          <w:b/>
                          <w:bCs/>
                          <w:sz w:val="21"/>
                        </w:rPr>
                      </w:pPr>
                      <w:r>
                        <w:rPr>
                          <w:b/>
                          <w:bCs/>
                          <w:color w:val="FF0000"/>
                          <w:sz w:val="21"/>
                        </w:rPr>
                        <w:t>场界边缘地带</w:t>
                      </w:r>
                      <w:r>
                        <w:rPr>
                          <w:rFonts w:hint="eastAsia"/>
                          <w:b/>
                          <w:bCs/>
                          <w:color w:val="FF0000"/>
                          <w:sz w:val="21"/>
                        </w:rPr>
                        <w:t>根据项目区布置情况</w:t>
                      </w:r>
                      <w:r>
                        <w:rPr>
                          <w:b/>
                          <w:bCs/>
                          <w:color w:val="FF0000"/>
                          <w:sz w:val="21"/>
                        </w:rPr>
                        <w:t>形成多层防护林带</w:t>
                      </w:r>
                      <w:r>
                        <w:rPr>
                          <w:rFonts w:hint="eastAsia"/>
                          <w:b/>
                          <w:bCs/>
                          <w:color w:val="FF0000"/>
                          <w:sz w:val="21"/>
                        </w:rPr>
                        <w:t>，</w:t>
                      </w:r>
                      <w:r>
                        <w:rPr>
                          <w:b/>
                          <w:bCs/>
                          <w:color w:val="FF0000"/>
                          <w:sz w:val="21"/>
                        </w:rPr>
                        <w:t>绿化带的布置采用多行、高低结合进行，树种选择根据当地习惯多选用吸尘、降噪、防毒树种</w:t>
                      </w:r>
                      <w:r>
                        <w:rPr>
                          <w:rFonts w:hint="eastAsia"/>
                          <w:b/>
                          <w:bCs/>
                          <w:color w:val="FF0000"/>
                          <w:sz w:val="21"/>
                        </w:rPr>
                        <w:t>，如云杉、垂柳、刺槐、新疆杨等</w:t>
                      </w:r>
                    </w:p>
                  </w:txbxContent>
                </v:textbox>
              </v:shape>
            </w:pict>
          </mc:Fallback>
        </mc:AlternateContent>
      </w:r>
      <w:bookmarkEnd w:id="306"/>
      <w:bookmarkEnd w:id="307"/>
      <w:bookmarkEnd w:id="308"/>
      <w:bookmarkEnd w:id="309"/>
      <w:bookmarkStart w:id="314" w:name="_Toc31517"/>
      <w:bookmarkStart w:id="315" w:name="_Toc7473"/>
      <w:bookmarkStart w:id="316" w:name="_Toc28846"/>
      <w:bookmarkStart w:id="317" w:name="_Toc7851"/>
      <w:bookmarkStart w:id="318" w:name="_Toc12228"/>
      <w:bookmarkStart w:id="319" w:name="_Toc28498"/>
      <w:bookmarkStart w:id="320" w:name="_Toc2095298"/>
      <w:bookmarkStart w:id="321" w:name="_Toc15440_WPSOffice_Level2"/>
      <w:bookmarkStart w:id="322" w:name="_Toc26645"/>
      <w:bookmarkStart w:id="323" w:name="_Toc2766"/>
      <w:bookmarkStart w:id="324" w:name="_Toc7830"/>
      <w:bookmarkStart w:id="325" w:name="_Toc15617"/>
      <w:bookmarkStart w:id="326" w:name="_Toc31992"/>
      <w:bookmarkStart w:id="327" w:name="_Toc9953"/>
      <w:bookmarkStart w:id="328" w:name="_Toc25268"/>
      <w:bookmarkStart w:id="329" w:name="_Toc15119"/>
      <w:bookmarkStart w:id="330" w:name="_Toc9961_WPSOffice_Level2"/>
      <w:bookmarkStart w:id="331" w:name="_Toc10553_WPSOffice_Level2"/>
      <w:r>
        <w:rPr>
          <w:rFonts w:hint="default"/>
          <w:color w:val="auto"/>
          <w:spacing w:val="0"/>
          <w:w w:val="100"/>
          <w:position w:val="0"/>
          <w:highlight w:val="none"/>
          <w:lang w:val="en-US" w:eastAsia="zh-CN"/>
        </w:rPr>
        <w:t>5</w:t>
      </w:r>
      <w:r>
        <w:rPr>
          <w:rFonts w:hint="default"/>
          <w:color w:val="auto"/>
          <w:spacing w:val="0"/>
          <w:w w:val="100"/>
          <w:position w:val="0"/>
          <w:highlight w:val="none"/>
        </w:rPr>
        <w:t>环境影响预测与评价</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14:paraId="1A62155A">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332" w:name="_Toc20031"/>
      <w:bookmarkStart w:id="333" w:name="_Toc9156"/>
      <w:bookmarkStart w:id="334" w:name="_Toc25951"/>
      <w:bookmarkStart w:id="335" w:name="_Toc16669"/>
      <w:bookmarkStart w:id="336" w:name="_Toc9508"/>
      <w:bookmarkStart w:id="337" w:name="_Toc27509"/>
      <w:bookmarkStart w:id="338" w:name="_Toc2204"/>
      <w:bookmarkStart w:id="339" w:name="_Toc8687"/>
      <w:bookmarkStart w:id="340" w:name="_Toc347"/>
      <w:bookmarkStart w:id="341" w:name="_Toc8350"/>
      <w:bookmarkStart w:id="342" w:name="_Toc21390"/>
      <w:bookmarkStart w:id="343" w:name="_Toc2095299"/>
      <w:bookmarkStart w:id="344" w:name="_Toc1015"/>
      <w:bookmarkStart w:id="345" w:name="_Toc5648"/>
      <w:bookmarkStart w:id="346" w:name="_Toc5244"/>
      <w:bookmarkStart w:id="347" w:name="_Toc1999"/>
      <w:bookmarkStart w:id="348" w:name="_Toc32017_WPSOffice_Level3"/>
      <w:bookmarkStart w:id="349" w:name="_Toc5740"/>
      <w:bookmarkStart w:id="350" w:name="_Toc19967"/>
      <w:bookmarkStart w:id="351" w:name="_Toc31049"/>
      <w:bookmarkStart w:id="352" w:name="_Toc1270"/>
      <w:bookmarkStart w:id="353" w:name="_Toc17069"/>
      <w:r>
        <w:rPr>
          <w:rFonts w:hint="default"/>
          <w:color w:val="auto"/>
          <w:spacing w:val="0"/>
          <w:w w:val="100"/>
          <w:position w:val="0"/>
          <w:highlight w:val="none"/>
          <w:lang w:val="en-US" w:eastAsia="zh-CN"/>
        </w:rPr>
        <w:t>5.</w:t>
      </w:r>
      <w:bookmarkEnd w:id="332"/>
      <w:bookmarkEnd w:id="333"/>
      <w:bookmarkEnd w:id="334"/>
      <w:bookmarkEnd w:id="335"/>
      <w:r>
        <w:rPr>
          <w:rFonts w:hint="default"/>
          <w:color w:val="auto"/>
          <w:spacing w:val="0"/>
          <w:w w:val="100"/>
          <w:position w:val="0"/>
          <w:highlight w:val="none"/>
          <w:lang w:val="en-US" w:eastAsia="zh-CN"/>
        </w:rPr>
        <w:t>1施工期环境影响预测与评价</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14:paraId="247374A9">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354" w:name="_Toc380053286"/>
      <w:bookmarkStart w:id="355" w:name="_Toc32192"/>
      <w:bookmarkStart w:id="356" w:name="_Toc11794"/>
      <w:bookmarkStart w:id="357" w:name="_Toc11422"/>
      <w:bookmarkStart w:id="358" w:name="_Toc19031"/>
      <w:bookmarkStart w:id="359" w:name="_Toc22368"/>
      <w:bookmarkStart w:id="360" w:name="_Toc2095300"/>
      <w:bookmarkStart w:id="361" w:name="_Toc32399"/>
      <w:bookmarkStart w:id="362" w:name="_Toc11895"/>
      <w:bookmarkStart w:id="363" w:name="_Toc9148"/>
      <w:bookmarkStart w:id="364" w:name="_Toc4937"/>
      <w:bookmarkStart w:id="365" w:name="_Toc12389"/>
      <w:bookmarkStart w:id="366" w:name="_Toc7356"/>
      <w:bookmarkStart w:id="367" w:name="_Toc5632"/>
      <w:bookmarkStart w:id="368" w:name="_Toc194"/>
      <w:bookmarkStart w:id="369" w:name="_Toc12695"/>
      <w:bookmarkStart w:id="370" w:name="_Toc9764"/>
      <w:bookmarkStart w:id="371" w:name="_Toc16314"/>
      <w:bookmarkStart w:id="372" w:name="_Toc27262"/>
      <w:bookmarkStart w:id="373" w:name="_Toc28443"/>
      <w:bookmarkStart w:id="374" w:name="_Toc14634"/>
      <w:bookmarkStart w:id="375" w:name="_Toc20450"/>
      <w:bookmarkStart w:id="376" w:name="_Toc16961"/>
      <w:bookmarkStart w:id="377" w:name="_Toc27210"/>
      <w:bookmarkStart w:id="378" w:name="_Toc13169"/>
      <w:bookmarkStart w:id="379" w:name="_Toc1992"/>
      <w:bookmarkStart w:id="380" w:name="_Toc2095304"/>
      <w:bookmarkStart w:id="381" w:name="_Toc441671752"/>
      <w:bookmarkStart w:id="382" w:name="_Toc29659"/>
      <w:bookmarkStart w:id="383" w:name="_Toc29246_WPSOffice_Level3"/>
      <w:bookmarkStart w:id="384" w:name="_Toc21291"/>
      <w:bookmarkStart w:id="385" w:name="_Toc27679"/>
      <w:bookmarkStart w:id="386" w:name="_Toc11678"/>
      <w:bookmarkStart w:id="387" w:name="_Toc10701"/>
      <w:bookmarkStart w:id="388" w:name="_Toc15764"/>
      <w:bookmarkStart w:id="389" w:name="_Toc20040"/>
      <w:r>
        <w:rPr>
          <w:rFonts w:hint="default"/>
          <w:color w:val="auto"/>
          <w:spacing w:val="0"/>
          <w:w w:val="100"/>
          <w:position w:val="0"/>
          <w:highlight w:val="none"/>
          <w:lang w:val="en-US" w:eastAsia="zh-CN"/>
        </w:rPr>
        <w:t>5.1.1</w:t>
      </w:r>
      <w:bookmarkEnd w:id="354"/>
      <w:bookmarkStart w:id="390" w:name="_Toc380053288"/>
      <w:r>
        <w:rPr>
          <w:rFonts w:hint="default"/>
          <w:color w:val="auto"/>
          <w:spacing w:val="0"/>
          <w:w w:val="100"/>
          <w:position w:val="0"/>
          <w:highlight w:val="none"/>
          <w:lang w:val="en-US" w:eastAsia="zh-CN"/>
        </w:rPr>
        <w:t>大气环境影响分析</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90"/>
    </w:p>
    <w:p w14:paraId="3C2F680F">
      <w:pPr>
        <w:keepNext w:val="0"/>
        <w:keepLines w:val="0"/>
        <w:pageBreakBefore w:val="0"/>
        <w:widowControl w:val="0"/>
        <w:kinsoku/>
        <w:wordWrap/>
        <w:overflowPunct/>
        <w:topLinePunct w:val="0"/>
        <w:autoSpaceDE/>
        <w:autoSpaceDN/>
        <w:bidi w:val="0"/>
        <w:ind w:firstLine="480"/>
        <w:rPr>
          <w:color w:val="auto"/>
          <w:spacing w:val="0"/>
          <w:w w:val="100"/>
          <w:kern w:val="0"/>
          <w:position w:val="0"/>
        </w:rPr>
      </w:pPr>
      <w:r>
        <w:rPr>
          <w:color w:val="auto"/>
          <w:spacing w:val="0"/>
          <w:w w:val="100"/>
          <w:kern w:val="0"/>
          <w:position w:val="0"/>
        </w:rPr>
        <w:t>本项目施工过程中，影响大气环境的废气排放源主要为设备运输产生扬尘、汽车尾气等。以上污染源中主要污染因子为扬尘</w:t>
      </w:r>
      <w:r>
        <w:rPr>
          <w:rFonts w:hint="eastAsia"/>
          <w:color w:val="auto"/>
          <w:spacing w:val="0"/>
          <w:w w:val="100"/>
          <w:kern w:val="0"/>
          <w:position w:val="0"/>
        </w:rPr>
        <w:t>，建设</w:t>
      </w:r>
      <w:r>
        <w:rPr>
          <w:color w:val="auto"/>
          <w:spacing w:val="0"/>
          <w:w w:val="100"/>
          <w:kern w:val="0"/>
          <w:position w:val="0"/>
        </w:rPr>
        <w:t>内容施工土建工程量较少，施工过程产生粉尘量较少，采取洒水降尘等措施后对周边环境影响较小。</w:t>
      </w:r>
    </w:p>
    <w:p w14:paraId="084F43DD">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rPr>
      </w:pPr>
      <w:r>
        <w:rPr>
          <w:rFonts w:hint="default" w:ascii="Times New Roman" w:hAnsi="Times New Roman" w:eastAsia="宋体" w:cs="Times New Roman"/>
          <w:caps w:val="0"/>
          <w:snapToGrid/>
          <w:color w:val="auto"/>
          <w:spacing w:val="0"/>
          <w:w w:val="100"/>
          <w:kern w:val="0"/>
          <w:position w:val="0"/>
          <w:highlight w:val="none"/>
          <w:shd w:val="clear" w:color="auto" w:fill="auto"/>
        </w:rPr>
        <w:t>因施工期所造成的扬尘污染具有瞬时性和可逆性，且影响范围有限，并随施工结束而自然消失，采取以上措施后，施工期扬尘对环境影响较小。</w:t>
      </w:r>
    </w:p>
    <w:p w14:paraId="5FC1CE12">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391" w:name="_Toc27931"/>
      <w:bookmarkStart w:id="392" w:name="_Toc3549"/>
      <w:bookmarkStart w:id="393" w:name="_Toc9785"/>
      <w:bookmarkStart w:id="394" w:name="_Toc25846"/>
      <w:bookmarkStart w:id="395" w:name="_Toc2095301"/>
      <w:bookmarkStart w:id="396" w:name="_Toc17181"/>
      <w:bookmarkStart w:id="397" w:name="_Toc906"/>
      <w:bookmarkStart w:id="398" w:name="_Toc31664"/>
      <w:bookmarkStart w:id="399" w:name="_Toc15395"/>
      <w:bookmarkStart w:id="400" w:name="_Toc14446"/>
      <w:bookmarkStart w:id="401" w:name="_Toc8679"/>
      <w:bookmarkStart w:id="402" w:name="_Toc32233"/>
      <w:bookmarkStart w:id="403" w:name="_Toc17801"/>
      <w:r>
        <w:rPr>
          <w:rFonts w:hint="default"/>
          <w:color w:val="auto"/>
          <w:spacing w:val="0"/>
          <w:w w:val="100"/>
          <w:position w:val="0"/>
          <w:highlight w:val="none"/>
          <w:lang w:val="en-US" w:eastAsia="zh-CN"/>
        </w:rPr>
        <w:t>5.1.2水环境影响分析</w:t>
      </w:r>
      <w:bookmarkEnd w:id="391"/>
      <w:bookmarkEnd w:id="392"/>
      <w:bookmarkEnd w:id="393"/>
      <w:bookmarkEnd w:id="394"/>
      <w:bookmarkEnd w:id="395"/>
      <w:bookmarkEnd w:id="396"/>
      <w:bookmarkEnd w:id="397"/>
      <w:bookmarkEnd w:id="398"/>
      <w:bookmarkEnd w:id="399"/>
      <w:bookmarkEnd w:id="400"/>
      <w:bookmarkEnd w:id="401"/>
      <w:bookmarkEnd w:id="402"/>
      <w:bookmarkEnd w:id="403"/>
    </w:p>
    <w:p w14:paraId="7665F0FE">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rPr>
      </w:pPr>
      <w:r>
        <w:rPr>
          <w:rFonts w:hint="default" w:ascii="Times New Roman" w:hAnsi="Times New Roman" w:eastAsia="宋体" w:cs="Times New Roman"/>
          <w:caps w:val="0"/>
          <w:snapToGrid/>
          <w:color w:val="auto"/>
          <w:spacing w:val="0"/>
          <w:w w:val="100"/>
          <w:kern w:val="0"/>
          <w:position w:val="0"/>
          <w:highlight w:val="none"/>
        </w:rPr>
        <w:t>施工期产生的污水主要为施工人员的生活污水，</w:t>
      </w:r>
      <w:r>
        <w:rPr>
          <w:rFonts w:hint="eastAsia" w:cs="Times New Roman"/>
          <w:caps w:val="0"/>
          <w:snapToGrid/>
          <w:color w:val="auto"/>
          <w:spacing w:val="0"/>
          <w:w w:val="100"/>
          <w:kern w:val="0"/>
          <w:position w:val="0"/>
          <w:highlight w:val="none"/>
          <w:lang w:val="en-US" w:eastAsia="zh-CN"/>
        </w:rPr>
        <w:t>排入</w:t>
      </w:r>
      <w:r>
        <w:rPr>
          <w:rFonts w:hint="default" w:ascii="Times New Roman" w:hAnsi="Times New Roman" w:eastAsia="宋体" w:cs="Times New Roman"/>
          <w:caps w:val="0"/>
          <w:snapToGrid/>
          <w:color w:val="auto"/>
          <w:spacing w:val="0"/>
          <w:w w:val="100"/>
          <w:kern w:val="0"/>
          <w:position w:val="0"/>
          <w:highlight w:val="none"/>
        </w:rPr>
        <w:t>园区污水管网，对周围水体无排放。因此施工期废水对周围水环境没有影响。</w:t>
      </w:r>
    </w:p>
    <w:p w14:paraId="2CA9E1C4">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404" w:name="_Toc781"/>
      <w:bookmarkStart w:id="405" w:name="_Toc19799"/>
      <w:bookmarkStart w:id="406" w:name="_Toc20162"/>
      <w:bookmarkStart w:id="407" w:name="_Toc3534"/>
      <w:bookmarkStart w:id="408" w:name="_Toc15008"/>
      <w:bookmarkStart w:id="409" w:name="_Toc13738"/>
      <w:bookmarkStart w:id="410" w:name="_Toc2095302"/>
      <w:bookmarkStart w:id="411" w:name="_Toc29521"/>
      <w:bookmarkStart w:id="412" w:name="_Toc29737"/>
      <w:bookmarkStart w:id="413" w:name="_Toc5679"/>
      <w:bookmarkStart w:id="414" w:name="_Toc31966"/>
      <w:bookmarkStart w:id="415" w:name="_Toc16300"/>
      <w:bookmarkStart w:id="416" w:name="_Toc25600"/>
      <w:r>
        <w:rPr>
          <w:rFonts w:hint="default"/>
          <w:color w:val="auto"/>
          <w:spacing w:val="0"/>
          <w:w w:val="100"/>
          <w:position w:val="0"/>
          <w:highlight w:val="none"/>
          <w:lang w:val="en-US" w:eastAsia="zh-CN"/>
        </w:rPr>
        <w:t>5.1.3噪声环境影响分析</w:t>
      </w:r>
      <w:bookmarkEnd w:id="404"/>
      <w:bookmarkEnd w:id="405"/>
      <w:bookmarkEnd w:id="406"/>
      <w:bookmarkEnd w:id="407"/>
      <w:bookmarkEnd w:id="408"/>
      <w:bookmarkEnd w:id="409"/>
      <w:bookmarkEnd w:id="410"/>
      <w:bookmarkEnd w:id="411"/>
      <w:bookmarkEnd w:id="412"/>
      <w:bookmarkEnd w:id="413"/>
      <w:bookmarkEnd w:id="414"/>
      <w:bookmarkEnd w:id="415"/>
      <w:bookmarkEnd w:id="416"/>
    </w:p>
    <w:p w14:paraId="060648EC">
      <w:pPr>
        <w:keepNext w:val="0"/>
        <w:keepLines w:val="0"/>
        <w:pageBreakBefore w:val="0"/>
        <w:widowControl w:val="0"/>
        <w:kinsoku/>
        <w:wordWrap/>
        <w:overflowPunct/>
        <w:topLinePunct w:val="0"/>
        <w:autoSpaceDE/>
        <w:autoSpaceDN/>
        <w:bidi w:val="0"/>
        <w:ind w:firstLine="480"/>
        <w:rPr>
          <w:rFonts w:hint="default" w:ascii="Times New Roman" w:hAnsi="Times New Roman" w:eastAsia="宋体" w:cs="Times New Roman"/>
          <w:caps w:val="0"/>
          <w:snapToGrid/>
          <w:color w:val="auto"/>
          <w:spacing w:val="0"/>
          <w:w w:val="100"/>
          <w:kern w:val="0"/>
          <w:position w:val="0"/>
          <w:highlight w:val="none"/>
        </w:rPr>
      </w:pPr>
      <w:r>
        <w:rPr>
          <w:color w:val="auto"/>
          <w:spacing w:val="0"/>
          <w:w w:val="100"/>
          <w:kern w:val="0"/>
          <w:position w:val="0"/>
        </w:rPr>
        <w:t>施工期间对周围声环境的影响主要来自运输工具所产生的噪声</w:t>
      </w:r>
      <w:r>
        <w:rPr>
          <w:color w:val="auto"/>
          <w:spacing w:val="0"/>
          <w:w w:val="100"/>
          <w:position w:val="0"/>
        </w:rPr>
        <w:t>，本次工程施工周期短且在</w:t>
      </w:r>
      <w:r>
        <w:rPr>
          <w:rFonts w:hint="eastAsia"/>
          <w:color w:val="auto"/>
          <w:spacing w:val="0"/>
          <w:w w:val="100"/>
          <w:position w:val="0"/>
          <w:lang w:val="en-US" w:eastAsia="zh-CN"/>
        </w:rPr>
        <w:t>已建厂房</w:t>
      </w:r>
      <w:r>
        <w:rPr>
          <w:color w:val="auto"/>
          <w:spacing w:val="0"/>
          <w:w w:val="100"/>
          <w:position w:val="0"/>
        </w:rPr>
        <w:t>内，</w:t>
      </w:r>
      <w:r>
        <w:rPr>
          <w:rFonts w:hint="default" w:ascii="Times New Roman" w:hAnsi="Times New Roman" w:eastAsia="宋体" w:cs="Times New Roman"/>
          <w:caps w:val="0"/>
          <w:snapToGrid/>
          <w:color w:val="auto"/>
          <w:spacing w:val="0"/>
          <w:w w:val="100"/>
          <w:kern w:val="0"/>
          <w:position w:val="0"/>
          <w:highlight w:val="none"/>
        </w:rPr>
        <w:t>施工期噪声对环境的影响是短期的，也是局部小范围内的，随着施工结束其影响也随之消失。</w:t>
      </w:r>
    </w:p>
    <w:p w14:paraId="7D1E71AD">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417" w:name="_Toc26764"/>
      <w:bookmarkStart w:id="418" w:name="_Toc32231"/>
      <w:bookmarkStart w:id="419" w:name="_Toc408820559"/>
      <w:bookmarkStart w:id="420" w:name="_Toc403649941"/>
      <w:bookmarkStart w:id="421" w:name="_Toc392489175"/>
      <w:bookmarkStart w:id="422" w:name="_Toc373924237"/>
      <w:bookmarkStart w:id="423" w:name="_Toc2501"/>
      <w:bookmarkStart w:id="424" w:name="_Toc380053289"/>
      <w:bookmarkStart w:id="425" w:name="_Toc406091946"/>
      <w:bookmarkStart w:id="426" w:name="_Toc372546073"/>
      <w:bookmarkStart w:id="427" w:name="_Toc17588"/>
      <w:bookmarkStart w:id="428" w:name="_Toc698"/>
      <w:bookmarkStart w:id="429" w:name="_Toc404090899"/>
      <w:bookmarkStart w:id="430" w:name="_Toc15336"/>
      <w:bookmarkStart w:id="431" w:name="_Toc392489070"/>
      <w:bookmarkStart w:id="432" w:name="_Toc24627"/>
      <w:bookmarkStart w:id="433" w:name="_Toc404087087"/>
      <w:bookmarkStart w:id="434" w:name="_Toc393115262"/>
      <w:bookmarkStart w:id="435" w:name="_Toc389557302"/>
      <w:bookmarkStart w:id="436" w:name="_Toc2095303"/>
      <w:bookmarkStart w:id="437" w:name="_Toc413250909"/>
      <w:bookmarkStart w:id="438" w:name="_Toc413251446"/>
      <w:bookmarkStart w:id="439" w:name="_Toc879"/>
      <w:bookmarkStart w:id="440" w:name="_Toc2742"/>
      <w:bookmarkStart w:id="441" w:name="_Toc5559"/>
      <w:bookmarkStart w:id="442" w:name="_Toc9588"/>
      <w:bookmarkStart w:id="443" w:name="_Toc11362"/>
      <w:r>
        <w:rPr>
          <w:rFonts w:hint="default"/>
          <w:color w:val="auto"/>
          <w:spacing w:val="0"/>
          <w:w w:val="100"/>
          <w:position w:val="0"/>
          <w:highlight w:val="none"/>
          <w:lang w:val="en-US" w:eastAsia="zh-CN"/>
        </w:rPr>
        <w:t>5.1.4施工期固体废物</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r>
        <w:rPr>
          <w:rFonts w:hint="default"/>
          <w:color w:val="auto"/>
          <w:spacing w:val="0"/>
          <w:w w:val="100"/>
          <w:position w:val="0"/>
          <w:highlight w:val="none"/>
          <w:lang w:val="en-US" w:eastAsia="zh-CN"/>
        </w:rPr>
        <w:t>环境影响分析</w:t>
      </w:r>
      <w:bookmarkEnd w:id="439"/>
      <w:bookmarkEnd w:id="440"/>
      <w:bookmarkEnd w:id="441"/>
      <w:bookmarkEnd w:id="442"/>
      <w:bookmarkEnd w:id="443"/>
    </w:p>
    <w:p w14:paraId="7874EAB5">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rPr>
      </w:pPr>
      <w:r>
        <w:rPr>
          <w:rFonts w:hint="default" w:ascii="Times New Roman" w:hAnsi="Times New Roman" w:eastAsia="宋体" w:cs="Times New Roman"/>
          <w:caps w:val="0"/>
          <w:snapToGrid/>
          <w:color w:val="auto"/>
          <w:spacing w:val="0"/>
          <w:w w:val="100"/>
          <w:kern w:val="0"/>
          <w:position w:val="0"/>
          <w:highlight w:val="none"/>
        </w:rPr>
        <w:t>本项目施工期产生的固体废物主要为</w:t>
      </w:r>
      <w:r>
        <w:rPr>
          <w:rFonts w:hint="eastAsia" w:cs="Times New Roman"/>
          <w:caps w:val="0"/>
          <w:snapToGrid/>
          <w:color w:val="auto"/>
          <w:spacing w:val="0"/>
          <w:w w:val="100"/>
          <w:kern w:val="0"/>
          <w:position w:val="0"/>
          <w:highlight w:val="none"/>
          <w:lang w:val="en-US" w:eastAsia="zh-CN"/>
        </w:rPr>
        <w:t>厂房装修</w:t>
      </w:r>
      <w:r>
        <w:rPr>
          <w:rFonts w:hint="default" w:ascii="Times New Roman" w:hAnsi="Times New Roman" w:eastAsia="宋体" w:cs="Times New Roman"/>
          <w:caps w:val="0"/>
          <w:snapToGrid/>
          <w:color w:val="auto"/>
          <w:spacing w:val="0"/>
          <w:w w:val="100"/>
          <w:kern w:val="0"/>
          <w:position w:val="0"/>
          <w:highlight w:val="none"/>
        </w:rPr>
        <w:t>产生的建筑垃圾</w:t>
      </w:r>
      <w:r>
        <w:rPr>
          <w:rFonts w:hint="eastAsia" w:cs="Times New Roman"/>
          <w:caps w:val="0"/>
          <w:snapToGrid/>
          <w:color w:val="auto"/>
          <w:spacing w:val="0"/>
          <w:w w:val="100"/>
          <w:kern w:val="0"/>
          <w:position w:val="0"/>
          <w:highlight w:val="none"/>
          <w:lang w:eastAsia="zh-CN"/>
        </w:rPr>
        <w:t>、</w:t>
      </w:r>
      <w:r>
        <w:rPr>
          <w:rFonts w:hint="eastAsia" w:cs="Times New Roman"/>
          <w:caps w:val="0"/>
          <w:snapToGrid/>
          <w:color w:val="auto"/>
          <w:spacing w:val="0"/>
          <w:w w:val="100"/>
          <w:kern w:val="0"/>
          <w:position w:val="0"/>
          <w:highlight w:val="none"/>
          <w:lang w:val="en-US" w:eastAsia="zh-CN"/>
        </w:rPr>
        <w:t>废包装材料</w:t>
      </w:r>
      <w:r>
        <w:rPr>
          <w:rFonts w:hint="default" w:ascii="Times New Roman" w:hAnsi="Times New Roman" w:eastAsia="宋体" w:cs="Times New Roman"/>
          <w:caps w:val="0"/>
          <w:snapToGrid/>
          <w:color w:val="auto"/>
          <w:spacing w:val="0"/>
          <w:w w:val="100"/>
          <w:kern w:val="0"/>
          <w:position w:val="0"/>
          <w:highlight w:val="none"/>
        </w:rPr>
        <w:t>和施工人员产生的生活垃圾。</w:t>
      </w:r>
    </w:p>
    <w:p w14:paraId="4AF892AD">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bCs/>
          <w:caps w:val="0"/>
          <w:snapToGrid/>
          <w:color w:val="auto"/>
          <w:spacing w:val="0"/>
          <w:w w:val="100"/>
          <w:kern w:val="0"/>
          <w:position w:val="0"/>
          <w:highlight w:val="none"/>
          <w:lang w:val="en-US" w:eastAsia="zh-CN"/>
        </w:rPr>
      </w:pPr>
      <w:r>
        <w:rPr>
          <w:rFonts w:hint="default" w:ascii="Times New Roman" w:hAnsi="Times New Roman" w:eastAsia="宋体" w:cs="Times New Roman"/>
          <w:bCs/>
          <w:caps w:val="0"/>
          <w:snapToGrid/>
          <w:color w:val="auto"/>
          <w:spacing w:val="0"/>
          <w:w w:val="100"/>
          <w:kern w:val="0"/>
          <w:position w:val="0"/>
          <w:highlight w:val="none"/>
        </w:rPr>
        <w:t>1）建筑垃圾</w:t>
      </w:r>
      <w:r>
        <w:rPr>
          <w:rFonts w:hint="eastAsia" w:cs="Times New Roman"/>
          <w:bCs/>
          <w:caps w:val="0"/>
          <w:snapToGrid/>
          <w:color w:val="auto"/>
          <w:spacing w:val="0"/>
          <w:w w:val="100"/>
          <w:kern w:val="0"/>
          <w:position w:val="0"/>
          <w:highlight w:val="none"/>
          <w:lang w:eastAsia="zh-CN"/>
        </w:rPr>
        <w:t>、</w:t>
      </w:r>
      <w:r>
        <w:rPr>
          <w:rFonts w:hint="eastAsia" w:cs="Times New Roman"/>
          <w:bCs/>
          <w:caps w:val="0"/>
          <w:snapToGrid/>
          <w:color w:val="auto"/>
          <w:spacing w:val="0"/>
          <w:w w:val="100"/>
          <w:kern w:val="0"/>
          <w:position w:val="0"/>
          <w:highlight w:val="none"/>
          <w:lang w:val="en-US" w:eastAsia="zh-CN"/>
        </w:rPr>
        <w:t>废包装材料</w:t>
      </w:r>
    </w:p>
    <w:p w14:paraId="0A3613B6">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rPr>
      </w:pPr>
      <w:r>
        <w:rPr>
          <w:rFonts w:hint="default" w:ascii="Times New Roman" w:hAnsi="Times New Roman" w:eastAsia="宋体" w:cs="Times New Roman"/>
          <w:caps w:val="0"/>
          <w:snapToGrid/>
          <w:color w:val="auto"/>
          <w:spacing w:val="0"/>
          <w:w w:val="100"/>
          <w:kern w:val="0"/>
          <w:position w:val="0"/>
          <w:highlight w:val="none"/>
        </w:rPr>
        <w:t>本项目</w:t>
      </w:r>
      <w:r>
        <w:rPr>
          <w:rFonts w:hint="default" w:ascii="Times New Roman" w:hAnsi="Times New Roman" w:eastAsia="宋体" w:cs="Times New Roman"/>
          <w:caps w:val="0"/>
          <w:snapToGrid/>
          <w:color w:val="auto"/>
          <w:spacing w:val="0"/>
          <w:w w:val="100"/>
          <w:kern w:val="0"/>
          <w:position w:val="0"/>
          <w:szCs w:val="24"/>
          <w:highlight w:val="none"/>
        </w:rPr>
        <w:t>施工产生建筑垃圾主要为废钢筋、废铁丝和各种废钢配件、金属管线废料、各种装饰材料的包装箱、包装袋等。</w:t>
      </w:r>
      <w:r>
        <w:rPr>
          <w:rFonts w:hint="default" w:ascii="Times New Roman" w:hAnsi="Times New Roman" w:eastAsia="宋体" w:cs="Times New Roman"/>
          <w:caps w:val="0"/>
          <w:snapToGrid/>
          <w:color w:val="auto"/>
          <w:spacing w:val="0"/>
          <w:w w:val="100"/>
          <w:kern w:val="0"/>
          <w:position w:val="0"/>
          <w:highlight w:val="none"/>
        </w:rPr>
        <w:t>如钢筋等须回收利用，避免浪费；不具备回收利用价值的建筑垃圾禁止与生活垃圾混合处置或随意丢弃，要集中收集、统一清运</w:t>
      </w:r>
      <w:r>
        <w:rPr>
          <w:rFonts w:hint="default" w:ascii="Times New Roman" w:hAnsi="Times New Roman" w:eastAsia="宋体" w:cs="Times New Roman"/>
          <w:caps w:val="0"/>
          <w:snapToGrid/>
          <w:color w:val="auto"/>
          <w:spacing w:val="0"/>
          <w:w w:val="100"/>
          <w:kern w:val="0"/>
          <w:position w:val="0"/>
          <w:highlight w:val="none"/>
          <w:lang w:eastAsia="zh-CN"/>
        </w:rPr>
        <w:t>处理</w:t>
      </w:r>
      <w:r>
        <w:rPr>
          <w:rFonts w:hint="default" w:ascii="Times New Roman" w:hAnsi="Times New Roman" w:eastAsia="宋体" w:cs="Times New Roman"/>
          <w:caps w:val="0"/>
          <w:snapToGrid/>
          <w:color w:val="auto"/>
          <w:spacing w:val="0"/>
          <w:w w:val="100"/>
          <w:kern w:val="0"/>
          <w:position w:val="0"/>
          <w:highlight w:val="none"/>
        </w:rPr>
        <w:t>。加强施工期管理，规范运输，不得</w:t>
      </w:r>
      <w:r>
        <w:rPr>
          <w:rFonts w:hint="default" w:ascii="Times New Roman" w:hAnsi="Times New Roman" w:eastAsia="宋体" w:cs="Times New Roman"/>
          <w:caps w:val="0"/>
          <w:snapToGrid/>
          <w:color w:val="auto"/>
          <w:spacing w:val="0"/>
          <w:w w:val="100"/>
          <w:kern w:val="0"/>
          <w:position w:val="0"/>
          <w:highlight w:val="none"/>
          <w:lang w:eastAsia="zh-CN"/>
        </w:rPr>
        <w:t>随意</w:t>
      </w:r>
      <w:r>
        <w:rPr>
          <w:rFonts w:hint="default" w:ascii="Times New Roman" w:hAnsi="Times New Roman" w:eastAsia="宋体" w:cs="Times New Roman"/>
          <w:caps w:val="0"/>
          <w:snapToGrid/>
          <w:color w:val="auto"/>
          <w:spacing w:val="0"/>
          <w:w w:val="100"/>
          <w:kern w:val="0"/>
          <w:position w:val="0"/>
          <w:highlight w:val="none"/>
        </w:rPr>
        <w:t>洒落和随意抛弃，不得随意堆放建筑垃圾。</w:t>
      </w:r>
    </w:p>
    <w:p w14:paraId="4321EE01">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bCs/>
          <w:caps w:val="0"/>
          <w:snapToGrid/>
          <w:color w:val="auto"/>
          <w:spacing w:val="0"/>
          <w:w w:val="100"/>
          <w:kern w:val="0"/>
          <w:position w:val="0"/>
          <w:highlight w:val="none"/>
        </w:rPr>
      </w:pPr>
      <w:r>
        <w:rPr>
          <w:rFonts w:hint="eastAsia" w:cs="Times New Roman"/>
          <w:bCs/>
          <w:caps w:val="0"/>
          <w:snapToGrid/>
          <w:color w:val="auto"/>
          <w:spacing w:val="0"/>
          <w:w w:val="100"/>
          <w:kern w:val="0"/>
          <w:position w:val="0"/>
          <w:highlight w:val="none"/>
          <w:lang w:val="en-US" w:eastAsia="zh-CN"/>
        </w:rPr>
        <w:t>2</w:t>
      </w:r>
      <w:r>
        <w:rPr>
          <w:rFonts w:hint="default" w:ascii="Times New Roman" w:hAnsi="Times New Roman" w:eastAsia="宋体" w:cs="Times New Roman"/>
          <w:bCs/>
          <w:caps w:val="0"/>
          <w:snapToGrid/>
          <w:color w:val="auto"/>
          <w:spacing w:val="0"/>
          <w:w w:val="100"/>
          <w:kern w:val="0"/>
          <w:position w:val="0"/>
          <w:highlight w:val="none"/>
        </w:rPr>
        <w:t>）生活垃圾</w:t>
      </w:r>
    </w:p>
    <w:p w14:paraId="04A9A82D">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jc w:val="left"/>
        <w:outlineLvl w:val="9"/>
        <w:rPr>
          <w:rFonts w:hint="default" w:ascii="Times New Roman" w:hAnsi="Times New Roman" w:eastAsia="宋体" w:cs="Times New Roman"/>
          <w:caps w:val="0"/>
          <w:snapToGrid/>
          <w:color w:val="auto"/>
          <w:spacing w:val="0"/>
          <w:w w:val="100"/>
          <w:kern w:val="0"/>
          <w:position w:val="0"/>
          <w:szCs w:val="24"/>
          <w:highlight w:val="none"/>
        </w:rPr>
      </w:pPr>
      <w:bookmarkStart w:id="444" w:name="OLE_LINK167"/>
      <w:r>
        <w:rPr>
          <w:rFonts w:hint="default" w:ascii="Times New Roman" w:hAnsi="Times New Roman" w:eastAsia="宋体" w:cs="Times New Roman"/>
          <w:caps w:val="0"/>
          <w:snapToGrid/>
          <w:color w:val="auto"/>
          <w:spacing w:val="0"/>
          <w:w w:val="100"/>
          <w:kern w:val="0"/>
          <w:position w:val="0"/>
          <w:szCs w:val="24"/>
          <w:highlight w:val="none"/>
        </w:rPr>
        <w:t>生活垃圾主要来源于施工人员，</w:t>
      </w:r>
      <w:bookmarkEnd w:id="444"/>
      <w:r>
        <w:rPr>
          <w:rFonts w:hint="default" w:ascii="Times New Roman" w:hAnsi="Times New Roman" w:eastAsia="宋体" w:cs="Times New Roman"/>
          <w:caps w:val="0"/>
          <w:snapToGrid/>
          <w:color w:val="auto"/>
          <w:spacing w:val="0"/>
          <w:w w:val="100"/>
          <w:kern w:val="0"/>
          <w:position w:val="0"/>
          <w:szCs w:val="24"/>
          <w:highlight w:val="none"/>
        </w:rPr>
        <w:t>设置垃圾桶集中收集，委托环卫部门清运处置。</w:t>
      </w:r>
    </w:p>
    <w:p w14:paraId="17EBCD2E">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r>
        <w:rPr>
          <w:rFonts w:hint="default"/>
          <w:color w:val="auto"/>
          <w:spacing w:val="0"/>
          <w:w w:val="100"/>
          <w:position w:val="0"/>
          <w:highlight w:val="none"/>
        </w:rPr>
        <w:t>综上所述，本项目施工期较短，固体废弃物均合理进行了处置，对环境影响较小。</w:t>
      </w:r>
    </w:p>
    <w:p w14:paraId="4F0278E3">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445" w:name="_Toc22899"/>
      <w:bookmarkStart w:id="446" w:name="_Toc2357"/>
      <w:bookmarkStart w:id="447" w:name="_Toc10435"/>
      <w:bookmarkStart w:id="448" w:name="_Toc30439"/>
      <w:bookmarkStart w:id="449" w:name="_Toc22766"/>
      <w:bookmarkStart w:id="450" w:name="_Toc16749"/>
      <w:r>
        <w:rPr>
          <w:rFonts w:hint="default"/>
          <w:color w:val="auto"/>
          <w:spacing w:val="0"/>
          <w:w w:val="100"/>
          <w:position w:val="0"/>
          <w:highlight w:val="none"/>
          <w:lang w:val="en-US" w:eastAsia="zh-CN"/>
        </w:rPr>
        <w:t>5.1.5施工期对生态的影响分析</w:t>
      </w:r>
      <w:bookmarkEnd w:id="445"/>
      <w:bookmarkEnd w:id="446"/>
      <w:bookmarkEnd w:id="447"/>
      <w:bookmarkEnd w:id="448"/>
      <w:bookmarkEnd w:id="449"/>
      <w:bookmarkEnd w:id="450"/>
    </w:p>
    <w:p w14:paraId="75D5F595">
      <w:pPr>
        <w:keepNext w:val="0"/>
        <w:keepLines w:val="0"/>
        <w:pageBreakBefore w:val="0"/>
        <w:widowControl w:val="0"/>
        <w:tabs>
          <w:tab w:val="left" w:pos="567"/>
        </w:tabs>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color w:val="auto"/>
          <w:spacing w:val="0"/>
          <w:w w:val="100"/>
          <w:position w:val="0"/>
        </w:rPr>
      </w:pPr>
      <w:r>
        <w:rPr>
          <w:rFonts w:hint="default" w:ascii="Times New Roman" w:hAnsi="Times New Roman" w:eastAsia="宋体" w:cs="Times New Roman"/>
          <w:caps w:val="0"/>
          <w:snapToGrid/>
          <w:color w:val="auto"/>
          <w:spacing w:val="0"/>
          <w:w w:val="100"/>
          <w:kern w:val="0"/>
          <w:position w:val="0"/>
          <w:szCs w:val="22"/>
          <w:highlight w:val="none"/>
        </w:rPr>
        <w:t>本项目建设地点</w:t>
      </w:r>
      <w:r>
        <w:rPr>
          <w:rFonts w:hint="eastAsia" w:cs="Times New Roman"/>
          <w:caps w:val="0"/>
          <w:snapToGrid/>
          <w:color w:val="auto"/>
          <w:spacing w:val="0"/>
          <w:w w:val="100"/>
          <w:kern w:val="0"/>
          <w:position w:val="0"/>
          <w:szCs w:val="22"/>
          <w:highlight w:val="none"/>
          <w:lang w:val="en-US" w:eastAsia="zh-CN"/>
        </w:rPr>
        <w:t>属于</w:t>
      </w:r>
      <w:r>
        <w:rPr>
          <w:rFonts w:hint="eastAsia"/>
          <w:color w:val="auto"/>
          <w:spacing w:val="0"/>
          <w:w w:val="100"/>
          <w:position w:val="0"/>
          <w:highlight w:val="none"/>
          <w:lang w:val="en-US" w:eastAsia="zh-CN"/>
        </w:rPr>
        <w:t>甘泉堡工业园区中小微企业创新区</w:t>
      </w:r>
      <w:r>
        <w:rPr>
          <w:rFonts w:hint="default" w:ascii="Times New Roman" w:hAnsi="Times New Roman" w:eastAsia="宋体" w:cs="Times New Roman"/>
          <w:caps w:val="0"/>
          <w:snapToGrid/>
          <w:color w:val="auto"/>
          <w:spacing w:val="0"/>
          <w:w w:val="100"/>
          <w:kern w:val="0"/>
          <w:position w:val="0"/>
          <w:szCs w:val="22"/>
          <w:highlight w:val="none"/>
        </w:rPr>
        <w:t>，施工期主要为</w:t>
      </w:r>
      <w:r>
        <w:rPr>
          <w:rFonts w:hint="eastAsia" w:cs="Times New Roman"/>
          <w:caps w:val="0"/>
          <w:snapToGrid/>
          <w:color w:val="auto"/>
          <w:spacing w:val="0"/>
          <w:w w:val="100"/>
          <w:kern w:val="0"/>
          <w:position w:val="0"/>
          <w:szCs w:val="22"/>
          <w:highlight w:val="none"/>
          <w:lang w:val="en-US" w:eastAsia="zh-CN"/>
        </w:rPr>
        <w:t>厂房装饰</w:t>
      </w:r>
      <w:r>
        <w:rPr>
          <w:rFonts w:hint="default" w:ascii="Times New Roman" w:hAnsi="Times New Roman" w:eastAsia="宋体" w:cs="Times New Roman"/>
          <w:caps w:val="0"/>
          <w:snapToGrid/>
          <w:color w:val="auto"/>
          <w:spacing w:val="0"/>
          <w:w w:val="100"/>
          <w:kern w:val="0"/>
          <w:position w:val="0"/>
          <w:szCs w:val="22"/>
          <w:highlight w:val="none"/>
        </w:rPr>
        <w:t>以及生产设备的安装和调试，项目用地性质为工业用地，周边为工业生产企业，厂内地面均已硬化完毕，无需特殊保护的动植物。施工中加强施工管理，尽量缩小施工范围，各种施工活动应严格控制在施工区域内</w:t>
      </w:r>
      <w:r>
        <w:rPr>
          <w:rFonts w:hint="eastAsia" w:cs="Times New Roman"/>
          <w:caps w:val="0"/>
          <w:snapToGrid/>
          <w:color w:val="auto"/>
          <w:spacing w:val="0"/>
          <w:w w:val="100"/>
          <w:kern w:val="0"/>
          <w:position w:val="0"/>
          <w:szCs w:val="22"/>
          <w:highlight w:val="none"/>
          <w:lang w:eastAsia="zh-CN"/>
        </w:rPr>
        <w:t>，</w:t>
      </w:r>
      <w:r>
        <w:rPr>
          <w:rFonts w:hint="default" w:ascii="Times New Roman" w:hAnsi="Times New Roman" w:eastAsia="宋体" w:cs="Times New Roman"/>
          <w:caps w:val="0"/>
          <w:snapToGrid/>
          <w:color w:val="auto"/>
          <w:spacing w:val="0"/>
          <w:w w:val="100"/>
          <w:kern w:val="0"/>
          <w:position w:val="0"/>
          <w:szCs w:val="22"/>
          <w:highlight w:val="none"/>
        </w:rPr>
        <w:t>施工完毕，尽快整理施工现场。因此，本项目的开工建设对周边生态影响很小。</w:t>
      </w:r>
    </w:p>
    <w:p w14:paraId="26219C0B">
      <w:pPr>
        <w:pStyle w:val="3"/>
        <w:keepNext w:val="0"/>
        <w:keepLines w:val="0"/>
        <w:pageBreakBefore w:val="0"/>
        <w:widowControl w:val="0"/>
        <w:kinsoku/>
        <w:wordWrap/>
        <w:overflowPunct/>
        <w:topLinePunct w:val="0"/>
        <w:autoSpaceDE/>
        <w:autoSpaceDN/>
        <w:bidi w:val="0"/>
        <w:adjustRightInd/>
        <w:snapToGrid/>
        <w:textAlignment w:val="auto"/>
        <w:rPr>
          <w:rFonts w:hint="default"/>
          <w:color w:val="auto"/>
          <w:spacing w:val="0"/>
          <w:w w:val="100"/>
          <w:position w:val="0"/>
          <w:highlight w:val="none"/>
          <w:lang w:val="en-US" w:eastAsia="zh-CN"/>
        </w:rPr>
      </w:pPr>
      <w:bookmarkStart w:id="451" w:name="_Toc3232"/>
      <w:bookmarkStart w:id="452" w:name="_Toc18811"/>
      <w:r>
        <w:rPr>
          <w:rFonts w:hint="default"/>
          <w:color w:val="auto"/>
          <w:spacing w:val="0"/>
          <w:w w:val="100"/>
          <w:position w:val="0"/>
          <w:highlight w:val="none"/>
          <w:lang w:val="en-US" w:eastAsia="zh-CN"/>
        </w:rPr>
        <w:t>5.2运营期环境影响预测与评价</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451"/>
      <w:bookmarkEnd w:id="452"/>
    </w:p>
    <w:p w14:paraId="3C03C5E0">
      <w:pPr>
        <w:keepNext w:val="0"/>
        <w:keepLines w:val="0"/>
        <w:pageBreakBefore w:val="0"/>
        <w:widowControl w:val="0"/>
        <w:kinsoku/>
        <w:wordWrap/>
        <w:overflowPunct/>
        <w:topLinePunct w:val="0"/>
        <w:autoSpaceDE/>
        <w:autoSpaceDN/>
        <w:bidi w:val="0"/>
        <w:ind w:firstLine="0" w:firstLineChars="0"/>
        <w:outlineLvl w:val="2"/>
        <w:rPr>
          <w:b/>
          <w:bCs/>
          <w:color w:val="auto"/>
          <w:spacing w:val="0"/>
          <w:w w:val="100"/>
          <w:kern w:val="21"/>
          <w:position w:val="0"/>
        </w:rPr>
      </w:pPr>
      <w:bookmarkStart w:id="453" w:name="_Toc3478"/>
      <w:bookmarkStart w:id="454" w:name="_Toc30338"/>
      <w:bookmarkStart w:id="455" w:name="_Toc1007"/>
      <w:bookmarkStart w:id="456" w:name="_Toc2095306"/>
      <w:bookmarkStart w:id="457" w:name="_Toc23855"/>
      <w:bookmarkStart w:id="458" w:name="_Toc16363"/>
      <w:bookmarkStart w:id="459" w:name="_Toc24388"/>
      <w:bookmarkStart w:id="460" w:name="_Toc9353"/>
      <w:bookmarkStart w:id="461" w:name="_Toc8998"/>
      <w:bookmarkStart w:id="462" w:name="_Toc21384"/>
      <w:bookmarkStart w:id="463" w:name="_Toc8465"/>
      <w:bookmarkStart w:id="464" w:name="_Toc6733"/>
      <w:bookmarkStart w:id="465" w:name="_Toc3030"/>
      <w:bookmarkStart w:id="466" w:name="_Toc4342"/>
      <w:bookmarkStart w:id="467" w:name="_Toc6411"/>
      <w:bookmarkStart w:id="468" w:name="_Toc25561"/>
      <w:bookmarkStart w:id="469" w:name="_Toc12175"/>
      <w:r>
        <w:rPr>
          <w:b/>
          <w:bCs/>
          <w:color w:val="auto"/>
          <w:spacing w:val="0"/>
          <w:w w:val="100"/>
          <w:kern w:val="21"/>
          <w:position w:val="0"/>
        </w:rPr>
        <w:t>5.2.1大气环境影响预测与评价</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14:paraId="589E549D">
      <w:pPr>
        <w:keepNext w:val="0"/>
        <w:keepLines w:val="0"/>
        <w:pageBreakBefore w:val="0"/>
        <w:widowControl w:val="0"/>
        <w:kinsoku/>
        <w:wordWrap/>
        <w:overflowPunct/>
        <w:topLinePunct w:val="0"/>
        <w:autoSpaceDE/>
        <w:autoSpaceDN/>
        <w:bidi w:val="0"/>
        <w:ind w:firstLine="0" w:firstLineChars="0"/>
        <w:outlineLvl w:val="3"/>
        <w:rPr>
          <w:b/>
          <w:bCs/>
          <w:color w:val="auto"/>
          <w:spacing w:val="0"/>
          <w:w w:val="100"/>
          <w:kern w:val="21"/>
          <w:position w:val="0"/>
        </w:rPr>
      </w:pPr>
      <w:bookmarkStart w:id="470" w:name="_Toc8114"/>
      <w:bookmarkStart w:id="471" w:name="_Toc26693"/>
      <w:r>
        <w:rPr>
          <w:b/>
          <w:bCs/>
          <w:color w:val="auto"/>
          <w:spacing w:val="0"/>
          <w:w w:val="100"/>
          <w:kern w:val="21"/>
          <w:position w:val="0"/>
        </w:rPr>
        <w:t>5.2.1.1项目大气环境影响预测</w:t>
      </w:r>
      <w:bookmarkEnd w:id="470"/>
      <w:bookmarkEnd w:id="471"/>
    </w:p>
    <w:p w14:paraId="3EAB2688">
      <w:pPr>
        <w:keepNext w:val="0"/>
        <w:keepLines w:val="0"/>
        <w:pageBreakBefore w:val="0"/>
        <w:widowControl w:val="0"/>
        <w:kinsoku/>
        <w:wordWrap/>
        <w:overflowPunct/>
        <w:topLinePunct w:val="0"/>
        <w:autoSpaceDE/>
        <w:autoSpaceDN/>
        <w:bidi w:val="0"/>
        <w:ind w:firstLine="480"/>
        <w:rPr>
          <w:color w:val="auto"/>
          <w:spacing w:val="0"/>
          <w:w w:val="100"/>
          <w:kern w:val="21"/>
          <w:position w:val="0"/>
        </w:rPr>
      </w:pPr>
      <w:r>
        <w:rPr>
          <w:color w:val="auto"/>
          <w:spacing w:val="0"/>
          <w:w w:val="100"/>
          <w:kern w:val="21"/>
          <w:position w:val="0"/>
        </w:rPr>
        <w:t>（1）预测因子的确定</w:t>
      </w:r>
    </w:p>
    <w:p w14:paraId="6C993441">
      <w:pPr>
        <w:keepNext w:val="0"/>
        <w:keepLines w:val="0"/>
        <w:pageBreakBefore w:val="0"/>
        <w:widowControl w:val="0"/>
        <w:kinsoku/>
        <w:wordWrap/>
        <w:overflowPunct/>
        <w:topLinePunct w:val="0"/>
        <w:autoSpaceDE/>
        <w:autoSpaceDN/>
        <w:bidi w:val="0"/>
        <w:ind w:firstLine="480"/>
        <w:rPr>
          <w:color w:val="auto"/>
          <w:spacing w:val="0"/>
          <w:w w:val="100"/>
          <w:kern w:val="21"/>
          <w:position w:val="0"/>
        </w:rPr>
      </w:pPr>
      <w:r>
        <w:rPr>
          <w:color w:val="auto"/>
          <w:spacing w:val="0"/>
          <w:w w:val="100"/>
          <w:kern w:val="21"/>
          <w:position w:val="0"/>
        </w:rPr>
        <w:t>本次评价大气环境影响预测因子确定为TSP、PM</w:t>
      </w:r>
      <w:r>
        <w:rPr>
          <w:color w:val="auto"/>
          <w:spacing w:val="0"/>
          <w:w w:val="100"/>
          <w:kern w:val="21"/>
          <w:position w:val="0"/>
          <w:vertAlign w:val="subscript"/>
        </w:rPr>
        <w:t>10</w:t>
      </w:r>
      <w:r>
        <w:rPr>
          <w:color w:val="auto"/>
          <w:spacing w:val="0"/>
          <w:w w:val="100"/>
          <w:kern w:val="21"/>
          <w:position w:val="0"/>
        </w:rPr>
        <w:t>、非甲烷总烃。</w:t>
      </w:r>
    </w:p>
    <w:p w14:paraId="5F8C1ED2">
      <w:pPr>
        <w:keepNext w:val="0"/>
        <w:keepLines w:val="0"/>
        <w:pageBreakBefore w:val="0"/>
        <w:widowControl w:val="0"/>
        <w:kinsoku/>
        <w:wordWrap/>
        <w:overflowPunct/>
        <w:topLinePunct w:val="0"/>
        <w:autoSpaceDE/>
        <w:autoSpaceDN/>
        <w:bidi w:val="0"/>
        <w:ind w:firstLine="480"/>
        <w:rPr>
          <w:color w:val="auto"/>
          <w:spacing w:val="0"/>
          <w:w w:val="100"/>
          <w:kern w:val="21"/>
          <w:position w:val="0"/>
        </w:rPr>
      </w:pPr>
      <w:r>
        <w:rPr>
          <w:color w:val="auto"/>
          <w:spacing w:val="0"/>
          <w:w w:val="100"/>
          <w:kern w:val="21"/>
          <w:position w:val="0"/>
        </w:rPr>
        <w:t>（2）预测范围</w:t>
      </w:r>
    </w:p>
    <w:p w14:paraId="759E7DD0">
      <w:pPr>
        <w:keepNext w:val="0"/>
        <w:keepLines w:val="0"/>
        <w:pageBreakBefore w:val="0"/>
        <w:widowControl w:val="0"/>
        <w:kinsoku/>
        <w:wordWrap/>
        <w:overflowPunct/>
        <w:topLinePunct w:val="0"/>
        <w:autoSpaceDE/>
        <w:autoSpaceDN/>
        <w:bidi w:val="0"/>
        <w:ind w:firstLine="480"/>
        <w:rPr>
          <w:color w:val="auto"/>
          <w:spacing w:val="0"/>
          <w:w w:val="100"/>
          <w:kern w:val="21"/>
          <w:position w:val="0"/>
        </w:rPr>
      </w:pPr>
      <w:r>
        <w:rPr>
          <w:color w:val="auto"/>
          <w:spacing w:val="0"/>
          <w:w w:val="100"/>
          <w:kern w:val="21"/>
          <w:position w:val="0"/>
        </w:rPr>
        <w:t>以场区中间位置为中心，以5km为边长的评价范围作为预测范围。</w:t>
      </w:r>
    </w:p>
    <w:p w14:paraId="73865B6B">
      <w:pPr>
        <w:keepNext w:val="0"/>
        <w:keepLines w:val="0"/>
        <w:pageBreakBefore w:val="0"/>
        <w:widowControl w:val="0"/>
        <w:kinsoku/>
        <w:wordWrap/>
        <w:overflowPunct/>
        <w:topLinePunct w:val="0"/>
        <w:autoSpaceDE/>
        <w:autoSpaceDN/>
        <w:bidi w:val="0"/>
        <w:ind w:firstLine="480"/>
        <w:rPr>
          <w:color w:val="auto"/>
          <w:spacing w:val="0"/>
          <w:w w:val="100"/>
          <w:kern w:val="21"/>
          <w:position w:val="0"/>
        </w:rPr>
      </w:pPr>
      <w:r>
        <w:rPr>
          <w:color w:val="auto"/>
          <w:spacing w:val="0"/>
          <w:w w:val="100"/>
          <w:kern w:val="21"/>
          <w:position w:val="0"/>
        </w:rPr>
        <w:t>（3）预测模式的选取</w:t>
      </w:r>
    </w:p>
    <w:p w14:paraId="7784F9C0">
      <w:pPr>
        <w:keepNext w:val="0"/>
        <w:keepLines w:val="0"/>
        <w:pageBreakBefore w:val="0"/>
        <w:widowControl w:val="0"/>
        <w:kinsoku/>
        <w:wordWrap/>
        <w:overflowPunct/>
        <w:topLinePunct w:val="0"/>
        <w:autoSpaceDE/>
        <w:autoSpaceDN/>
        <w:bidi w:val="0"/>
        <w:ind w:firstLine="480"/>
        <w:rPr>
          <w:color w:val="auto"/>
          <w:spacing w:val="0"/>
          <w:w w:val="100"/>
          <w:kern w:val="21"/>
          <w:position w:val="0"/>
        </w:rPr>
      </w:pPr>
      <w:r>
        <w:rPr>
          <w:color w:val="auto"/>
          <w:spacing w:val="0"/>
          <w:w w:val="100"/>
          <w:kern w:val="21"/>
          <w:position w:val="0"/>
          <w:szCs w:val="32"/>
        </w:rPr>
        <w:t>本次评价依据《环境影响评价技术导则 大气环境》（HJ2.2-2018）中5.3节工作等级的确定方法，结合项目工程分析结果，选择正常排放的主要污染物及排放参数，采用附录A推荐模型中的AERSCREEN</w:t>
      </w:r>
      <w:r>
        <w:rPr>
          <w:color w:val="auto"/>
          <w:spacing w:val="0"/>
        </w:rPr>
        <w:t>进行评价等级判定</w:t>
      </w:r>
      <w:r>
        <w:rPr>
          <w:color w:val="auto"/>
          <w:spacing w:val="0"/>
          <w:w w:val="100"/>
          <w:kern w:val="21"/>
          <w:position w:val="0"/>
        </w:rPr>
        <w:t>。</w:t>
      </w:r>
    </w:p>
    <w:p w14:paraId="6653D448">
      <w:pPr>
        <w:keepNext w:val="0"/>
        <w:keepLines w:val="0"/>
        <w:pageBreakBefore w:val="0"/>
        <w:widowControl w:val="0"/>
        <w:tabs>
          <w:tab w:val="left" w:pos="282"/>
        </w:tabs>
        <w:kinsoku/>
        <w:wordWrap/>
        <w:overflowPunct/>
        <w:topLinePunct w:val="0"/>
        <w:autoSpaceDE/>
        <w:autoSpaceDN/>
        <w:bidi w:val="0"/>
        <w:ind w:firstLine="480"/>
        <w:rPr>
          <w:color w:val="auto"/>
          <w:spacing w:val="0"/>
          <w:w w:val="100"/>
          <w:kern w:val="21"/>
          <w:position w:val="0"/>
        </w:rPr>
      </w:pPr>
      <w:r>
        <w:rPr>
          <w:color w:val="auto"/>
          <w:spacing w:val="0"/>
          <w:w w:val="100"/>
          <w:kern w:val="21"/>
          <w:position w:val="0"/>
        </w:rPr>
        <w:t>（4）模式中参数的选取</w:t>
      </w:r>
    </w:p>
    <w:p w14:paraId="62FF89FC">
      <w:pPr>
        <w:keepNext w:val="0"/>
        <w:keepLines w:val="0"/>
        <w:pageBreakBefore w:val="0"/>
        <w:widowControl w:val="0"/>
        <w:tabs>
          <w:tab w:val="left" w:pos="360"/>
        </w:tabs>
        <w:kinsoku/>
        <w:wordWrap/>
        <w:overflowPunct/>
        <w:topLinePunct w:val="0"/>
        <w:autoSpaceDE/>
        <w:autoSpaceDN/>
        <w:bidi w:val="0"/>
        <w:spacing w:line="240" w:lineRule="auto"/>
        <w:ind w:firstLine="0" w:firstLineChars="0"/>
        <w:jc w:val="center"/>
        <w:rPr>
          <w:b/>
          <w:bCs/>
          <w:color w:val="auto"/>
          <w:spacing w:val="0"/>
          <w:w w:val="100"/>
          <w:kern w:val="21"/>
          <w:position w:val="0"/>
          <w:sz w:val="21"/>
        </w:rPr>
      </w:pPr>
      <w:r>
        <w:rPr>
          <w:b/>
          <w:bCs/>
          <w:color w:val="auto"/>
          <w:spacing w:val="0"/>
          <w:w w:val="100"/>
          <w:kern w:val="21"/>
          <w:position w:val="0"/>
          <w:sz w:val="21"/>
        </w:rPr>
        <w:t>表5.2</w:t>
      </w:r>
      <w:r>
        <w:rPr>
          <w:rFonts w:hint="eastAsia"/>
          <w:b/>
          <w:bCs/>
          <w:color w:val="auto"/>
          <w:spacing w:val="0"/>
          <w:w w:val="100"/>
          <w:kern w:val="21"/>
          <w:position w:val="0"/>
          <w:sz w:val="21"/>
          <w:lang w:val="en-US" w:eastAsia="zh-CN"/>
        </w:rPr>
        <w:t>.1</w:t>
      </w:r>
      <w:r>
        <w:rPr>
          <w:b/>
          <w:bCs/>
          <w:color w:val="auto"/>
          <w:spacing w:val="0"/>
          <w:w w:val="100"/>
          <w:kern w:val="21"/>
          <w:position w:val="0"/>
          <w:sz w:val="21"/>
        </w:rPr>
        <w:t>-1  估算模型参数表</w:t>
      </w:r>
    </w:p>
    <w:tbl>
      <w:tblPr>
        <w:tblStyle w:val="25"/>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2981"/>
        <w:gridCol w:w="2986"/>
        <w:gridCol w:w="2986"/>
      </w:tblGrid>
      <w:tr w14:paraId="725A1B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blHeader/>
          <w:jc w:val="center"/>
        </w:trPr>
        <w:tc>
          <w:tcPr>
            <w:tcW w:w="3332" w:type="pct"/>
            <w:gridSpan w:val="2"/>
            <w:tcBorders>
              <w:tl2br w:val="nil"/>
              <w:tr2bl w:val="nil"/>
            </w:tcBorders>
            <w:vAlign w:val="center"/>
          </w:tcPr>
          <w:p w14:paraId="2489761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参数</w:t>
            </w:r>
          </w:p>
        </w:tc>
        <w:tc>
          <w:tcPr>
            <w:tcW w:w="1667" w:type="pct"/>
            <w:tcBorders>
              <w:tl2br w:val="nil"/>
              <w:tr2bl w:val="nil"/>
            </w:tcBorders>
            <w:vAlign w:val="center"/>
          </w:tcPr>
          <w:p w14:paraId="6945712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取值</w:t>
            </w:r>
          </w:p>
        </w:tc>
      </w:tr>
      <w:tr w14:paraId="4EEB99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1665" w:type="pct"/>
            <w:vMerge w:val="restart"/>
            <w:tcBorders>
              <w:tl2br w:val="nil"/>
              <w:tr2bl w:val="nil"/>
            </w:tcBorders>
            <w:vAlign w:val="center"/>
          </w:tcPr>
          <w:p w14:paraId="13219505">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城市/农村选项</w:t>
            </w:r>
          </w:p>
        </w:tc>
        <w:tc>
          <w:tcPr>
            <w:tcW w:w="1666" w:type="pct"/>
            <w:tcBorders>
              <w:tl2br w:val="nil"/>
              <w:tr2bl w:val="nil"/>
            </w:tcBorders>
            <w:vAlign w:val="center"/>
          </w:tcPr>
          <w:p w14:paraId="3AC1D5C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城市/农村</w:t>
            </w:r>
          </w:p>
        </w:tc>
        <w:tc>
          <w:tcPr>
            <w:tcW w:w="1667" w:type="pct"/>
            <w:tcBorders>
              <w:tl2br w:val="nil"/>
              <w:tr2bl w:val="nil"/>
            </w:tcBorders>
            <w:vAlign w:val="center"/>
          </w:tcPr>
          <w:p w14:paraId="3B9A54E5">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城市</w:t>
            </w:r>
          </w:p>
        </w:tc>
      </w:tr>
      <w:tr w14:paraId="2774B5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1665" w:type="pct"/>
            <w:vMerge w:val="continue"/>
            <w:tcBorders>
              <w:tl2br w:val="nil"/>
              <w:tr2bl w:val="nil"/>
            </w:tcBorders>
            <w:vAlign w:val="center"/>
          </w:tcPr>
          <w:p w14:paraId="3F1B0F8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1666" w:type="pct"/>
            <w:tcBorders>
              <w:tl2br w:val="nil"/>
              <w:tr2bl w:val="nil"/>
            </w:tcBorders>
            <w:vAlign w:val="center"/>
          </w:tcPr>
          <w:p w14:paraId="6176CF3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人口数（城市选项）</w:t>
            </w:r>
          </w:p>
        </w:tc>
        <w:tc>
          <w:tcPr>
            <w:tcW w:w="1667" w:type="pct"/>
            <w:tcBorders>
              <w:tl2br w:val="nil"/>
              <w:tr2bl w:val="nil"/>
            </w:tcBorders>
            <w:vAlign w:val="center"/>
          </w:tcPr>
          <w:p w14:paraId="17BC7F3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eastAsia"/>
                <w:color w:val="auto"/>
                <w:spacing w:val="0"/>
                <w:w w:val="100"/>
                <w:kern w:val="21"/>
                <w:position w:val="0"/>
                <w:sz w:val="21"/>
                <w:lang w:val="en-US" w:eastAsia="zh-CN"/>
              </w:rPr>
              <w:t>18.11</w:t>
            </w:r>
            <w:r>
              <w:rPr>
                <w:rFonts w:hint="default"/>
                <w:color w:val="auto"/>
                <w:spacing w:val="0"/>
                <w:w w:val="100"/>
                <w:kern w:val="21"/>
                <w:position w:val="0"/>
                <w:sz w:val="21"/>
              </w:rPr>
              <w:t>万</w:t>
            </w:r>
          </w:p>
        </w:tc>
      </w:tr>
      <w:tr w14:paraId="6DD793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3332" w:type="pct"/>
            <w:gridSpan w:val="2"/>
            <w:tcBorders>
              <w:tl2br w:val="nil"/>
              <w:tr2bl w:val="nil"/>
            </w:tcBorders>
            <w:vAlign w:val="center"/>
          </w:tcPr>
          <w:p w14:paraId="246D341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最高环境温度/℃</w:t>
            </w:r>
          </w:p>
        </w:tc>
        <w:tc>
          <w:tcPr>
            <w:tcW w:w="1667" w:type="pct"/>
            <w:tcBorders>
              <w:tl2br w:val="nil"/>
              <w:tr2bl w:val="nil"/>
            </w:tcBorders>
            <w:vAlign w:val="center"/>
          </w:tcPr>
          <w:p w14:paraId="71031B1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eastAsia="宋体"/>
                <w:color w:val="auto"/>
                <w:spacing w:val="0"/>
                <w:w w:val="100"/>
                <w:kern w:val="21"/>
                <w:position w:val="0"/>
                <w:sz w:val="21"/>
                <w:lang w:val="en-US" w:eastAsia="zh-CN"/>
              </w:rPr>
            </w:pPr>
            <w:r>
              <w:rPr>
                <w:rFonts w:hint="default"/>
                <w:color w:val="auto"/>
                <w:spacing w:val="0"/>
                <w:w w:val="100"/>
                <w:kern w:val="21"/>
                <w:position w:val="0"/>
                <w:sz w:val="21"/>
              </w:rPr>
              <w:t>42</w:t>
            </w:r>
            <w:r>
              <w:rPr>
                <w:rFonts w:hint="eastAsia"/>
                <w:color w:val="auto"/>
                <w:spacing w:val="0"/>
                <w:w w:val="100"/>
                <w:kern w:val="21"/>
                <w:position w:val="0"/>
                <w:sz w:val="21"/>
                <w:lang w:val="en-US" w:eastAsia="zh-CN"/>
              </w:rPr>
              <w:t>.3</w:t>
            </w:r>
          </w:p>
        </w:tc>
      </w:tr>
      <w:tr w14:paraId="69DB27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3332" w:type="pct"/>
            <w:gridSpan w:val="2"/>
            <w:tcBorders>
              <w:tl2br w:val="nil"/>
              <w:tr2bl w:val="nil"/>
            </w:tcBorders>
            <w:vAlign w:val="center"/>
          </w:tcPr>
          <w:p w14:paraId="45C885A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最低环境温度/℃</w:t>
            </w:r>
          </w:p>
        </w:tc>
        <w:tc>
          <w:tcPr>
            <w:tcW w:w="1667" w:type="pct"/>
            <w:tcBorders>
              <w:tl2br w:val="nil"/>
              <w:tr2bl w:val="nil"/>
            </w:tcBorders>
            <w:vAlign w:val="center"/>
          </w:tcPr>
          <w:p w14:paraId="057EFC1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eastAsia" w:eastAsia="宋体"/>
                <w:color w:val="auto"/>
                <w:spacing w:val="0"/>
                <w:w w:val="100"/>
                <w:kern w:val="21"/>
                <w:position w:val="0"/>
                <w:sz w:val="21"/>
                <w:lang w:eastAsia="zh-CN"/>
              </w:rPr>
            </w:pPr>
            <w:r>
              <w:rPr>
                <w:rFonts w:hint="default"/>
                <w:color w:val="auto"/>
                <w:spacing w:val="0"/>
                <w:w w:val="100"/>
                <w:kern w:val="21"/>
                <w:position w:val="0"/>
                <w:sz w:val="21"/>
              </w:rPr>
              <w:t>-3</w:t>
            </w:r>
            <w:r>
              <w:rPr>
                <w:rFonts w:hint="eastAsia"/>
                <w:color w:val="auto"/>
                <w:spacing w:val="0"/>
                <w:w w:val="100"/>
                <w:kern w:val="21"/>
                <w:position w:val="0"/>
                <w:sz w:val="21"/>
                <w:lang w:val="en-US" w:eastAsia="zh-CN"/>
              </w:rPr>
              <w:t>1</w:t>
            </w:r>
          </w:p>
        </w:tc>
      </w:tr>
      <w:tr w14:paraId="175BAB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3332" w:type="pct"/>
            <w:gridSpan w:val="2"/>
            <w:tcBorders>
              <w:tl2br w:val="nil"/>
              <w:tr2bl w:val="nil"/>
            </w:tcBorders>
            <w:vAlign w:val="center"/>
          </w:tcPr>
          <w:p w14:paraId="6AE8D79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土地利用条件</w:t>
            </w:r>
          </w:p>
        </w:tc>
        <w:tc>
          <w:tcPr>
            <w:tcW w:w="1667" w:type="pct"/>
            <w:tcBorders>
              <w:tl2br w:val="nil"/>
              <w:tr2bl w:val="nil"/>
            </w:tcBorders>
            <w:vAlign w:val="center"/>
          </w:tcPr>
          <w:p w14:paraId="4D594EE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eastAsia"/>
                <w:color w:val="auto"/>
                <w:spacing w:val="0"/>
                <w:w w:val="100"/>
                <w:kern w:val="21"/>
                <w:position w:val="0"/>
                <w:sz w:val="21"/>
              </w:rPr>
              <w:t>城镇工业用地</w:t>
            </w:r>
          </w:p>
        </w:tc>
      </w:tr>
      <w:tr w14:paraId="0E3688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3332" w:type="pct"/>
            <w:gridSpan w:val="2"/>
            <w:tcBorders>
              <w:tl2br w:val="nil"/>
              <w:tr2bl w:val="nil"/>
            </w:tcBorders>
            <w:vAlign w:val="center"/>
          </w:tcPr>
          <w:p w14:paraId="52A5D9A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区域湿度条件</w:t>
            </w:r>
          </w:p>
        </w:tc>
        <w:tc>
          <w:tcPr>
            <w:tcW w:w="1667" w:type="pct"/>
            <w:tcBorders>
              <w:tl2br w:val="nil"/>
              <w:tr2bl w:val="nil"/>
            </w:tcBorders>
            <w:vAlign w:val="center"/>
          </w:tcPr>
          <w:p w14:paraId="6929924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干燥</w:t>
            </w:r>
          </w:p>
        </w:tc>
      </w:tr>
      <w:tr w14:paraId="6E87E1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1665" w:type="pct"/>
            <w:vMerge w:val="restart"/>
            <w:tcBorders>
              <w:tl2br w:val="nil"/>
              <w:tr2bl w:val="nil"/>
            </w:tcBorders>
            <w:vAlign w:val="center"/>
          </w:tcPr>
          <w:p w14:paraId="2CAAAC8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是否考虑地形</w:t>
            </w:r>
          </w:p>
        </w:tc>
        <w:tc>
          <w:tcPr>
            <w:tcW w:w="1666" w:type="pct"/>
            <w:tcBorders>
              <w:tl2br w:val="nil"/>
              <w:tr2bl w:val="nil"/>
            </w:tcBorders>
            <w:vAlign w:val="center"/>
          </w:tcPr>
          <w:p w14:paraId="3B5CD77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考虑地形</w:t>
            </w:r>
          </w:p>
        </w:tc>
        <w:tc>
          <w:tcPr>
            <w:tcW w:w="1667" w:type="pct"/>
            <w:tcBorders>
              <w:tl2br w:val="nil"/>
              <w:tr2bl w:val="nil"/>
            </w:tcBorders>
            <w:vAlign w:val="center"/>
          </w:tcPr>
          <w:p w14:paraId="65B5B23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是</w:t>
            </w:r>
          </w:p>
        </w:tc>
      </w:tr>
      <w:tr w14:paraId="5ECDA9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1665" w:type="pct"/>
            <w:vMerge w:val="continue"/>
            <w:tcBorders>
              <w:tl2br w:val="nil"/>
              <w:tr2bl w:val="nil"/>
            </w:tcBorders>
            <w:vAlign w:val="center"/>
          </w:tcPr>
          <w:p w14:paraId="3088335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1666" w:type="pct"/>
            <w:tcBorders>
              <w:tl2br w:val="nil"/>
              <w:tr2bl w:val="nil"/>
            </w:tcBorders>
            <w:vAlign w:val="center"/>
          </w:tcPr>
          <w:p w14:paraId="3DC7619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地形数据分辨率/m</w:t>
            </w:r>
          </w:p>
        </w:tc>
        <w:tc>
          <w:tcPr>
            <w:tcW w:w="1667" w:type="pct"/>
            <w:tcBorders>
              <w:tl2br w:val="nil"/>
              <w:tr2bl w:val="nil"/>
            </w:tcBorders>
            <w:vAlign w:val="center"/>
          </w:tcPr>
          <w:p w14:paraId="701F0CD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90</w:t>
            </w:r>
          </w:p>
        </w:tc>
      </w:tr>
      <w:tr w14:paraId="7414B7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1665" w:type="pct"/>
            <w:vMerge w:val="restart"/>
            <w:tcBorders>
              <w:tl2br w:val="nil"/>
              <w:tr2bl w:val="nil"/>
            </w:tcBorders>
            <w:vAlign w:val="center"/>
          </w:tcPr>
          <w:p w14:paraId="238DA72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是否考虑岸线熏烟</w:t>
            </w:r>
          </w:p>
        </w:tc>
        <w:tc>
          <w:tcPr>
            <w:tcW w:w="1666" w:type="pct"/>
            <w:tcBorders>
              <w:tl2br w:val="nil"/>
              <w:tr2bl w:val="nil"/>
            </w:tcBorders>
            <w:vAlign w:val="center"/>
          </w:tcPr>
          <w:p w14:paraId="19A9FDC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考虑岸线熏烟</w:t>
            </w:r>
          </w:p>
        </w:tc>
        <w:tc>
          <w:tcPr>
            <w:tcW w:w="1667" w:type="pct"/>
            <w:tcBorders>
              <w:tl2br w:val="nil"/>
              <w:tr2bl w:val="nil"/>
            </w:tcBorders>
            <w:vAlign w:val="center"/>
          </w:tcPr>
          <w:p w14:paraId="67F174F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否</w:t>
            </w:r>
          </w:p>
        </w:tc>
      </w:tr>
      <w:tr w14:paraId="69FBAA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1665" w:type="pct"/>
            <w:vMerge w:val="continue"/>
            <w:tcBorders>
              <w:tl2br w:val="nil"/>
              <w:tr2bl w:val="nil"/>
            </w:tcBorders>
            <w:vAlign w:val="center"/>
          </w:tcPr>
          <w:p w14:paraId="7901E19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1666" w:type="pct"/>
            <w:tcBorders>
              <w:tl2br w:val="nil"/>
              <w:tr2bl w:val="nil"/>
            </w:tcBorders>
            <w:vAlign w:val="center"/>
          </w:tcPr>
          <w:p w14:paraId="312EBA9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岸线距离/km</w:t>
            </w:r>
          </w:p>
        </w:tc>
        <w:tc>
          <w:tcPr>
            <w:tcW w:w="1667" w:type="pct"/>
            <w:tcBorders>
              <w:tl2br w:val="nil"/>
              <w:tr2bl w:val="nil"/>
            </w:tcBorders>
            <w:vAlign w:val="center"/>
          </w:tcPr>
          <w:p w14:paraId="01B4AB8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w:t>
            </w:r>
          </w:p>
        </w:tc>
      </w:tr>
      <w:tr w14:paraId="3F5185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1665" w:type="pct"/>
            <w:vMerge w:val="continue"/>
            <w:tcBorders>
              <w:tl2br w:val="nil"/>
              <w:tr2bl w:val="nil"/>
            </w:tcBorders>
            <w:vAlign w:val="center"/>
          </w:tcPr>
          <w:p w14:paraId="652505B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1666" w:type="pct"/>
            <w:tcBorders>
              <w:tl2br w:val="nil"/>
              <w:tr2bl w:val="nil"/>
            </w:tcBorders>
            <w:vAlign w:val="center"/>
          </w:tcPr>
          <w:p w14:paraId="746AD07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岸线方向/°</w:t>
            </w:r>
          </w:p>
        </w:tc>
        <w:tc>
          <w:tcPr>
            <w:tcW w:w="1667" w:type="pct"/>
            <w:tcBorders>
              <w:tl2br w:val="nil"/>
              <w:tr2bl w:val="nil"/>
            </w:tcBorders>
            <w:vAlign w:val="center"/>
          </w:tcPr>
          <w:p w14:paraId="312F408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w:t>
            </w:r>
          </w:p>
        </w:tc>
      </w:tr>
    </w:tbl>
    <w:p w14:paraId="5057C232">
      <w:pPr>
        <w:keepNext w:val="0"/>
        <w:keepLines w:val="0"/>
        <w:pageBreakBefore w:val="0"/>
        <w:widowControl w:val="0"/>
        <w:kinsoku/>
        <w:wordWrap/>
        <w:overflowPunct/>
        <w:topLinePunct w:val="0"/>
        <w:autoSpaceDE/>
        <w:autoSpaceDN/>
        <w:bidi w:val="0"/>
        <w:ind w:firstLine="480"/>
        <w:rPr>
          <w:color w:val="auto"/>
          <w:spacing w:val="0"/>
          <w:w w:val="100"/>
          <w:kern w:val="21"/>
          <w:position w:val="0"/>
          <w:szCs w:val="24"/>
        </w:rPr>
      </w:pPr>
      <w:r>
        <w:rPr>
          <w:color w:val="auto"/>
          <w:spacing w:val="0"/>
          <w:w w:val="100"/>
          <w:kern w:val="21"/>
          <w:position w:val="0"/>
          <w:szCs w:val="24"/>
        </w:rPr>
        <w:t>（5）污染源参数清单</w:t>
      </w:r>
    </w:p>
    <w:p w14:paraId="3763F986">
      <w:pPr>
        <w:keepNext w:val="0"/>
        <w:keepLines w:val="0"/>
        <w:pageBreakBefore w:val="0"/>
        <w:widowControl w:val="0"/>
        <w:kinsoku/>
        <w:wordWrap/>
        <w:overflowPunct/>
        <w:topLinePunct w:val="0"/>
        <w:autoSpaceDE/>
        <w:autoSpaceDN/>
        <w:bidi w:val="0"/>
        <w:ind w:firstLine="480"/>
        <w:rPr>
          <w:color w:val="auto"/>
          <w:spacing w:val="0"/>
          <w:w w:val="100"/>
          <w:kern w:val="21"/>
          <w:position w:val="0"/>
          <w:szCs w:val="24"/>
        </w:rPr>
      </w:pPr>
      <w:r>
        <w:rPr>
          <w:color w:val="auto"/>
          <w:spacing w:val="0"/>
          <w:w w:val="100"/>
          <w:kern w:val="21"/>
          <w:position w:val="0"/>
          <w:szCs w:val="24"/>
        </w:rPr>
        <w:t>项目有组织污染源参数清单见表5.2</w:t>
      </w:r>
      <w:r>
        <w:rPr>
          <w:rFonts w:hint="eastAsia"/>
          <w:color w:val="auto"/>
          <w:spacing w:val="0"/>
          <w:w w:val="100"/>
          <w:kern w:val="21"/>
          <w:position w:val="0"/>
          <w:szCs w:val="24"/>
          <w:lang w:val="en-US" w:eastAsia="zh-CN"/>
        </w:rPr>
        <w:t>.1</w:t>
      </w:r>
      <w:r>
        <w:rPr>
          <w:color w:val="auto"/>
          <w:spacing w:val="0"/>
          <w:w w:val="100"/>
          <w:kern w:val="21"/>
          <w:position w:val="0"/>
          <w:szCs w:val="24"/>
        </w:rPr>
        <w:t>-2、无组织污染源参数清单见表5.2</w:t>
      </w:r>
      <w:r>
        <w:rPr>
          <w:rFonts w:hint="eastAsia"/>
          <w:color w:val="auto"/>
          <w:spacing w:val="0"/>
          <w:w w:val="100"/>
          <w:kern w:val="21"/>
          <w:position w:val="0"/>
          <w:szCs w:val="24"/>
          <w:lang w:val="en-US" w:eastAsia="zh-CN"/>
        </w:rPr>
        <w:t>.1</w:t>
      </w:r>
      <w:r>
        <w:rPr>
          <w:color w:val="auto"/>
          <w:spacing w:val="0"/>
          <w:w w:val="100"/>
          <w:kern w:val="21"/>
          <w:position w:val="0"/>
          <w:szCs w:val="24"/>
        </w:rPr>
        <w:t>-3。</w:t>
      </w:r>
    </w:p>
    <w:p w14:paraId="1F3523BF">
      <w:pPr>
        <w:keepNext w:val="0"/>
        <w:keepLines w:val="0"/>
        <w:pageBreakBefore w:val="0"/>
        <w:widowControl w:val="0"/>
        <w:kinsoku/>
        <w:wordWrap/>
        <w:overflowPunct/>
        <w:topLinePunct w:val="0"/>
        <w:autoSpaceDE/>
        <w:autoSpaceDN/>
        <w:bidi w:val="0"/>
        <w:spacing w:line="240" w:lineRule="auto"/>
        <w:ind w:firstLine="0" w:firstLineChars="0"/>
        <w:jc w:val="center"/>
        <w:rPr>
          <w:b/>
          <w:bCs/>
          <w:color w:val="auto"/>
          <w:spacing w:val="0"/>
          <w:w w:val="100"/>
          <w:kern w:val="21"/>
          <w:position w:val="0"/>
          <w:sz w:val="21"/>
        </w:rPr>
      </w:pPr>
      <w:r>
        <w:rPr>
          <w:b/>
          <w:bCs/>
          <w:color w:val="auto"/>
          <w:spacing w:val="0"/>
          <w:w w:val="100"/>
          <w:kern w:val="21"/>
          <w:position w:val="0"/>
          <w:sz w:val="21"/>
        </w:rPr>
        <w:t>表5.2</w:t>
      </w:r>
      <w:r>
        <w:rPr>
          <w:rFonts w:hint="eastAsia"/>
          <w:b/>
          <w:bCs/>
          <w:color w:val="auto"/>
          <w:spacing w:val="0"/>
          <w:w w:val="100"/>
          <w:kern w:val="21"/>
          <w:position w:val="0"/>
          <w:sz w:val="21"/>
          <w:lang w:val="en-US" w:eastAsia="zh-CN"/>
        </w:rPr>
        <w:t>.1</w:t>
      </w:r>
      <w:r>
        <w:rPr>
          <w:b/>
          <w:bCs/>
          <w:color w:val="auto"/>
          <w:spacing w:val="0"/>
          <w:w w:val="100"/>
          <w:kern w:val="21"/>
          <w:position w:val="0"/>
          <w:sz w:val="21"/>
        </w:rPr>
        <w:t>-2  项目有组织大气污染源参数清单</w:t>
      </w:r>
    </w:p>
    <w:tbl>
      <w:tblPr>
        <w:tblStyle w:val="25"/>
        <w:tblW w:w="551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319"/>
        <w:gridCol w:w="1563"/>
        <w:gridCol w:w="620"/>
        <w:gridCol w:w="771"/>
        <w:gridCol w:w="855"/>
        <w:gridCol w:w="728"/>
        <w:gridCol w:w="736"/>
        <w:gridCol w:w="793"/>
        <w:gridCol w:w="651"/>
        <w:gridCol w:w="724"/>
        <w:gridCol w:w="524"/>
        <w:gridCol w:w="701"/>
        <w:gridCol w:w="857"/>
      </w:tblGrid>
      <w:tr w14:paraId="059034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476" w:hRule="atLeast"/>
          <w:jc w:val="center"/>
        </w:trPr>
        <w:tc>
          <w:tcPr>
            <w:tcW w:w="164" w:type="pct"/>
            <w:vMerge w:val="restart"/>
            <w:tcBorders>
              <w:tl2br w:val="nil"/>
              <w:tr2bl w:val="nil"/>
            </w:tcBorders>
            <w:tcMar>
              <w:left w:w="28" w:type="dxa"/>
              <w:right w:w="28" w:type="dxa"/>
            </w:tcMar>
            <w:vAlign w:val="center"/>
          </w:tcPr>
          <w:p w14:paraId="7CD1D7F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序号</w:t>
            </w:r>
          </w:p>
        </w:tc>
        <w:tc>
          <w:tcPr>
            <w:tcW w:w="805" w:type="pct"/>
            <w:vMerge w:val="restart"/>
            <w:tcBorders>
              <w:tl2br w:val="nil"/>
              <w:tr2bl w:val="nil"/>
            </w:tcBorders>
            <w:tcMar>
              <w:left w:w="28" w:type="dxa"/>
              <w:right w:w="28" w:type="dxa"/>
            </w:tcMar>
            <w:vAlign w:val="center"/>
          </w:tcPr>
          <w:p w14:paraId="792711E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污染源</w:t>
            </w:r>
          </w:p>
          <w:p w14:paraId="657383B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名称</w:t>
            </w:r>
          </w:p>
        </w:tc>
        <w:tc>
          <w:tcPr>
            <w:tcW w:w="716" w:type="pct"/>
            <w:gridSpan w:val="2"/>
            <w:tcBorders>
              <w:tl2br w:val="nil"/>
              <w:tr2bl w:val="nil"/>
            </w:tcBorders>
            <w:tcMar>
              <w:left w:w="28" w:type="dxa"/>
              <w:right w:w="28" w:type="dxa"/>
            </w:tcMar>
            <w:vAlign w:val="center"/>
          </w:tcPr>
          <w:p w14:paraId="157F9F7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b/>
                <w:bCs/>
                <w:color w:val="auto"/>
                <w:spacing w:val="0"/>
                <w:w w:val="100"/>
                <w:kern w:val="21"/>
                <w:position w:val="0"/>
                <w:sz w:val="21"/>
              </w:rPr>
            </w:pPr>
            <w:r>
              <w:rPr>
                <w:rFonts w:hint="default"/>
                <w:b/>
                <w:bCs/>
                <w:color w:val="auto"/>
                <w:spacing w:val="0"/>
                <w:w w:val="100"/>
                <w:kern w:val="21"/>
                <w:position w:val="0"/>
                <w:sz w:val="21"/>
              </w:rPr>
              <w:t>坐标</w:t>
            </w:r>
          </w:p>
        </w:tc>
        <w:tc>
          <w:tcPr>
            <w:tcW w:w="440" w:type="pct"/>
            <w:vMerge w:val="restart"/>
            <w:tcBorders>
              <w:tl2br w:val="nil"/>
              <w:tr2bl w:val="nil"/>
            </w:tcBorders>
            <w:tcMar>
              <w:left w:w="28" w:type="dxa"/>
              <w:right w:w="28" w:type="dxa"/>
            </w:tcMar>
            <w:vAlign w:val="center"/>
          </w:tcPr>
          <w:p w14:paraId="4840B19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b/>
                <w:bCs/>
                <w:color w:val="auto"/>
                <w:spacing w:val="0"/>
                <w:w w:val="100"/>
                <w:kern w:val="21"/>
                <w:position w:val="0"/>
                <w:sz w:val="21"/>
              </w:rPr>
            </w:pPr>
            <w:r>
              <w:rPr>
                <w:rFonts w:hint="default"/>
                <w:b/>
                <w:bCs/>
                <w:color w:val="auto"/>
                <w:spacing w:val="0"/>
                <w:w w:val="100"/>
                <w:kern w:val="21"/>
                <w:position w:val="0"/>
                <w:sz w:val="21"/>
              </w:rPr>
              <w:t>排气筒底部海拔(m)</w:t>
            </w:r>
          </w:p>
        </w:tc>
        <w:tc>
          <w:tcPr>
            <w:tcW w:w="375" w:type="pct"/>
            <w:vMerge w:val="restart"/>
            <w:tcBorders>
              <w:tl2br w:val="nil"/>
              <w:tr2bl w:val="nil"/>
            </w:tcBorders>
            <w:tcMar>
              <w:left w:w="28" w:type="dxa"/>
              <w:right w:w="28" w:type="dxa"/>
            </w:tcMar>
            <w:vAlign w:val="center"/>
          </w:tcPr>
          <w:p w14:paraId="5B4F0CD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b/>
                <w:bCs/>
                <w:color w:val="auto"/>
                <w:spacing w:val="0"/>
                <w:w w:val="100"/>
                <w:kern w:val="21"/>
                <w:position w:val="0"/>
                <w:sz w:val="21"/>
              </w:rPr>
            </w:pPr>
            <w:r>
              <w:rPr>
                <w:rFonts w:hint="default"/>
                <w:b/>
                <w:bCs/>
                <w:color w:val="auto"/>
                <w:spacing w:val="0"/>
                <w:w w:val="100"/>
                <w:kern w:val="21"/>
                <w:position w:val="0"/>
                <w:sz w:val="21"/>
              </w:rPr>
              <w:t>排气筒高度(m)</w:t>
            </w:r>
          </w:p>
        </w:tc>
        <w:tc>
          <w:tcPr>
            <w:tcW w:w="379" w:type="pct"/>
            <w:vMerge w:val="restart"/>
            <w:tcBorders>
              <w:tl2br w:val="nil"/>
              <w:tr2bl w:val="nil"/>
            </w:tcBorders>
            <w:tcMar>
              <w:left w:w="28" w:type="dxa"/>
              <w:right w:w="28" w:type="dxa"/>
            </w:tcMar>
            <w:vAlign w:val="center"/>
          </w:tcPr>
          <w:p w14:paraId="3B4241D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排气筒出口内径(m)</w:t>
            </w:r>
          </w:p>
        </w:tc>
        <w:tc>
          <w:tcPr>
            <w:tcW w:w="660" w:type="dxa"/>
            <w:vMerge w:val="restart"/>
            <w:tcBorders>
              <w:tl2br w:val="nil"/>
              <w:tr2bl w:val="nil"/>
            </w:tcBorders>
            <w:tcMar>
              <w:left w:w="28" w:type="dxa"/>
              <w:right w:w="28" w:type="dxa"/>
            </w:tcMar>
            <w:vAlign w:val="center"/>
          </w:tcPr>
          <w:p w14:paraId="5FE7580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r>
              <w:rPr>
                <w:rFonts w:hint="eastAsia"/>
                <w:b/>
                <w:bCs/>
                <w:color w:val="auto"/>
                <w:spacing w:val="0"/>
                <w:w w:val="100"/>
                <w:kern w:val="21"/>
                <w:position w:val="0"/>
                <w:sz w:val="21"/>
                <w:lang w:val="en-US" w:eastAsia="zh-CN"/>
              </w:rPr>
              <w:t>烟气流速（m/s）</w:t>
            </w:r>
          </w:p>
        </w:tc>
        <w:tc>
          <w:tcPr>
            <w:tcW w:w="335" w:type="pct"/>
            <w:vMerge w:val="restart"/>
            <w:tcBorders>
              <w:tl2br w:val="nil"/>
              <w:tr2bl w:val="nil"/>
            </w:tcBorders>
            <w:tcMar>
              <w:left w:w="28" w:type="dxa"/>
              <w:right w:w="28" w:type="dxa"/>
            </w:tcMar>
            <w:vAlign w:val="center"/>
          </w:tcPr>
          <w:p w14:paraId="5E49771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烟气温度(℃)</w:t>
            </w:r>
          </w:p>
        </w:tc>
        <w:tc>
          <w:tcPr>
            <w:tcW w:w="373" w:type="pct"/>
            <w:vMerge w:val="restart"/>
            <w:tcBorders>
              <w:tl2br w:val="nil"/>
              <w:tr2bl w:val="nil"/>
            </w:tcBorders>
            <w:tcMar>
              <w:left w:w="28" w:type="dxa"/>
              <w:right w:w="28" w:type="dxa"/>
            </w:tcMar>
            <w:vAlign w:val="center"/>
          </w:tcPr>
          <w:p w14:paraId="7B25222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年排放小时数（h）</w:t>
            </w:r>
          </w:p>
        </w:tc>
        <w:tc>
          <w:tcPr>
            <w:tcW w:w="270" w:type="pct"/>
            <w:vMerge w:val="restart"/>
            <w:tcBorders>
              <w:tl2br w:val="nil"/>
              <w:tr2bl w:val="nil"/>
            </w:tcBorders>
            <w:tcMar>
              <w:left w:w="28" w:type="dxa"/>
              <w:right w:w="28" w:type="dxa"/>
            </w:tcMar>
            <w:vAlign w:val="center"/>
          </w:tcPr>
          <w:p w14:paraId="28EB46B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排放</w:t>
            </w:r>
          </w:p>
          <w:p w14:paraId="13D1940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工况</w:t>
            </w:r>
          </w:p>
        </w:tc>
        <w:tc>
          <w:tcPr>
            <w:tcW w:w="361" w:type="pct"/>
            <w:vMerge w:val="restart"/>
            <w:tcBorders>
              <w:tl2br w:val="nil"/>
              <w:tr2bl w:val="nil"/>
            </w:tcBorders>
            <w:tcMar>
              <w:left w:w="28" w:type="dxa"/>
              <w:right w:w="28" w:type="dxa"/>
            </w:tcMar>
            <w:vAlign w:val="center"/>
          </w:tcPr>
          <w:p w14:paraId="4ED4E75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排放因子</w:t>
            </w:r>
          </w:p>
        </w:tc>
        <w:tc>
          <w:tcPr>
            <w:tcW w:w="441" w:type="pct"/>
            <w:vMerge w:val="restart"/>
            <w:tcBorders>
              <w:tl2br w:val="nil"/>
              <w:tr2bl w:val="nil"/>
            </w:tcBorders>
            <w:vAlign w:val="center"/>
          </w:tcPr>
          <w:p w14:paraId="3139D56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排放速率(kg/h)</w:t>
            </w:r>
          </w:p>
        </w:tc>
      </w:tr>
      <w:tr w14:paraId="7BDA8E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164" w:type="pct"/>
            <w:vMerge w:val="continue"/>
            <w:tcBorders>
              <w:tl2br w:val="nil"/>
              <w:tr2bl w:val="nil"/>
            </w:tcBorders>
            <w:vAlign w:val="center"/>
          </w:tcPr>
          <w:p w14:paraId="5BCE521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805" w:type="pct"/>
            <w:vMerge w:val="continue"/>
            <w:tcBorders>
              <w:tl2br w:val="nil"/>
              <w:tr2bl w:val="nil"/>
            </w:tcBorders>
            <w:vAlign w:val="center"/>
          </w:tcPr>
          <w:p w14:paraId="79114F1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319" w:type="pct"/>
            <w:tcBorders>
              <w:tl2br w:val="nil"/>
              <w:tr2bl w:val="nil"/>
            </w:tcBorders>
            <w:vAlign w:val="center"/>
          </w:tcPr>
          <w:p w14:paraId="6AEFD0B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b/>
                <w:bCs/>
                <w:color w:val="auto"/>
                <w:spacing w:val="0"/>
                <w:w w:val="100"/>
                <w:kern w:val="21"/>
                <w:position w:val="0"/>
                <w:sz w:val="21"/>
              </w:rPr>
            </w:pPr>
            <w:r>
              <w:rPr>
                <w:rFonts w:hint="default"/>
                <w:b/>
                <w:bCs/>
                <w:color w:val="auto"/>
                <w:spacing w:val="0"/>
                <w:w w:val="100"/>
                <w:kern w:val="21"/>
                <w:position w:val="0"/>
                <w:sz w:val="21"/>
              </w:rPr>
              <w:t>X</w:t>
            </w:r>
          </w:p>
        </w:tc>
        <w:tc>
          <w:tcPr>
            <w:tcW w:w="397" w:type="pct"/>
            <w:tcBorders>
              <w:tl2br w:val="nil"/>
              <w:tr2bl w:val="nil"/>
            </w:tcBorders>
            <w:vAlign w:val="center"/>
          </w:tcPr>
          <w:p w14:paraId="39A9C04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b/>
                <w:bCs/>
                <w:color w:val="auto"/>
                <w:spacing w:val="0"/>
                <w:w w:val="100"/>
                <w:kern w:val="21"/>
                <w:position w:val="0"/>
                <w:sz w:val="21"/>
              </w:rPr>
            </w:pPr>
            <w:r>
              <w:rPr>
                <w:rFonts w:hint="default"/>
                <w:b/>
                <w:bCs/>
                <w:color w:val="auto"/>
                <w:spacing w:val="0"/>
                <w:w w:val="100"/>
                <w:kern w:val="21"/>
                <w:position w:val="0"/>
                <w:sz w:val="21"/>
              </w:rPr>
              <w:t>Y</w:t>
            </w:r>
          </w:p>
        </w:tc>
        <w:tc>
          <w:tcPr>
            <w:tcW w:w="440" w:type="pct"/>
            <w:vMerge w:val="continue"/>
            <w:tcBorders>
              <w:tl2br w:val="nil"/>
              <w:tr2bl w:val="nil"/>
            </w:tcBorders>
            <w:vAlign w:val="center"/>
          </w:tcPr>
          <w:p w14:paraId="695703E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color w:val="auto"/>
                <w:spacing w:val="0"/>
                <w:w w:val="100"/>
                <w:kern w:val="21"/>
                <w:position w:val="0"/>
                <w:sz w:val="21"/>
              </w:rPr>
            </w:pPr>
          </w:p>
        </w:tc>
        <w:tc>
          <w:tcPr>
            <w:tcW w:w="375" w:type="pct"/>
            <w:vMerge w:val="continue"/>
            <w:tcBorders>
              <w:tl2br w:val="nil"/>
              <w:tr2bl w:val="nil"/>
            </w:tcBorders>
            <w:vAlign w:val="center"/>
          </w:tcPr>
          <w:p w14:paraId="5E0A055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color w:val="auto"/>
                <w:spacing w:val="0"/>
                <w:w w:val="100"/>
                <w:kern w:val="21"/>
                <w:position w:val="0"/>
                <w:sz w:val="21"/>
              </w:rPr>
            </w:pPr>
          </w:p>
        </w:tc>
        <w:tc>
          <w:tcPr>
            <w:tcW w:w="379" w:type="pct"/>
            <w:vMerge w:val="continue"/>
            <w:tcBorders>
              <w:tl2br w:val="nil"/>
              <w:tr2bl w:val="nil"/>
            </w:tcBorders>
            <w:vAlign w:val="center"/>
          </w:tcPr>
          <w:p w14:paraId="5B915B35">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335" w:type="pct"/>
            <w:vMerge w:val="continue"/>
            <w:tcBorders>
              <w:tl2br w:val="nil"/>
              <w:tr2bl w:val="nil"/>
            </w:tcBorders>
            <w:vAlign w:val="center"/>
          </w:tcPr>
          <w:p w14:paraId="6390229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335" w:type="pct"/>
            <w:vMerge w:val="continue"/>
            <w:tcBorders>
              <w:tl2br w:val="nil"/>
              <w:tr2bl w:val="nil"/>
            </w:tcBorders>
            <w:vAlign w:val="center"/>
          </w:tcPr>
          <w:p w14:paraId="76CDDC1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373" w:type="pct"/>
            <w:vMerge w:val="continue"/>
            <w:tcBorders>
              <w:tl2br w:val="nil"/>
              <w:tr2bl w:val="nil"/>
            </w:tcBorders>
            <w:vAlign w:val="center"/>
          </w:tcPr>
          <w:p w14:paraId="4A5C8DD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270" w:type="pct"/>
            <w:vMerge w:val="continue"/>
            <w:tcBorders>
              <w:tl2br w:val="nil"/>
              <w:tr2bl w:val="nil"/>
            </w:tcBorders>
            <w:vAlign w:val="center"/>
          </w:tcPr>
          <w:p w14:paraId="2CB696F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361" w:type="pct"/>
            <w:vMerge w:val="continue"/>
            <w:tcBorders>
              <w:tl2br w:val="nil"/>
              <w:tr2bl w:val="nil"/>
            </w:tcBorders>
            <w:vAlign w:val="center"/>
          </w:tcPr>
          <w:p w14:paraId="43EA692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441" w:type="pct"/>
            <w:vMerge w:val="continue"/>
            <w:tcBorders>
              <w:tl2br w:val="nil"/>
              <w:tr2bl w:val="nil"/>
            </w:tcBorders>
            <w:vAlign w:val="center"/>
          </w:tcPr>
          <w:p w14:paraId="521E08B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r>
      <w:tr w14:paraId="63A2BB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164" w:type="pct"/>
            <w:tcBorders>
              <w:tl2br w:val="nil"/>
              <w:tr2bl w:val="nil"/>
            </w:tcBorders>
            <w:vAlign w:val="center"/>
          </w:tcPr>
          <w:p w14:paraId="52C3B06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1</w:t>
            </w:r>
          </w:p>
        </w:tc>
        <w:tc>
          <w:tcPr>
            <w:tcW w:w="805" w:type="pct"/>
            <w:tcBorders>
              <w:tl2br w:val="nil"/>
              <w:tr2bl w:val="nil"/>
            </w:tcBorders>
            <w:tcMar>
              <w:left w:w="28" w:type="dxa"/>
              <w:right w:w="28" w:type="dxa"/>
            </w:tcMar>
            <w:vAlign w:val="center"/>
          </w:tcPr>
          <w:p w14:paraId="18699B1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eastAsia"/>
                <w:color w:val="auto"/>
                <w:spacing w:val="0"/>
                <w:w w:val="100"/>
                <w:kern w:val="21"/>
                <w:position w:val="0"/>
                <w:sz w:val="21"/>
              </w:rPr>
              <w:t>DA00</w:t>
            </w:r>
            <w:r>
              <w:rPr>
                <w:rFonts w:hint="eastAsia"/>
                <w:color w:val="auto"/>
                <w:spacing w:val="0"/>
                <w:w w:val="100"/>
                <w:kern w:val="21"/>
                <w:position w:val="0"/>
                <w:sz w:val="21"/>
                <w:lang w:val="en-US" w:eastAsia="zh-CN"/>
              </w:rPr>
              <w:t>1</w:t>
            </w:r>
          </w:p>
        </w:tc>
        <w:tc>
          <w:tcPr>
            <w:tcW w:w="319" w:type="pct"/>
            <w:tcBorders>
              <w:tl2br w:val="nil"/>
              <w:tr2bl w:val="nil"/>
            </w:tcBorders>
            <w:tcMar>
              <w:left w:w="28" w:type="dxa"/>
              <w:right w:w="28" w:type="dxa"/>
            </w:tcMar>
            <w:vAlign w:val="center"/>
          </w:tcPr>
          <w:p w14:paraId="3E5FC35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rPr>
              <w:t>-</w:t>
            </w:r>
            <w:r>
              <w:rPr>
                <w:rFonts w:hint="eastAsia"/>
                <w:color w:val="auto"/>
                <w:spacing w:val="0"/>
                <w:w w:val="100"/>
                <w:kern w:val="21"/>
                <w:position w:val="0"/>
                <w:sz w:val="21"/>
                <w:lang w:val="en-US" w:eastAsia="zh-CN"/>
              </w:rPr>
              <w:t>23</w:t>
            </w:r>
          </w:p>
        </w:tc>
        <w:tc>
          <w:tcPr>
            <w:tcW w:w="397" w:type="pct"/>
            <w:tcBorders>
              <w:tl2br w:val="nil"/>
              <w:tr2bl w:val="nil"/>
            </w:tcBorders>
            <w:tcMar>
              <w:left w:w="28" w:type="dxa"/>
              <w:right w:w="28" w:type="dxa"/>
            </w:tcMar>
            <w:vAlign w:val="center"/>
          </w:tcPr>
          <w:p w14:paraId="62C60AC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rPr>
              <w:t>-</w:t>
            </w:r>
            <w:r>
              <w:rPr>
                <w:rFonts w:hint="eastAsia"/>
                <w:color w:val="auto"/>
                <w:spacing w:val="0"/>
                <w:w w:val="100"/>
                <w:kern w:val="21"/>
                <w:position w:val="0"/>
                <w:sz w:val="21"/>
                <w:lang w:val="en-US" w:eastAsia="zh-CN"/>
              </w:rPr>
              <w:t>11</w:t>
            </w:r>
          </w:p>
        </w:tc>
        <w:tc>
          <w:tcPr>
            <w:tcW w:w="440" w:type="pct"/>
            <w:tcBorders>
              <w:tl2br w:val="nil"/>
              <w:tr2bl w:val="nil"/>
            </w:tcBorders>
            <w:vAlign w:val="center"/>
          </w:tcPr>
          <w:p w14:paraId="75DAE5C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514</w:t>
            </w:r>
          </w:p>
        </w:tc>
        <w:tc>
          <w:tcPr>
            <w:tcW w:w="375" w:type="pct"/>
            <w:tcBorders>
              <w:tl2br w:val="nil"/>
              <w:tr2bl w:val="nil"/>
            </w:tcBorders>
            <w:vAlign w:val="center"/>
          </w:tcPr>
          <w:p w14:paraId="3456D74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color w:val="auto"/>
                <w:spacing w:val="0"/>
                <w:w w:val="100"/>
                <w:kern w:val="21"/>
                <w:position w:val="0"/>
                <w:sz w:val="21"/>
              </w:rPr>
            </w:pPr>
            <w:r>
              <w:rPr>
                <w:rFonts w:hint="default"/>
                <w:color w:val="auto"/>
                <w:spacing w:val="0"/>
                <w:w w:val="100"/>
                <w:kern w:val="21"/>
                <w:position w:val="0"/>
                <w:sz w:val="21"/>
              </w:rPr>
              <w:t>15</w:t>
            </w:r>
          </w:p>
        </w:tc>
        <w:tc>
          <w:tcPr>
            <w:tcW w:w="379" w:type="pct"/>
            <w:tcBorders>
              <w:tl2br w:val="nil"/>
              <w:tr2bl w:val="nil"/>
            </w:tcBorders>
            <w:vAlign w:val="center"/>
          </w:tcPr>
          <w:p w14:paraId="18791C0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0.4</w:t>
            </w:r>
          </w:p>
        </w:tc>
        <w:tc>
          <w:tcPr>
            <w:tcW w:w="660" w:type="dxa"/>
            <w:tcBorders>
              <w:tl2br w:val="nil"/>
              <w:tr2bl w:val="nil"/>
            </w:tcBorders>
            <w:vAlign w:val="center"/>
          </w:tcPr>
          <w:p w14:paraId="03A6D58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color w:val="auto"/>
                <w:spacing w:val="0"/>
                <w:w w:val="100"/>
                <w:kern w:val="21"/>
                <w:position w:val="0"/>
                <w:sz w:val="21"/>
              </w:rPr>
            </w:pPr>
            <w:r>
              <w:rPr>
                <w:rFonts w:hint="eastAsia"/>
                <w:color w:val="auto"/>
                <w:spacing w:val="0"/>
                <w:w w:val="100"/>
                <w:kern w:val="21"/>
                <w:position w:val="0"/>
                <w:sz w:val="21"/>
                <w:lang w:val="en-US" w:eastAsia="zh-CN"/>
              </w:rPr>
              <w:t>15</w:t>
            </w:r>
          </w:p>
        </w:tc>
        <w:tc>
          <w:tcPr>
            <w:tcW w:w="335" w:type="pct"/>
            <w:tcBorders>
              <w:tl2br w:val="nil"/>
              <w:tr2bl w:val="nil"/>
            </w:tcBorders>
            <w:vAlign w:val="center"/>
          </w:tcPr>
          <w:p w14:paraId="4666764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环境温度</w:t>
            </w:r>
          </w:p>
        </w:tc>
        <w:tc>
          <w:tcPr>
            <w:tcW w:w="373" w:type="pct"/>
            <w:tcBorders>
              <w:tl2br w:val="nil"/>
              <w:tr2bl w:val="nil"/>
            </w:tcBorders>
            <w:vAlign w:val="center"/>
          </w:tcPr>
          <w:p w14:paraId="5F8CC72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eastAsia"/>
                <w:color w:val="auto"/>
                <w:spacing w:val="0"/>
                <w:w w:val="100"/>
                <w:kern w:val="21"/>
                <w:position w:val="0"/>
                <w:sz w:val="21"/>
                <w:lang w:val="en-US" w:eastAsia="zh-CN"/>
              </w:rPr>
              <w:t>4800</w:t>
            </w:r>
          </w:p>
        </w:tc>
        <w:tc>
          <w:tcPr>
            <w:tcW w:w="270" w:type="pct"/>
            <w:tcBorders>
              <w:tl2br w:val="nil"/>
              <w:tr2bl w:val="nil"/>
            </w:tcBorders>
            <w:tcMar>
              <w:left w:w="28" w:type="dxa"/>
              <w:right w:w="28" w:type="dxa"/>
            </w:tcMar>
            <w:vAlign w:val="center"/>
          </w:tcPr>
          <w:p w14:paraId="070D6C1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正常</w:t>
            </w:r>
          </w:p>
        </w:tc>
        <w:tc>
          <w:tcPr>
            <w:tcW w:w="361" w:type="pct"/>
            <w:tcBorders>
              <w:tl2br w:val="nil"/>
              <w:tr2bl w:val="nil"/>
            </w:tcBorders>
            <w:tcMar>
              <w:left w:w="0" w:type="dxa"/>
              <w:right w:w="0" w:type="dxa"/>
            </w:tcMar>
            <w:vAlign w:val="center"/>
          </w:tcPr>
          <w:p w14:paraId="22BB298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PM</w:t>
            </w:r>
            <w:r>
              <w:rPr>
                <w:rFonts w:hint="eastAsia"/>
                <w:color w:val="auto"/>
                <w:spacing w:val="0"/>
                <w:w w:val="100"/>
                <w:kern w:val="21"/>
                <w:position w:val="0"/>
                <w:sz w:val="21"/>
                <w:vertAlign w:val="subscript"/>
                <w:lang w:val="en-US" w:eastAsia="zh-CN"/>
              </w:rPr>
              <w:t>10</w:t>
            </w:r>
          </w:p>
        </w:tc>
        <w:tc>
          <w:tcPr>
            <w:tcW w:w="441" w:type="pct"/>
            <w:tcBorders>
              <w:tl2br w:val="nil"/>
              <w:tr2bl w:val="nil"/>
            </w:tcBorders>
            <w:vAlign w:val="center"/>
          </w:tcPr>
          <w:p w14:paraId="13863EC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0.055</w:t>
            </w:r>
          </w:p>
        </w:tc>
      </w:tr>
      <w:tr w14:paraId="165692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164" w:type="pct"/>
            <w:tcBorders>
              <w:tl2br w:val="nil"/>
              <w:tr2bl w:val="nil"/>
            </w:tcBorders>
            <w:vAlign w:val="center"/>
          </w:tcPr>
          <w:p w14:paraId="17978F6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eastAsia"/>
                <w:color w:val="auto"/>
                <w:spacing w:val="0"/>
                <w:w w:val="100"/>
                <w:kern w:val="21"/>
                <w:position w:val="0"/>
                <w:sz w:val="21"/>
              </w:rPr>
              <w:t>2</w:t>
            </w:r>
          </w:p>
        </w:tc>
        <w:tc>
          <w:tcPr>
            <w:tcW w:w="805" w:type="pct"/>
            <w:tcBorders>
              <w:tl2br w:val="nil"/>
              <w:tr2bl w:val="nil"/>
            </w:tcBorders>
            <w:tcMar>
              <w:left w:w="28" w:type="dxa"/>
              <w:right w:w="28" w:type="dxa"/>
            </w:tcMar>
            <w:vAlign w:val="center"/>
          </w:tcPr>
          <w:p w14:paraId="5CB94AF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eastAsia" w:eastAsia="宋体"/>
                <w:color w:val="auto"/>
                <w:spacing w:val="0"/>
                <w:w w:val="100"/>
                <w:kern w:val="21"/>
                <w:position w:val="0"/>
                <w:sz w:val="21"/>
                <w:lang w:val="en-US" w:eastAsia="zh-CN"/>
              </w:rPr>
            </w:pPr>
            <w:r>
              <w:rPr>
                <w:rFonts w:hint="default"/>
                <w:color w:val="auto"/>
                <w:spacing w:val="0"/>
                <w:w w:val="100"/>
                <w:kern w:val="21"/>
                <w:position w:val="0"/>
                <w:sz w:val="21"/>
              </w:rPr>
              <w:t>DA00</w:t>
            </w:r>
            <w:r>
              <w:rPr>
                <w:rFonts w:hint="eastAsia"/>
                <w:color w:val="auto"/>
                <w:spacing w:val="0"/>
                <w:w w:val="100"/>
                <w:kern w:val="21"/>
                <w:position w:val="0"/>
                <w:sz w:val="21"/>
                <w:lang w:val="en-US" w:eastAsia="zh-CN"/>
              </w:rPr>
              <w:t>2</w:t>
            </w:r>
          </w:p>
        </w:tc>
        <w:tc>
          <w:tcPr>
            <w:tcW w:w="319" w:type="pct"/>
            <w:tcBorders>
              <w:tl2br w:val="nil"/>
              <w:tr2bl w:val="nil"/>
            </w:tcBorders>
            <w:tcMar>
              <w:left w:w="28" w:type="dxa"/>
              <w:right w:w="28" w:type="dxa"/>
            </w:tcMar>
            <w:vAlign w:val="center"/>
          </w:tcPr>
          <w:p w14:paraId="749ED0D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rPr>
              <w:t>-</w:t>
            </w:r>
            <w:r>
              <w:rPr>
                <w:rFonts w:hint="eastAsia"/>
                <w:color w:val="auto"/>
                <w:spacing w:val="0"/>
                <w:w w:val="100"/>
                <w:kern w:val="21"/>
                <w:position w:val="0"/>
                <w:sz w:val="21"/>
                <w:lang w:val="en-US" w:eastAsia="zh-CN"/>
              </w:rPr>
              <w:t>40</w:t>
            </w:r>
          </w:p>
        </w:tc>
        <w:tc>
          <w:tcPr>
            <w:tcW w:w="397" w:type="pct"/>
            <w:tcBorders>
              <w:tl2br w:val="nil"/>
              <w:tr2bl w:val="nil"/>
            </w:tcBorders>
            <w:tcMar>
              <w:left w:w="28" w:type="dxa"/>
              <w:right w:w="28" w:type="dxa"/>
            </w:tcMar>
            <w:vAlign w:val="center"/>
          </w:tcPr>
          <w:p w14:paraId="29A5E67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eastAsia" w:eastAsia="宋体"/>
                <w:color w:val="auto"/>
                <w:spacing w:val="0"/>
                <w:w w:val="100"/>
                <w:kern w:val="21"/>
                <w:position w:val="0"/>
                <w:sz w:val="21"/>
                <w:lang w:val="en-US" w:eastAsia="zh-CN"/>
              </w:rPr>
            </w:pPr>
            <w:r>
              <w:rPr>
                <w:rFonts w:hint="eastAsia"/>
                <w:color w:val="auto"/>
                <w:spacing w:val="0"/>
                <w:w w:val="100"/>
                <w:kern w:val="21"/>
                <w:position w:val="0"/>
                <w:sz w:val="21"/>
              </w:rPr>
              <w:t>-</w:t>
            </w:r>
            <w:r>
              <w:rPr>
                <w:rFonts w:hint="eastAsia"/>
                <w:color w:val="auto"/>
                <w:spacing w:val="0"/>
                <w:w w:val="100"/>
                <w:kern w:val="21"/>
                <w:position w:val="0"/>
                <w:sz w:val="21"/>
                <w:lang w:val="en-US" w:eastAsia="zh-CN"/>
              </w:rPr>
              <w:t>9</w:t>
            </w:r>
          </w:p>
        </w:tc>
        <w:tc>
          <w:tcPr>
            <w:tcW w:w="440" w:type="pct"/>
            <w:tcBorders>
              <w:tl2br w:val="nil"/>
              <w:tr2bl w:val="nil"/>
            </w:tcBorders>
            <w:vAlign w:val="center"/>
          </w:tcPr>
          <w:p w14:paraId="494BF54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514</w:t>
            </w:r>
          </w:p>
        </w:tc>
        <w:tc>
          <w:tcPr>
            <w:tcW w:w="375" w:type="pct"/>
            <w:tcBorders>
              <w:tl2br w:val="nil"/>
              <w:tr2bl w:val="nil"/>
            </w:tcBorders>
            <w:vAlign w:val="center"/>
          </w:tcPr>
          <w:p w14:paraId="566A6B8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baseline"/>
              <w:rPr>
                <w:rFonts w:hint="default"/>
                <w:color w:val="auto"/>
                <w:spacing w:val="0"/>
                <w:w w:val="100"/>
                <w:kern w:val="21"/>
                <w:position w:val="0"/>
                <w:sz w:val="21"/>
              </w:rPr>
            </w:pPr>
            <w:r>
              <w:rPr>
                <w:rFonts w:hint="default"/>
                <w:color w:val="auto"/>
                <w:spacing w:val="0"/>
                <w:w w:val="100"/>
                <w:kern w:val="21"/>
                <w:position w:val="0"/>
                <w:sz w:val="21"/>
              </w:rPr>
              <w:t>15</w:t>
            </w:r>
          </w:p>
        </w:tc>
        <w:tc>
          <w:tcPr>
            <w:tcW w:w="379" w:type="pct"/>
            <w:tcBorders>
              <w:tl2br w:val="nil"/>
              <w:tr2bl w:val="nil"/>
            </w:tcBorders>
            <w:vAlign w:val="center"/>
          </w:tcPr>
          <w:p w14:paraId="7C279DE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eastAsia" w:eastAsia="宋体"/>
                <w:color w:val="auto"/>
                <w:spacing w:val="0"/>
                <w:w w:val="100"/>
                <w:kern w:val="21"/>
                <w:position w:val="0"/>
                <w:sz w:val="21"/>
                <w:lang w:val="en-US" w:eastAsia="zh-CN"/>
              </w:rPr>
            </w:pPr>
            <w:r>
              <w:rPr>
                <w:rFonts w:hint="default"/>
                <w:color w:val="auto"/>
                <w:spacing w:val="0"/>
                <w:w w:val="100"/>
                <w:kern w:val="21"/>
                <w:position w:val="0"/>
                <w:sz w:val="21"/>
              </w:rPr>
              <w:t>0.</w:t>
            </w:r>
            <w:r>
              <w:rPr>
                <w:rFonts w:hint="eastAsia"/>
                <w:color w:val="auto"/>
                <w:lang w:val="en-US" w:eastAsia="zh-CN"/>
              </w:rPr>
              <w:t>6</w:t>
            </w:r>
          </w:p>
        </w:tc>
        <w:tc>
          <w:tcPr>
            <w:tcW w:w="660" w:type="dxa"/>
            <w:tcBorders>
              <w:tl2br w:val="nil"/>
              <w:tr2bl w:val="nil"/>
            </w:tcBorders>
            <w:vAlign w:val="center"/>
          </w:tcPr>
          <w:p w14:paraId="14CAC11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color w:val="auto"/>
                <w:spacing w:val="0"/>
                <w:w w:val="100"/>
                <w:kern w:val="21"/>
                <w:position w:val="0"/>
                <w:sz w:val="21"/>
              </w:rPr>
            </w:pPr>
            <w:r>
              <w:rPr>
                <w:rFonts w:hint="eastAsia"/>
                <w:color w:val="auto"/>
                <w:spacing w:val="0"/>
                <w:w w:val="100"/>
                <w:kern w:val="21"/>
                <w:position w:val="0"/>
                <w:sz w:val="21"/>
                <w:lang w:val="en-US" w:eastAsia="zh-CN"/>
              </w:rPr>
              <w:t>15</w:t>
            </w:r>
          </w:p>
        </w:tc>
        <w:tc>
          <w:tcPr>
            <w:tcW w:w="335" w:type="pct"/>
            <w:tcBorders>
              <w:tl2br w:val="nil"/>
              <w:tr2bl w:val="nil"/>
            </w:tcBorders>
            <w:vAlign w:val="center"/>
          </w:tcPr>
          <w:p w14:paraId="38D0A9A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环境温度</w:t>
            </w:r>
          </w:p>
        </w:tc>
        <w:tc>
          <w:tcPr>
            <w:tcW w:w="373" w:type="pct"/>
            <w:tcBorders>
              <w:tl2br w:val="nil"/>
              <w:tr2bl w:val="nil"/>
            </w:tcBorders>
            <w:vAlign w:val="center"/>
          </w:tcPr>
          <w:p w14:paraId="5DDE89A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4800</w:t>
            </w:r>
          </w:p>
        </w:tc>
        <w:tc>
          <w:tcPr>
            <w:tcW w:w="270" w:type="pct"/>
            <w:tcBorders>
              <w:tl2br w:val="nil"/>
              <w:tr2bl w:val="nil"/>
            </w:tcBorders>
            <w:tcMar>
              <w:left w:w="28" w:type="dxa"/>
              <w:right w:w="28" w:type="dxa"/>
            </w:tcMar>
            <w:vAlign w:val="center"/>
          </w:tcPr>
          <w:p w14:paraId="5967299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正常</w:t>
            </w:r>
          </w:p>
        </w:tc>
        <w:tc>
          <w:tcPr>
            <w:tcW w:w="361" w:type="pct"/>
            <w:tcBorders>
              <w:tl2br w:val="nil"/>
              <w:tr2bl w:val="nil"/>
            </w:tcBorders>
            <w:shd w:val="clear" w:color="auto" w:fill="auto"/>
            <w:tcMar>
              <w:left w:w="0" w:type="dxa"/>
              <w:right w:w="0" w:type="dxa"/>
            </w:tcMar>
            <w:vAlign w:val="center"/>
          </w:tcPr>
          <w:p w14:paraId="7DFF5F6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heme="minorBidi"/>
                <w:color w:val="auto"/>
                <w:spacing w:val="0"/>
                <w:w w:val="100"/>
                <w:kern w:val="21"/>
                <w:position w:val="0"/>
                <w:sz w:val="21"/>
                <w:szCs w:val="24"/>
                <w:lang w:val="en-US" w:eastAsia="zh-CN" w:bidi="ar-SA"/>
              </w:rPr>
            </w:pPr>
            <w:r>
              <w:rPr>
                <w:rFonts w:hint="default"/>
                <w:color w:val="auto"/>
                <w:spacing w:val="0"/>
                <w:w w:val="100"/>
                <w:kern w:val="21"/>
                <w:position w:val="0"/>
                <w:sz w:val="21"/>
              </w:rPr>
              <w:t>非甲烷总烃</w:t>
            </w:r>
          </w:p>
        </w:tc>
        <w:tc>
          <w:tcPr>
            <w:tcW w:w="441" w:type="pct"/>
            <w:tcBorders>
              <w:tl2br w:val="nil"/>
              <w:tr2bl w:val="nil"/>
            </w:tcBorders>
            <w:shd w:val="clear" w:color="auto" w:fill="auto"/>
            <w:vAlign w:val="center"/>
          </w:tcPr>
          <w:p w14:paraId="30CE9BA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heme="minorBidi"/>
                <w:color w:val="auto"/>
                <w:spacing w:val="0"/>
                <w:w w:val="100"/>
                <w:kern w:val="21"/>
                <w:position w:val="0"/>
                <w:sz w:val="21"/>
                <w:szCs w:val="24"/>
                <w:lang w:val="en-US" w:eastAsia="zh-CN" w:bidi="ar-SA"/>
              </w:rPr>
            </w:pPr>
            <w:r>
              <w:rPr>
                <w:rFonts w:hint="eastAsia"/>
                <w:color w:val="auto"/>
                <w:spacing w:val="0"/>
                <w:w w:val="100"/>
                <w:kern w:val="21"/>
                <w:position w:val="0"/>
                <w:sz w:val="21"/>
                <w:lang w:val="en-US" w:eastAsia="zh-CN"/>
              </w:rPr>
              <w:t>0.462</w:t>
            </w:r>
          </w:p>
        </w:tc>
      </w:tr>
    </w:tbl>
    <w:p w14:paraId="71CEB158">
      <w:pPr>
        <w:pStyle w:val="59"/>
        <w:keepNext w:val="0"/>
        <w:keepLines w:val="0"/>
        <w:pageBreakBefore w:val="0"/>
        <w:widowControl w:val="0"/>
        <w:kinsoku/>
        <w:wordWrap/>
        <w:overflowPunct/>
        <w:topLinePunct w:val="0"/>
        <w:autoSpaceDE/>
        <w:autoSpaceDN/>
        <w:bidi w:val="0"/>
        <w:spacing w:before="120" w:beforeLines="50"/>
        <w:jc w:val="center"/>
        <w:rPr>
          <w:rFonts w:ascii="Times New Roman" w:hAnsi="Times New Roman" w:eastAsia="宋体"/>
          <w:b/>
          <w:bCs/>
          <w:color w:val="auto"/>
          <w:spacing w:val="0"/>
          <w:w w:val="100"/>
          <w:kern w:val="21"/>
          <w:position w:val="0"/>
          <w:sz w:val="21"/>
          <w:szCs w:val="21"/>
        </w:rPr>
      </w:pPr>
      <w:r>
        <w:rPr>
          <w:rFonts w:ascii="Times New Roman" w:hAnsi="Times New Roman" w:eastAsia="宋体"/>
          <w:b/>
          <w:bCs/>
          <w:color w:val="auto"/>
          <w:spacing w:val="0"/>
          <w:w w:val="100"/>
          <w:kern w:val="21"/>
          <w:position w:val="0"/>
          <w:sz w:val="21"/>
          <w:szCs w:val="21"/>
        </w:rPr>
        <w:t>表5.2</w:t>
      </w:r>
      <w:r>
        <w:rPr>
          <w:rFonts w:hint="eastAsia" w:ascii="Times New Roman" w:hAnsi="Times New Roman" w:eastAsia="宋体"/>
          <w:b/>
          <w:bCs/>
          <w:color w:val="auto"/>
          <w:spacing w:val="0"/>
          <w:w w:val="100"/>
          <w:kern w:val="21"/>
          <w:position w:val="0"/>
          <w:sz w:val="21"/>
          <w:szCs w:val="21"/>
          <w:lang w:val="en-US" w:eastAsia="zh-CN"/>
        </w:rPr>
        <w:t>.1</w:t>
      </w:r>
      <w:r>
        <w:rPr>
          <w:rFonts w:ascii="Times New Roman" w:hAnsi="Times New Roman" w:eastAsia="宋体"/>
          <w:b/>
          <w:bCs/>
          <w:color w:val="auto"/>
          <w:spacing w:val="0"/>
          <w:w w:val="100"/>
          <w:kern w:val="21"/>
          <w:position w:val="0"/>
          <w:sz w:val="21"/>
          <w:szCs w:val="21"/>
        </w:rPr>
        <w:t>-3  面源无组织估算模式录入参数</w:t>
      </w:r>
    </w:p>
    <w:tbl>
      <w:tblPr>
        <w:tblStyle w:val="25"/>
        <w:tblW w:w="911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375"/>
        <w:gridCol w:w="1019"/>
        <w:gridCol w:w="569"/>
        <w:gridCol w:w="453"/>
        <w:gridCol w:w="621"/>
        <w:gridCol w:w="621"/>
        <w:gridCol w:w="520"/>
        <w:gridCol w:w="1263"/>
        <w:gridCol w:w="1124"/>
        <w:gridCol w:w="683"/>
        <w:gridCol w:w="1140"/>
        <w:gridCol w:w="724"/>
      </w:tblGrid>
      <w:tr w14:paraId="599A63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0" w:type="auto"/>
            <w:vMerge w:val="restart"/>
            <w:tcBorders>
              <w:tl2br w:val="nil"/>
              <w:tr2bl w:val="nil"/>
            </w:tcBorders>
            <w:vAlign w:val="center"/>
          </w:tcPr>
          <w:p w14:paraId="7F6A55F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编号</w:t>
            </w:r>
          </w:p>
        </w:tc>
        <w:tc>
          <w:tcPr>
            <w:tcW w:w="0" w:type="auto"/>
            <w:vMerge w:val="restart"/>
            <w:tcBorders>
              <w:tl2br w:val="nil"/>
              <w:tr2bl w:val="nil"/>
            </w:tcBorders>
            <w:vAlign w:val="center"/>
          </w:tcPr>
          <w:p w14:paraId="03AA299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名称</w:t>
            </w:r>
          </w:p>
        </w:tc>
        <w:tc>
          <w:tcPr>
            <w:tcW w:w="1022" w:type="dxa"/>
            <w:gridSpan w:val="2"/>
            <w:tcBorders>
              <w:tl2br w:val="nil"/>
              <w:tr2bl w:val="nil"/>
            </w:tcBorders>
            <w:vAlign w:val="center"/>
          </w:tcPr>
          <w:p w14:paraId="6527C45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面源起点坐标/经纬度坐标</w:t>
            </w:r>
          </w:p>
        </w:tc>
        <w:tc>
          <w:tcPr>
            <w:tcW w:w="0" w:type="auto"/>
            <w:vMerge w:val="restart"/>
            <w:tcBorders>
              <w:tl2br w:val="nil"/>
              <w:tr2bl w:val="nil"/>
            </w:tcBorders>
            <w:vAlign w:val="center"/>
          </w:tcPr>
          <w:p w14:paraId="519C432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面源海拔/m</w:t>
            </w:r>
          </w:p>
        </w:tc>
        <w:tc>
          <w:tcPr>
            <w:tcW w:w="0" w:type="auto"/>
            <w:vMerge w:val="restart"/>
            <w:tcBorders>
              <w:tl2br w:val="nil"/>
              <w:tr2bl w:val="nil"/>
            </w:tcBorders>
            <w:vAlign w:val="center"/>
          </w:tcPr>
          <w:p w14:paraId="08BEFB7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长度/m</w:t>
            </w:r>
          </w:p>
        </w:tc>
        <w:tc>
          <w:tcPr>
            <w:tcW w:w="0" w:type="auto"/>
            <w:vMerge w:val="restart"/>
            <w:tcBorders>
              <w:tl2br w:val="nil"/>
              <w:tr2bl w:val="nil"/>
            </w:tcBorders>
            <w:vAlign w:val="center"/>
          </w:tcPr>
          <w:p w14:paraId="7334D09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宽度/m</w:t>
            </w:r>
          </w:p>
        </w:tc>
        <w:tc>
          <w:tcPr>
            <w:tcW w:w="0" w:type="auto"/>
            <w:vMerge w:val="restart"/>
            <w:tcBorders>
              <w:tl2br w:val="nil"/>
              <w:tr2bl w:val="nil"/>
            </w:tcBorders>
            <w:vAlign w:val="center"/>
          </w:tcPr>
          <w:p w14:paraId="327DE36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正北方向逆时针的夹角</w:t>
            </w:r>
          </w:p>
          <w:p w14:paraId="647A2D9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（度）</w:t>
            </w:r>
          </w:p>
        </w:tc>
        <w:tc>
          <w:tcPr>
            <w:tcW w:w="0" w:type="auto"/>
            <w:vMerge w:val="restart"/>
            <w:tcBorders>
              <w:tl2br w:val="nil"/>
              <w:tr2bl w:val="nil"/>
            </w:tcBorders>
            <w:vAlign w:val="center"/>
          </w:tcPr>
          <w:p w14:paraId="2AA164E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面源有效排放高度</w:t>
            </w:r>
          </w:p>
          <w:p w14:paraId="6D4A1B5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（m）</w:t>
            </w:r>
          </w:p>
        </w:tc>
        <w:tc>
          <w:tcPr>
            <w:tcW w:w="0" w:type="auto"/>
            <w:vMerge w:val="restart"/>
            <w:tcBorders>
              <w:tl2br w:val="nil"/>
              <w:tr2bl w:val="nil"/>
            </w:tcBorders>
            <w:vAlign w:val="center"/>
          </w:tcPr>
          <w:p w14:paraId="7144A68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排放工况</w:t>
            </w:r>
          </w:p>
        </w:tc>
        <w:tc>
          <w:tcPr>
            <w:tcW w:w="1864" w:type="dxa"/>
            <w:gridSpan w:val="2"/>
            <w:tcBorders>
              <w:tl2br w:val="nil"/>
              <w:tr2bl w:val="nil"/>
            </w:tcBorders>
            <w:vAlign w:val="center"/>
          </w:tcPr>
          <w:p w14:paraId="4891FB4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排放速率</w:t>
            </w:r>
          </w:p>
          <w:p w14:paraId="3EAD56B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（kg/h）</w:t>
            </w:r>
          </w:p>
        </w:tc>
      </w:tr>
      <w:tr w14:paraId="66D7F2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0" w:type="auto"/>
            <w:vMerge w:val="continue"/>
            <w:tcBorders>
              <w:tl2br w:val="nil"/>
              <w:tr2bl w:val="nil"/>
            </w:tcBorders>
            <w:vAlign w:val="center"/>
          </w:tcPr>
          <w:p w14:paraId="546AB03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p>
        </w:tc>
        <w:tc>
          <w:tcPr>
            <w:tcW w:w="0" w:type="auto"/>
            <w:vMerge w:val="continue"/>
            <w:tcBorders>
              <w:tl2br w:val="nil"/>
              <w:tr2bl w:val="nil"/>
            </w:tcBorders>
            <w:vAlign w:val="center"/>
          </w:tcPr>
          <w:p w14:paraId="5168CA4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p>
        </w:tc>
        <w:tc>
          <w:tcPr>
            <w:tcW w:w="569" w:type="dxa"/>
            <w:tcBorders>
              <w:tl2br w:val="nil"/>
              <w:tr2bl w:val="nil"/>
            </w:tcBorders>
            <w:vAlign w:val="center"/>
          </w:tcPr>
          <w:p w14:paraId="42DE278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X</w:t>
            </w:r>
          </w:p>
        </w:tc>
        <w:tc>
          <w:tcPr>
            <w:tcW w:w="453" w:type="dxa"/>
            <w:tcBorders>
              <w:tl2br w:val="nil"/>
              <w:tr2bl w:val="nil"/>
            </w:tcBorders>
            <w:vAlign w:val="center"/>
          </w:tcPr>
          <w:p w14:paraId="6B8CD78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Y</w:t>
            </w:r>
          </w:p>
        </w:tc>
        <w:tc>
          <w:tcPr>
            <w:tcW w:w="0" w:type="auto"/>
            <w:vMerge w:val="continue"/>
            <w:tcBorders>
              <w:tl2br w:val="nil"/>
              <w:tr2bl w:val="nil"/>
            </w:tcBorders>
            <w:vAlign w:val="center"/>
          </w:tcPr>
          <w:p w14:paraId="5C98547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p>
        </w:tc>
        <w:tc>
          <w:tcPr>
            <w:tcW w:w="0" w:type="auto"/>
            <w:vMerge w:val="continue"/>
            <w:tcBorders>
              <w:tl2br w:val="nil"/>
              <w:tr2bl w:val="nil"/>
            </w:tcBorders>
            <w:vAlign w:val="center"/>
          </w:tcPr>
          <w:p w14:paraId="7B908F8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p>
        </w:tc>
        <w:tc>
          <w:tcPr>
            <w:tcW w:w="0" w:type="auto"/>
            <w:vMerge w:val="continue"/>
            <w:tcBorders>
              <w:tl2br w:val="nil"/>
              <w:tr2bl w:val="nil"/>
            </w:tcBorders>
            <w:vAlign w:val="center"/>
          </w:tcPr>
          <w:p w14:paraId="780D013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p>
        </w:tc>
        <w:tc>
          <w:tcPr>
            <w:tcW w:w="0" w:type="auto"/>
            <w:vMerge w:val="continue"/>
            <w:tcBorders>
              <w:tl2br w:val="nil"/>
              <w:tr2bl w:val="nil"/>
            </w:tcBorders>
            <w:vAlign w:val="center"/>
          </w:tcPr>
          <w:p w14:paraId="325CD5F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p>
        </w:tc>
        <w:tc>
          <w:tcPr>
            <w:tcW w:w="0" w:type="auto"/>
            <w:vMerge w:val="continue"/>
            <w:tcBorders>
              <w:tl2br w:val="nil"/>
              <w:tr2bl w:val="nil"/>
            </w:tcBorders>
            <w:vAlign w:val="center"/>
          </w:tcPr>
          <w:p w14:paraId="51657DE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p>
        </w:tc>
        <w:tc>
          <w:tcPr>
            <w:tcW w:w="0" w:type="auto"/>
            <w:vMerge w:val="continue"/>
            <w:tcBorders>
              <w:tl2br w:val="nil"/>
              <w:tr2bl w:val="nil"/>
            </w:tcBorders>
            <w:vAlign w:val="center"/>
          </w:tcPr>
          <w:p w14:paraId="1307EF6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p>
        </w:tc>
        <w:tc>
          <w:tcPr>
            <w:tcW w:w="1140" w:type="dxa"/>
            <w:tcBorders>
              <w:tl2br w:val="nil"/>
              <w:tr2bl w:val="nil"/>
            </w:tcBorders>
            <w:vAlign w:val="center"/>
          </w:tcPr>
          <w:p w14:paraId="3022C0C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颗粒物</w:t>
            </w:r>
          </w:p>
        </w:tc>
        <w:tc>
          <w:tcPr>
            <w:tcW w:w="724" w:type="dxa"/>
            <w:tcBorders>
              <w:tl2br w:val="nil"/>
              <w:tr2bl w:val="nil"/>
            </w:tcBorders>
            <w:vAlign w:val="center"/>
          </w:tcPr>
          <w:p w14:paraId="2333050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非甲烷总烃</w:t>
            </w:r>
          </w:p>
        </w:tc>
      </w:tr>
      <w:tr w14:paraId="049982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375" w:type="dxa"/>
            <w:tcBorders>
              <w:tl2br w:val="nil"/>
              <w:tr2bl w:val="nil"/>
            </w:tcBorders>
            <w:vAlign w:val="center"/>
          </w:tcPr>
          <w:p w14:paraId="4299535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1</w:t>
            </w:r>
          </w:p>
        </w:tc>
        <w:tc>
          <w:tcPr>
            <w:tcW w:w="1019" w:type="dxa"/>
            <w:tcBorders>
              <w:tl2br w:val="nil"/>
              <w:tr2bl w:val="nil"/>
            </w:tcBorders>
            <w:vAlign w:val="center"/>
          </w:tcPr>
          <w:p w14:paraId="5989350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生产车间</w:t>
            </w:r>
          </w:p>
        </w:tc>
        <w:tc>
          <w:tcPr>
            <w:tcW w:w="569" w:type="dxa"/>
            <w:tcBorders>
              <w:tl2br w:val="nil"/>
              <w:tr2bl w:val="nil"/>
            </w:tcBorders>
            <w:vAlign w:val="center"/>
          </w:tcPr>
          <w:p w14:paraId="595CD4F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-51</w:t>
            </w:r>
          </w:p>
        </w:tc>
        <w:tc>
          <w:tcPr>
            <w:tcW w:w="453" w:type="dxa"/>
            <w:tcBorders>
              <w:tl2br w:val="nil"/>
              <w:tr2bl w:val="nil"/>
            </w:tcBorders>
            <w:vAlign w:val="center"/>
          </w:tcPr>
          <w:p w14:paraId="09E6C2E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color w:val="auto"/>
                <w:spacing w:val="0"/>
                <w:w w:val="100"/>
                <w:kern w:val="21"/>
                <w:position w:val="0"/>
                <w:sz w:val="21"/>
              </w:rPr>
            </w:pPr>
            <w:r>
              <w:rPr>
                <w:rFonts w:hint="eastAsia"/>
                <w:color w:val="auto"/>
                <w:spacing w:val="0"/>
                <w:w w:val="100"/>
                <w:kern w:val="21"/>
                <w:position w:val="0"/>
                <w:sz w:val="21"/>
                <w:lang w:val="en-US" w:eastAsia="zh-CN"/>
              </w:rPr>
              <w:t>4</w:t>
            </w:r>
            <w:r>
              <w:rPr>
                <w:rFonts w:hint="eastAsia"/>
                <w:color w:val="auto"/>
                <w:spacing w:val="0"/>
                <w:w w:val="100"/>
                <w:kern w:val="21"/>
                <w:position w:val="0"/>
                <w:sz w:val="21"/>
              </w:rPr>
              <w:t>9</w:t>
            </w:r>
          </w:p>
        </w:tc>
        <w:tc>
          <w:tcPr>
            <w:tcW w:w="621" w:type="dxa"/>
            <w:tcBorders>
              <w:tl2br w:val="nil"/>
              <w:tr2bl w:val="nil"/>
            </w:tcBorders>
            <w:vAlign w:val="center"/>
          </w:tcPr>
          <w:p w14:paraId="5733EF1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514</w:t>
            </w:r>
          </w:p>
        </w:tc>
        <w:tc>
          <w:tcPr>
            <w:tcW w:w="621" w:type="dxa"/>
            <w:tcBorders>
              <w:tl2br w:val="nil"/>
              <w:tr2bl w:val="nil"/>
            </w:tcBorders>
            <w:vAlign w:val="center"/>
          </w:tcPr>
          <w:p w14:paraId="2CB0A31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140</w:t>
            </w:r>
          </w:p>
        </w:tc>
        <w:tc>
          <w:tcPr>
            <w:tcW w:w="520" w:type="dxa"/>
            <w:tcBorders>
              <w:tl2br w:val="nil"/>
              <w:tr2bl w:val="nil"/>
            </w:tcBorders>
            <w:vAlign w:val="center"/>
          </w:tcPr>
          <w:p w14:paraId="2F66A6E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color w:val="auto"/>
                <w:spacing w:val="0"/>
                <w:w w:val="100"/>
                <w:kern w:val="21"/>
                <w:position w:val="0"/>
                <w:sz w:val="21"/>
              </w:rPr>
            </w:pPr>
            <w:r>
              <w:rPr>
                <w:rFonts w:hint="eastAsia"/>
                <w:color w:val="auto"/>
                <w:spacing w:val="0"/>
                <w:w w:val="100"/>
                <w:kern w:val="21"/>
                <w:position w:val="0"/>
                <w:sz w:val="21"/>
                <w:lang w:val="en-US" w:eastAsia="zh-CN"/>
              </w:rPr>
              <w:t>2</w:t>
            </w:r>
            <w:r>
              <w:rPr>
                <w:rFonts w:hint="eastAsia"/>
                <w:color w:val="auto"/>
                <w:spacing w:val="0"/>
                <w:w w:val="100"/>
                <w:kern w:val="21"/>
                <w:position w:val="0"/>
                <w:sz w:val="21"/>
              </w:rPr>
              <w:t>0</w:t>
            </w:r>
          </w:p>
        </w:tc>
        <w:tc>
          <w:tcPr>
            <w:tcW w:w="1263" w:type="dxa"/>
            <w:tcBorders>
              <w:tl2br w:val="nil"/>
              <w:tr2bl w:val="nil"/>
            </w:tcBorders>
            <w:vAlign w:val="center"/>
          </w:tcPr>
          <w:p w14:paraId="7E7115A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0</w:t>
            </w:r>
          </w:p>
        </w:tc>
        <w:tc>
          <w:tcPr>
            <w:tcW w:w="1124" w:type="dxa"/>
            <w:tcBorders>
              <w:tl2br w:val="nil"/>
              <w:tr2bl w:val="nil"/>
            </w:tcBorders>
            <w:vAlign w:val="center"/>
          </w:tcPr>
          <w:p w14:paraId="5492003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eastAsia" w:eastAsia="宋体"/>
                <w:color w:val="auto"/>
                <w:spacing w:val="0"/>
                <w:w w:val="100"/>
                <w:kern w:val="21"/>
                <w:position w:val="0"/>
                <w:sz w:val="21"/>
                <w:lang w:val="en-US" w:eastAsia="zh-CN"/>
              </w:rPr>
            </w:pPr>
            <w:r>
              <w:rPr>
                <w:rFonts w:hint="default"/>
                <w:color w:val="auto"/>
                <w:spacing w:val="0"/>
                <w:w w:val="100"/>
                <w:kern w:val="21"/>
                <w:position w:val="0"/>
                <w:sz w:val="21"/>
              </w:rPr>
              <w:t>1</w:t>
            </w:r>
            <w:r>
              <w:rPr>
                <w:rFonts w:hint="eastAsia"/>
                <w:color w:val="auto"/>
                <w:spacing w:val="0"/>
                <w:w w:val="100"/>
                <w:kern w:val="21"/>
                <w:position w:val="0"/>
                <w:sz w:val="21"/>
                <w:lang w:val="en-US" w:eastAsia="zh-CN"/>
              </w:rPr>
              <w:t>2</w:t>
            </w:r>
          </w:p>
        </w:tc>
        <w:tc>
          <w:tcPr>
            <w:tcW w:w="683" w:type="dxa"/>
            <w:tcBorders>
              <w:tl2br w:val="nil"/>
              <w:tr2bl w:val="nil"/>
            </w:tcBorders>
            <w:vAlign w:val="center"/>
          </w:tcPr>
          <w:p w14:paraId="03DDC44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正常</w:t>
            </w:r>
          </w:p>
        </w:tc>
        <w:tc>
          <w:tcPr>
            <w:tcW w:w="1140" w:type="dxa"/>
            <w:tcBorders>
              <w:tl2br w:val="nil"/>
              <w:tr2bl w:val="nil"/>
            </w:tcBorders>
            <w:vAlign w:val="center"/>
          </w:tcPr>
          <w:p w14:paraId="66C1D465">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0.306</w:t>
            </w:r>
          </w:p>
        </w:tc>
        <w:tc>
          <w:tcPr>
            <w:tcW w:w="724" w:type="dxa"/>
            <w:tcBorders>
              <w:tl2br w:val="nil"/>
              <w:tr2bl w:val="nil"/>
            </w:tcBorders>
            <w:vAlign w:val="center"/>
          </w:tcPr>
          <w:p w14:paraId="3A118F7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0.289</w:t>
            </w:r>
          </w:p>
        </w:tc>
      </w:tr>
    </w:tbl>
    <w:p w14:paraId="00DF9F99">
      <w:pPr>
        <w:keepNext w:val="0"/>
        <w:keepLines w:val="0"/>
        <w:pageBreakBefore w:val="0"/>
        <w:widowControl w:val="0"/>
        <w:kinsoku/>
        <w:wordWrap/>
        <w:overflowPunct/>
        <w:topLinePunct w:val="0"/>
        <w:autoSpaceDE/>
        <w:autoSpaceDN/>
        <w:bidi w:val="0"/>
        <w:ind w:firstLine="480"/>
        <w:rPr>
          <w:bCs/>
          <w:color w:val="auto"/>
          <w:spacing w:val="0"/>
          <w:w w:val="100"/>
          <w:kern w:val="21"/>
          <w:position w:val="0"/>
          <w:szCs w:val="32"/>
        </w:rPr>
      </w:pPr>
      <w:r>
        <w:rPr>
          <w:bCs/>
          <w:color w:val="auto"/>
          <w:spacing w:val="0"/>
          <w:w w:val="100"/>
          <w:kern w:val="21"/>
          <w:position w:val="0"/>
          <w:szCs w:val="32"/>
        </w:rPr>
        <w:t>（5）估算模式计算结果及等级判定</w:t>
      </w:r>
    </w:p>
    <w:p w14:paraId="3936D510">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default" w:ascii="Times New Roman" w:hAnsi="Times New Roman" w:eastAsia="宋体" w:cs="Times New Roman"/>
          <w:snapToGrid/>
          <w:color w:val="auto"/>
          <w:spacing w:val="0"/>
          <w:w w:val="100"/>
          <w:kern w:val="28"/>
          <w:position w:val="0"/>
          <w:sz w:val="24"/>
          <w:szCs w:val="24"/>
          <w:highlight w:val="none"/>
        </w:rPr>
      </w:pPr>
      <w:r>
        <w:rPr>
          <w:rFonts w:hint="default" w:ascii="Times New Roman" w:hAnsi="Times New Roman" w:eastAsia="宋体" w:cs="Times New Roman"/>
          <w:snapToGrid/>
          <w:color w:val="auto"/>
          <w:spacing w:val="0"/>
          <w:w w:val="100"/>
          <w:kern w:val="28"/>
          <w:position w:val="0"/>
          <w:sz w:val="24"/>
          <w:szCs w:val="24"/>
          <w:highlight w:val="none"/>
        </w:rPr>
        <w:t>采用《环境影响评价技术导则</w:t>
      </w:r>
      <w:r>
        <w:rPr>
          <w:rFonts w:hint="eastAsia" w:ascii="Times New Roman" w:hAnsi="Times New Roman" w:eastAsia="宋体" w:cs="Times New Roman"/>
          <w:snapToGrid/>
          <w:color w:val="auto"/>
          <w:spacing w:val="0"/>
          <w:w w:val="100"/>
          <w:kern w:val="28"/>
          <w:position w:val="0"/>
          <w:sz w:val="24"/>
          <w:szCs w:val="24"/>
          <w:highlight w:val="none"/>
          <w:lang w:val="en-US" w:eastAsia="zh-CN"/>
        </w:rPr>
        <w:t xml:space="preserve"> </w:t>
      </w:r>
      <w:r>
        <w:rPr>
          <w:rFonts w:hint="default" w:ascii="Times New Roman" w:hAnsi="Times New Roman" w:eastAsia="宋体" w:cs="Times New Roman"/>
          <w:snapToGrid/>
          <w:color w:val="auto"/>
          <w:spacing w:val="0"/>
          <w:w w:val="100"/>
          <w:kern w:val="28"/>
          <w:position w:val="0"/>
          <w:sz w:val="24"/>
          <w:szCs w:val="24"/>
          <w:highlight w:val="none"/>
        </w:rPr>
        <w:t>大气环境》（HJ2.2-2018）推荐模式清单中的估算模型分别计算本项目各个污染源排放污染物的下风向轴线浓度，并计算相应浓度占标率。废气污染物的估算结果详见下表。</w:t>
      </w:r>
    </w:p>
    <w:p w14:paraId="4D45894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rPr>
      </w:pPr>
      <w:r>
        <w:rPr>
          <w:rFonts w:hint="default" w:ascii="Times New Roman" w:hAnsi="Times New Roman" w:eastAsia="宋体" w:cs="Times New Roman"/>
          <w:b/>
          <w:bCs/>
          <w:snapToGrid/>
          <w:color w:val="auto"/>
          <w:spacing w:val="0"/>
          <w:w w:val="100"/>
          <w:kern w:val="28"/>
          <w:position w:val="0"/>
          <w:sz w:val="21"/>
          <w:szCs w:val="21"/>
          <w:highlight w:val="none"/>
        </w:rPr>
        <w:t>表5.2</w:t>
      </w:r>
      <w:r>
        <w:rPr>
          <w:rFonts w:hint="eastAsia" w:ascii="Times New Roman" w:hAnsi="Times New Roman" w:eastAsia="宋体" w:cs="Times New Roman"/>
          <w:b/>
          <w:bCs/>
          <w:snapToGrid/>
          <w:color w:val="auto"/>
          <w:spacing w:val="0"/>
          <w:w w:val="100"/>
          <w:kern w:val="28"/>
          <w:position w:val="0"/>
          <w:sz w:val="21"/>
          <w:szCs w:val="21"/>
          <w:highlight w:val="none"/>
          <w:lang w:val="en-US" w:eastAsia="zh-CN"/>
        </w:rPr>
        <w:t>.1</w:t>
      </w:r>
      <w:r>
        <w:rPr>
          <w:rFonts w:hint="default" w:ascii="Times New Roman" w:hAnsi="Times New Roman" w:eastAsia="宋体" w:cs="Times New Roman"/>
          <w:b/>
          <w:bCs/>
          <w:snapToGrid/>
          <w:color w:val="auto"/>
          <w:spacing w:val="0"/>
          <w:w w:val="100"/>
          <w:kern w:val="28"/>
          <w:position w:val="0"/>
          <w:sz w:val="21"/>
          <w:szCs w:val="21"/>
          <w:highlight w:val="none"/>
        </w:rPr>
        <w:t>-</w:t>
      </w:r>
      <w:r>
        <w:rPr>
          <w:rFonts w:hint="eastAsia" w:ascii="Times New Roman" w:hAnsi="Times New Roman" w:eastAsia="宋体" w:cs="Times New Roman"/>
          <w:b/>
          <w:bCs/>
          <w:snapToGrid/>
          <w:color w:val="auto"/>
          <w:spacing w:val="0"/>
          <w:w w:val="100"/>
          <w:kern w:val="28"/>
          <w:position w:val="0"/>
          <w:sz w:val="21"/>
          <w:szCs w:val="21"/>
          <w:highlight w:val="none"/>
          <w:lang w:val="en-US" w:eastAsia="zh-CN"/>
        </w:rPr>
        <w:t xml:space="preserve">4  </w:t>
      </w:r>
      <w:r>
        <w:rPr>
          <w:rFonts w:hint="default" w:ascii="Times New Roman" w:hAnsi="Times New Roman" w:eastAsia="宋体" w:cs="Times New Roman"/>
          <w:b/>
          <w:bCs/>
          <w:snapToGrid/>
          <w:color w:val="auto"/>
          <w:spacing w:val="0"/>
          <w:w w:val="100"/>
          <w:kern w:val="28"/>
          <w:position w:val="0"/>
          <w:sz w:val="21"/>
          <w:szCs w:val="21"/>
          <w:highlight w:val="none"/>
        </w:rPr>
        <w:t>废气污染物估算结果</w:t>
      </w:r>
    </w:p>
    <w:tbl>
      <w:tblPr>
        <w:tblStyle w:val="36"/>
        <w:tblW w:w="4997"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57" w:type="dxa"/>
          <w:left w:w="57" w:type="dxa"/>
          <w:bottom w:w="57" w:type="dxa"/>
          <w:right w:w="57" w:type="dxa"/>
        </w:tblCellMar>
      </w:tblPr>
      <w:tblGrid>
        <w:gridCol w:w="586"/>
        <w:gridCol w:w="1125"/>
        <w:gridCol w:w="1234"/>
        <w:gridCol w:w="1184"/>
        <w:gridCol w:w="1184"/>
        <w:gridCol w:w="1304"/>
        <w:gridCol w:w="978"/>
        <w:gridCol w:w="641"/>
        <w:gridCol w:w="716"/>
      </w:tblGrid>
      <w:tr w14:paraId="7A876E9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955" w:type="pct"/>
            <w:gridSpan w:val="2"/>
            <w:tcBorders>
              <w:tl2br w:val="nil"/>
              <w:tr2bl w:val="nil"/>
            </w:tcBorders>
            <w:noWrap w:val="0"/>
            <w:vAlign w:val="center"/>
          </w:tcPr>
          <w:p w14:paraId="471AA8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污染源</w:t>
            </w:r>
          </w:p>
        </w:tc>
        <w:tc>
          <w:tcPr>
            <w:tcW w:w="689" w:type="pct"/>
            <w:tcBorders>
              <w:tl2br w:val="nil"/>
              <w:tr2bl w:val="nil"/>
            </w:tcBorders>
            <w:noWrap w:val="0"/>
            <w:vAlign w:val="center"/>
          </w:tcPr>
          <w:p w14:paraId="2B2976F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污染物</w:t>
            </w:r>
          </w:p>
        </w:tc>
        <w:tc>
          <w:tcPr>
            <w:tcW w:w="661" w:type="pct"/>
            <w:tcBorders>
              <w:tl2br w:val="nil"/>
              <w:tr2bl w:val="nil"/>
            </w:tcBorders>
            <w:noWrap w:val="0"/>
            <w:vAlign w:val="center"/>
          </w:tcPr>
          <w:p w14:paraId="2851CEA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标准值</w:t>
            </w:r>
          </w:p>
          <w:p w14:paraId="080A032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（μg/m</w:t>
            </w:r>
            <w:r>
              <w:rPr>
                <w:rFonts w:hint="default" w:ascii="Times New Roman" w:hAnsi="Times New Roman" w:eastAsia="宋体" w:cs="Times New Roman"/>
                <w:b/>
                <w:bCs/>
                <w:snapToGrid/>
                <w:color w:val="auto"/>
                <w:spacing w:val="0"/>
                <w:w w:val="100"/>
                <w:kern w:val="28"/>
                <w:position w:val="0"/>
                <w:sz w:val="21"/>
                <w:szCs w:val="21"/>
                <w:highlight w:val="none"/>
                <w:vertAlign w:val="superscript"/>
                <w:lang w:val="en-US" w:eastAsia="zh-CN"/>
              </w:rPr>
              <w:t>3</w:t>
            </w: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w:t>
            </w:r>
          </w:p>
        </w:tc>
        <w:tc>
          <w:tcPr>
            <w:tcW w:w="661" w:type="pct"/>
            <w:tcBorders>
              <w:tl2br w:val="nil"/>
              <w:tr2bl w:val="nil"/>
            </w:tcBorders>
            <w:noWrap w:val="0"/>
            <w:vAlign w:val="center"/>
          </w:tcPr>
          <w:p w14:paraId="66CE10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最大浓度Cmax（μg/m</w:t>
            </w:r>
            <w:r>
              <w:rPr>
                <w:rFonts w:hint="default" w:ascii="Times New Roman" w:hAnsi="Times New Roman" w:eastAsia="宋体" w:cs="Times New Roman"/>
                <w:b/>
                <w:bCs/>
                <w:snapToGrid/>
                <w:color w:val="auto"/>
                <w:spacing w:val="0"/>
                <w:w w:val="100"/>
                <w:kern w:val="28"/>
                <w:position w:val="0"/>
                <w:sz w:val="21"/>
                <w:szCs w:val="21"/>
                <w:highlight w:val="none"/>
                <w:vertAlign w:val="superscript"/>
                <w:lang w:val="en-US" w:eastAsia="zh-CN"/>
              </w:rPr>
              <w:t>3</w:t>
            </w: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w:t>
            </w:r>
          </w:p>
        </w:tc>
        <w:tc>
          <w:tcPr>
            <w:tcW w:w="728" w:type="pct"/>
            <w:tcBorders>
              <w:tl2br w:val="nil"/>
              <w:tr2bl w:val="nil"/>
            </w:tcBorders>
            <w:noWrap w:val="0"/>
            <w:vAlign w:val="center"/>
          </w:tcPr>
          <w:p w14:paraId="20C761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最大地面浓度占标率Pmax（%）</w:t>
            </w:r>
          </w:p>
        </w:tc>
        <w:tc>
          <w:tcPr>
            <w:tcW w:w="546" w:type="pct"/>
            <w:tcBorders>
              <w:tl2br w:val="nil"/>
              <w:tr2bl w:val="nil"/>
            </w:tcBorders>
            <w:noWrap w:val="0"/>
            <w:vAlign w:val="center"/>
          </w:tcPr>
          <w:p w14:paraId="5F00E4C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最远距离D10%（m）</w:t>
            </w:r>
          </w:p>
        </w:tc>
        <w:tc>
          <w:tcPr>
            <w:tcW w:w="358" w:type="pct"/>
            <w:tcBorders>
              <w:tl2br w:val="nil"/>
              <w:tr2bl w:val="nil"/>
            </w:tcBorders>
            <w:noWrap w:val="0"/>
            <w:vAlign w:val="center"/>
          </w:tcPr>
          <w:p w14:paraId="2E33BC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评价工作等级</w:t>
            </w:r>
          </w:p>
        </w:tc>
        <w:tc>
          <w:tcPr>
            <w:tcW w:w="399" w:type="pct"/>
            <w:tcBorders>
              <w:tl2br w:val="nil"/>
              <w:tr2bl w:val="nil"/>
            </w:tcBorders>
            <w:noWrap w:val="0"/>
            <w:vAlign w:val="center"/>
          </w:tcPr>
          <w:p w14:paraId="15406AA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大气评价工作等级</w:t>
            </w:r>
          </w:p>
        </w:tc>
      </w:tr>
      <w:tr w14:paraId="7A850DD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327" w:type="pct"/>
            <w:tcBorders>
              <w:tl2br w:val="nil"/>
              <w:tr2bl w:val="nil"/>
            </w:tcBorders>
            <w:noWrap w:val="0"/>
            <w:vAlign w:val="center"/>
          </w:tcPr>
          <w:p w14:paraId="36C21E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snapToGrid/>
                <w:color w:val="auto"/>
                <w:spacing w:val="0"/>
                <w:w w:val="100"/>
                <w:kern w:val="28"/>
                <w:position w:val="0"/>
                <w:sz w:val="21"/>
                <w:szCs w:val="21"/>
                <w:highlight w:val="none"/>
                <w:lang w:val="en-US" w:eastAsia="zh-CN"/>
              </w:rPr>
              <w:t>点源</w:t>
            </w:r>
          </w:p>
        </w:tc>
        <w:tc>
          <w:tcPr>
            <w:tcW w:w="628" w:type="pct"/>
            <w:tcBorders>
              <w:tl2br w:val="nil"/>
              <w:tr2bl w:val="nil"/>
            </w:tcBorders>
            <w:noWrap w:val="0"/>
            <w:vAlign w:val="center"/>
          </w:tcPr>
          <w:p w14:paraId="098024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DA001</w:t>
            </w:r>
          </w:p>
        </w:tc>
        <w:tc>
          <w:tcPr>
            <w:tcW w:w="689" w:type="pct"/>
            <w:tcBorders>
              <w:tl2br w:val="nil"/>
              <w:tr2bl w:val="nil"/>
            </w:tcBorders>
            <w:noWrap w:val="0"/>
            <w:vAlign w:val="center"/>
          </w:tcPr>
          <w:p w14:paraId="34FC29EE">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auto"/>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PM</w:t>
            </w:r>
            <w:r>
              <w:rPr>
                <w:rFonts w:hint="eastAsia" w:ascii="Times New Roman" w:hAnsi="Times New Roman" w:eastAsia="宋体" w:cs="Times New Roman"/>
                <w:snapToGrid/>
                <w:color w:val="auto"/>
                <w:spacing w:val="0"/>
                <w:w w:val="100"/>
                <w:kern w:val="28"/>
                <w:position w:val="0"/>
                <w:sz w:val="21"/>
                <w:szCs w:val="21"/>
                <w:highlight w:val="none"/>
                <w:vertAlign w:val="subscript"/>
                <w:lang w:val="en-US" w:eastAsia="zh-CN"/>
              </w:rPr>
              <w:t>10</w:t>
            </w:r>
          </w:p>
        </w:tc>
        <w:tc>
          <w:tcPr>
            <w:tcW w:w="661" w:type="pct"/>
            <w:tcBorders>
              <w:tl2br w:val="nil"/>
              <w:tr2bl w:val="nil"/>
            </w:tcBorders>
            <w:noWrap w:val="0"/>
            <w:vAlign w:val="center"/>
          </w:tcPr>
          <w:p w14:paraId="76D478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120</w:t>
            </w:r>
          </w:p>
        </w:tc>
        <w:tc>
          <w:tcPr>
            <w:tcW w:w="1184" w:type="dxa"/>
            <w:tcBorders>
              <w:tl2br w:val="nil"/>
              <w:tr2bl w:val="nil"/>
            </w:tcBorders>
            <w:noWrap w:val="0"/>
            <w:vAlign w:val="center"/>
          </w:tcPr>
          <w:p w14:paraId="448145C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1.3585</w:t>
            </w:r>
          </w:p>
        </w:tc>
        <w:tc>
          <w:tcPr>
            <w:tcW w:w="1304" w:type="dxa"/>
            <w:tcBorders>
              <w:tl2br w:val="nil"/>
              <w:tr2bl w:val="nil"/>
            </w:tcBorders>
            <w:noWrap w:val="0"/>
            <w:vAlign w:val="center"/>
          </w:tcPr>
          <w:p w14:paraId="79A8044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0.38</w:t>
            </w:r>
          </w:p>
        </w:tc>
        <w:tc>
          <w:tcPr>
            <w:tcW w:w="978" w:type="dxa"/>
            <w:tcBorders>
              <w:tl2br w:val="nil"/>
              <w:tr2bl w:val="nil"/>
            </w:tcBorders>
            <w:noWrap w:val="0"/>
            <w:vAlign w:val="center"/>
          </w:tcPr>
          <w:p w14:paraId="59AA344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w:t>
            </w:r>
          </w:p>
        </w:tc>
        <w:tc>
          <w:tcPr>
            <w:tcW w:w="358" w:type="pct"/>
            <w:tcBorders>
              <w:tl2br w:val="nil"/>
              <w:tr2bl w:val="nil"/>
            </w:tcBorders>
            <w:noWrap w:val="0"/>
            <w:vAlign w:val="center"/>
          </w:tcPr>
          <w:p w14:paraId="15E60E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snapToGrid/>
                <w:color w:val="auto"/>
                <w:spacing w:val="0"/>
                <w:w w:val="100"/>
                <w:kern w:val="28"/>
                <w:position w:val="0"/>
                <w:sz w:val="21"/>
                <w:szCs w:val="21"/>
                <w:highlight w:val="none"/>
                <w:lang w:val="en-US" w:eastAsia="zh-CN"/>
              </w:rPr>
              <w:t>三级</w:t>
            </w:r>
          </w:p>
        </w:tc>
        <w:tc>
          <w:tcPr>
            <w:tcW w:w="399" w:type="pct"/>
            <w:vMerge w:val="restart"/>
            <w:tcBorders>
              <w:tl2br w:val="nil"/>
              <w:tr2bl w:val="nil"/>
            </w:tcBorders>
            <w:noWrap w:val="0"/>
            <w:vAlign w:val="center"/>
          </w:tcPr>
          <w:p w14:paraId="38E903E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default" w:ascii="Times New Roman" w:hAnsi="Times New Roman" w:eastAsia="宋体" w:cs="Times New Roman"/>
                <w:snapToGrid/>
                <w:color w:val="auto"/>
                <w:spacing w:val="0"/>
                <w:w w:val="100"/>
                <w:kern w:val="28"/>
                <w:position w:val="0"/>
                <w:sz w:val="21"/>
                <w:szCs w:val="21"/>
                <w:highlight w:val="none"/>
                <w:lang w:val="en-US" w:eastAsia="zh-CN"/>
              </w:rPr>
              <w:t>二级</w:t>
            </w:r>
          </w:p>
        </w:tc>
      </w:tr>
      <w:tr w14:paraId="28BA208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327" w:type="pct"/>
            <w:tcBorders>
              <w:tl2br w:val="nil"/>
              <w:tr2bl w:val="nil"/>
            </w:tcBorders>
            <w:noWrap w:val="0"/>
            <w:vAlign w:val="center"/>
          </w:tcPr>
          <w:p w14:paraId="5917248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snapToGrid/>
                <w:color w:val="auto"/>
                <w:spacing w:val="0"/>
                <w:w w:val="100"/>
                <w:kern w:val="28"/>
                <w:position w:val="0"/>
                <w:sz w:val="21"/>
                <w:szCs w:val="21"/>
                <w:highlight w:val="none"/>
                <w:lang w:val="en-US" w:eastAsia="zh-CN"/>
              </w:rPr>
              <w:t>点源</w:t>
            </w:r>
          </w:p>
        </w:tc>
        <w:tc>
          <w:tcPr>
            <w:tcW w:w="628" w:type="pct"/>
            <w:tcBorders>
              <w:tl2br w:val="nil"/>
              <w:tr2bl w:val="nil"/>
            </w:tcBorders>
            <w:noWrap w:val="0"/>
            <w:vAlign w:val="center"/>
          </w:tcPr>
          <w:p w14:paraId="5D38A62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DA002</w:t>
            </w:r>
          </w:p>
        </w:tc>
        <w:tc>
          <w:tcPr>
            <w:tcW w:w="689" w:type="pct"/>
            <w:tcBorders>
              <w:tl2br w:val="nil"/>
              <w:tr2bl w:val="nil"/>
            </w:tcBorders>
            <w:noWrap w:val="0"/>
            <w:vAlign w:val="center"/>
          </w:tcPr>
          <w:p w14:paraId="0A7A5217">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textAlignment w:val="auto"/>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非甲烷总烃</w:t>
            </w:r>
          </w:p>
        </w:tc>
        <w:tc>
          <w:tcPr>
            <w:tcW w:w="661" w:type="pct"/>
            <w:tcBorders>
              <w:tl2br w:val="nil"/>
              <w:tr2bl w:val="nil"/>
            </w:tcBorders>
            <w:noWrap w:val="0"/>
            <w:vAlign w:val="center"/>
          </w:tcPr>
          <w:p w14:paraId="427E092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2mg/m</w:t>
            </w:r>
            <w:r>
              <w:rPr>
                <w:rFonts w:hint="eastAsia" w:cs="Times New Roman"/>
                <w:snapToGrid/>
                <w:color w:val="auto"/>
                <w:spacing w:val="0"/>
                <w:w w:val="100"/>
                <w:kern w:val="28"/>
                <w:position w:val="0"/>
                <w:sz w:val="21"/>
                <w:szCs w:val="21"/>
                <w:highlight w:val="none"/>
                <w:vertAlign w:val="superscript"/>
                <w:lang w:val="en-US" w:eastAsia="zh-CN"/>
              </w:rPr>
              <w:t>3</w:t>
            </w:r>
          </w:p>
        </w:tc>
        <w:tc>
          <w:tcPr>
            <w:tcW w:w="1184" w:type="dxa"/>
            <w:tcBorders>
              <w:tl2br w:val="nil"/>
              <w:tr2bl w:val="nil"/>
            </w:tcBorders>
            <w:noWrap w:val="0"/>
            <w:vAlign w:val="center"/>
          </w:tcPr>
          <w:p w14:paraId="304954C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8.2311</w:t>
            </w:r>
          </w:p>
        </w:tc>
        <w:tc>
          <w:tcPr>
            <w:tcW w:w="1304" w:type="dxa"/>
            <w:tcBorders>
              <w:tl2br w:val="nil"/>
              <w:tr2bl w:val="nil"/>
            </w:tcBorders>
            <w:noWrap w:val="0"/>
            <w:vAlign w:val="center"/>
          </w:tcPr>
          <w:p w14:paraId="362B6B1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0.41</w:t>
            </w:r>
          </w:p>
        </w:tc>
        <w:tc>
          <w:tcPr>
            <w:tcW w:w="978" w:type="dxa"/>
            <w:tcBorders>
              <w:tl2br w:val="nil"/>
              <w:tr2bl w:val="nil"/>
            </w:tcBorders>
            <w:noWrap w:val="0"/>
            <w:vAlign w:val="center"/>
          </w:tcPr>
          <w:p w14:paraId="3AC233F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w:t>
            </w:r>
          </w:p>
        </w:tc>
        <w:tc>
          <w:tcPr>
            <w:tcW w:w="358" w:type="pct"/>
            <w:tcBorders>
              <w:tl2br w:val="nil"/>
              <w:tr2bl w:val="nil"/>
            </w:tcBorders>
            <w:noWrap w:val="0"/>
            <w:vAlign w:val="center"/>
          </w:tcPr>
          <w:p w14:paraId="4FB8A8A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snapToGrid/>
                <w:color w:val="auto"/>
                <w:spacing w:val="0"/>
                <w:w w:val="100"/>
                <w:kern w:val="28"/>
                <w:position w:val="0"/>
                <w:sz w:val="21"/>
                <w:szCs w:val="21"/>
                <w:highlight w:val="none"/>
                <w:lang w:val="en-US" w:eastAsia="zh-CN"/>
              </w:rPr>
            </w:pPr>
            <w:r>
              <w:rPr>
                <w:rFonts w:hint="default" w:ascii="Times New Roman" w:hAnsi="Times New Roman" w:eastAsia="宋体" w:cs="Times New Roman"/>
                <w:snapToGrid/>
                <w:color w:val="auto"/>
                <w:spacing w:val="0"/>
                <w:w w:val="100"/>
                <w:kern w:val="28"/>
                <w:position w:val="0"/>
                <w:sz w:val="21"/>
                <w:szCs w:val="21"/>
                <w:highlight w:val="none"/>
                <w:lang w:val="en-US" w:eastAsia="zh-CN"/>
              </w:rPr>
              <w:t>三级</w:t>
            </w:r>
          </w:p>
        </w:tc>
        <w:tc>
          <w:tcPr>
            <w:tcW w:w="399" w:type="pct"/>
            <w:vMerge w:val="continue"/>
            <w:tcBorders>
              <w:tl2br w:val="nil"/>
              <w:tr2bl w:val="nil"/>
            </w:tcBorders>
            <w:noWrap w:val="0"/>
            <w:vAlign w:val="center"/>
          </w:tcPr>
          <w:p w14:paraId="409446F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p>
        </w:tc>
      </w:tr>
      <w:tr w14:paraId="18B26B5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327" w:type="pct"/>
            <w:vMerge w:val="restart"/>
            <w:tcBorders>
              <w:tl2br w:val="nil"/>
              <w:tr2bl w:val="nil"/>
            </w:tcBorders>
            <w:noWrap w:val="0"/>
            <w:vAlign w:val="center"/>
          </w:tcPr>
          <w:p w14:paraId="67343D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default" w:ascii="Times New Roman" w:hAnsi="Times New Roman" w:eastAsia="宋体" w:cs="Times New Roman"/>
                <w:snapToGrid/>
                <w:color w:val="auto"/>
                <w:spacing w:val="0"/>
                <w:w w:val="100"/>
                <w:kern w:val="28"/>
                <w:position w:val="0"/>
                <w:sz w:val="21"/>
                <w:szCs w:val="21"/>
                <w:highlight w:val="none"/>
                <w:lang w:val="en-US" w:eastAsia="zh-CN"/>
              </w:rPr>
              <w:t>面源</w:t>
            </w:r>
          </w:p>
        </w:tc>
        <w:tc>
          <w:tcPr>
            <w:tcW w:w="628" w:type="pct"/>
            <w:vMerge w:val="restart"/>
            <w:tcBorders>
              <w:tl2br w:val="nil"/>
              <w:tr2bl w:val="nil"/>
            </w:tcBorders>
            <w:noWrap w:val="0"/>
            <w:vAlign w:val="center"/>
          </w:tcPr>
          <w:p w14:paraId="4DF2E70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生产车间</w:t>
            </w:r>
          </w:p>
        </w:tc>
        <w:tc>
          <w:tcPr>
            <w:tcW w:w="689" w:type="pct"/>
            <w:tcBorders>
              <w:tl2br w:val="nil"/>
              <w:tr2bl w:val="nil"/>
            </w:tcBorders>
            <w:noWrap w:val="0"/>
            <w:vAlign w:val="center"/>
          </w:tcPr>
          <w:p w14:paraId="5568B7C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颗粒物</w:t>
            </w:r>
          </w:p>
        </w:tc>
        <w:tc>
          <w:tcPr>
            <w:tcW w:w="661" w:type="pct"/>
            <w:tcBorders>
              <w:tl2br w:val="nil"/>
              <w:tr2bl w:val="nil"/>
            </w:tcBorders>
            <w:noWrap w:val="0"/>
            <w:vAlign w:val="center"/>
          </w:tcPr>
          <w:p w14:paraId="2C3FDAD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300</w:t>
            </w:r>
          </w:p>
        </w:tc>
        <w:tc>
          <w:tcPr>
            <w:tcW w:w="1184" w:type="dxa"/>
            <w:tcBorders>
              <w:tl2br w:val="nil"/>
              <w:tr2bl w:val="nil"/>
            </w:tcBorders>
            <w:noWrap w:val="0"/>
            <w:vAlign w:val="center"/>
          </w:tcPr>
          <w:p w14:paraId="2EA227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72.798</w:t>
            </w:r>
          </w:p>
        </w:tc>
        <w:tc>
          <w:tcPr>
            <w:tcW w:w="1304" w:type="dxa"/>
            <w:tcBorders>
              <w:tl2br w:val="nil"/>
              <w:tr2bl w:val="nil"/>
            </w:tcBorders>
            <w:noWrap w:val="0"/>
            <w:vAlign w:val="center"/>
          </w:tcPr>
          <w:p w14:paraId="289310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8.09</w:t>
            </w:r>
          </w:p>
        </w:tc>
        <w:tc>
          <w:tcPr>
            <w:tcW w:w="546" w:type="pct"/>
            <w:tcBorders>
              <w:tl2br w:val="nil"/>
              <w:tr2bl w:val="nil"/>
            </w:tcBorders>
            <w:noWrap w:val="0"/>
            <w:vAlign w:val="center"/>
          </w:tcPr>
          <w:p w14:paraId="18F61B4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w:t>
            </w:r>
          </w:p>
        </w:tc>
        <w:tc>
          <w:tcPr>
            <w:tcW w:w="358" w:type="pct"/>
            <w:tcBorders>
              <w:tl2br w:val="nil"/>
              <w:tr2bl w:val="nil"/>
            </w:tcBorders>
            <w:noWrap w:val="0"/>
            <w:vAlign w:val="center"/>
          </w:tcPr>
          <w:p w14:paraId="2C5CCE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二</w:t>
            </w:r>
            <w:r>
              <w:rPr>
                <w:rFonts w:hint="default" w:ascii="Times New Roman" w:hAnsi="Times New Roman" w:eastAsia="宋体" w:cs="Times New Roman"/>
                <w:snapToGrid/>
                <w:color w:val="auto"/>
                <w:spacing w:val="0"/>
                <w:w w:val="100"/>
                <w:kern w:val="28"/>
                <w:position w:val="0"/>
                <w:sz w:val="21"/>
                <w:szCs w:val="21"/>
                <w:highlight w:val="none"/>
                <w:lang w:val="en-US" w:eastAsia="zh-CN"/>
              </w:rPr>
              <w:t>级</w:t>
            </w:r>
          </w:p>
        </w:tc>
        <w:tc>
          <w:tcPr>
            <w:tcW w:w="399" w:type="pct"/>
            <w:vMerge w:val="continue"/>
            <w:tcBorders>
              <w:tl2br w:val="nil"/>
              <w:tr2bl w:val="nil"/>
            </w:tcBorders>
            <w:noWrap w:val="0"/>
            <w:vAlign w:val="center"/>
          </w:tcPr>
          <w:p w14:paraId="6512CE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p>
        </w:tc>
      </w:tr>
      <w:tr w14:paraId="667BEEF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327" w:type="pct"/>
            <w:vMerge w:val="continue"/>
            <w:tcBorders>
              <w:tl2br w:val="nil"/>
              <w:tr2bl w:val="nil"/>
            </w:tcBorders>
            <w:noWrap w:val="0"/>
            <w:vAlign w:val="center"/>
          </w:tcPr>
          <w:p w14:paraId="2271D17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p>
        </w:tc>
        <w:tc>
          <w:tcPr>
            <w:tcW w:w="628" w:type="pct"/>
            <w:vMerge w:val="continue"/>
            <w:tcBorders>
              <w:tl2br w:val="nil"/>
              <w:tr2bl w:val="nil"/>
            </w:tcBorders>
            <w:noWrap w:val="0"/>
            <w:vAlign w:val="center"/>
          </w:tcPr>
          <w:p w14:paraId="19A16D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p>
        </w:tc>
        <w:tc>
          <w:tcPr>
            <w:tcW w:w="689" w:type="pct"/>
            <w:tcBorders>
              <w:tl2br w:val="nil"/>
              <w:tr2bl w:val="nil"/>
            </w:tcBorders>
            <w:noWrap w:val="0"/>
            <w:vAlign w:val="center"/>
          </w:tcPr>
          <w:p w14:paraId="0E6944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非甲烷总烃</w:t>
            </w:r>
          </w:p>
        </w:tc>
        <w:tc>
          <w:tcPr>
            <w:tcW w:w="661" w:type="pct"/>
            <w:tcBorders>
              <w:tl2br w:val="nil"/>
              <w:tr2bl w:val="nil"/>
            </w:tcBorders>
            <w:noWrap w:val="0"/>
            <w:vAlign w:val="center"/>
          </w:tcPr>
          <w:p w14:paraId="6B06C5E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2mg/m</w:t>
            </w:r>
            <w:r>
              <w:rPr>
                <w:rFonts w:hint="eastAsia" w:cs="Times New Roman"/>
                <w:snapToGrid/>
                <w:color w:val="auto"/>
                <w:spacing w:val="0"/>
                <w:w w:val="100"/>
                <w:kern w:val="28"/>
                <w:position w:val="0"/>
                <w:sz w:val="21"/>
                <w:szCs w:val="21"/>
                <w:highlight w:val="none"/>
                <w:vertAlign w:val="superscript"/>
                <w:lang w:val="en-US" w:eastAsia="zh-CN"/>
              </w:rPr>
              <w:t>3</w:t>
            </w:r>
          </w:p>
        </w:tc>
        <w:tc>
          <w:tcPr>
            <w:tcW w:w="1184" w:type="dxa"/>
            <w:tcBorders>
              <w:tl2br w:val="nil"/>
              <w:tr2bl w:val="nil"/>
            </w:tcBorders>
            <w:noWrap w:val="0"/>
            <w:vAlign w:val="center"/>
          </w:tcPr>
          <w:p w14:paraId="3A929E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72.798</w:t>
            </w:r>
          </w:p>
        </w:tc>
        <w:tc>
          <w:tcPr>
            <w:tcW w:w="1304" w:type="dxa"/>
            <w:tcBorders>
              <w:tl2br w:val="nil"/>
              <w:tr2bl w:val="nil"/>
            </w:tcBorders>
            <w:noWrap w:val="0"/>
            <w:vAlign w:val="center"/>
          </w:tcPr>
          <w:p w14:paraId="6046C9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3.64</w:t>
            </w:r>
          </w:p>
        </w:tc>
        <w:tc>
          <w:tcPr>
            <w:tcW w:w="546" w:type="pct"/>
            <w:tcBorders>
              <w:tl2br w:val="nil"/>
              <w:tr2bl w:val="nil"/>
            </w:tcBorders>
            <w:noWrap w:val="0"/>
            <w:vAlign w:val="center"/>
          </w:tcPr>
          <w:p w14:paraId="5D910E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w:t>
            </w:r>
          </w:p>
        </w:tc>
        <w:tc>
          <w:tcPr>
            <w:tcW w:w="358" w:type="pct"/>
            <w:tcBorders>
              <w:tl2br w:val="nil"/>
              <w:tr2bl w:val="nil"/>
            </w:tcBorders>
            <w:noWrap w:val="0"/>
            <w:vAlign w:val="center"/>
          </w:tcPr>
          <w:p w14:paraId="7C14CE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二</w:t>
            </w:r>
            <w:r>
              <w:rPr>
                <w:rFonts w:hint="default" w:ascii="Times New Roman" w:hAnsi="Times New Roman" w:eastAsia="宋体" w:cs="Times New Roman"/>
                <w:snapToGrid/>
                <w:color w:val="auto"/>
                <w:spacing w:val="0"/>
                <w:w w:val="100"/>
                <w:kern w:val="28"/>
                <w:position w:val="0"/>
                <w:sz w:val="21"/>
                <w:szCs w:val="21"/>
                <w:highlight w:val="none"/>
                <w:lang w:val="en-US" w:eastAsia="zh-CN"/>
              </w:rPr>
              <w:t>级</w:t>
            </w:r>
          </w:p>
        </w:tc>
        <w:tc>
          <w:tcPr>
            <w:tcW w:w="399" w:type="pct"/>
            <w:vMerge w:val="continue"/>
            <w:tcBorders>
              <w:tl2br w:val="nil"/>
              <w:tr2bl w:val="nil"/>
            </w:tcBorders>
            <w:noWrap w:val="0"/>
            <w:vAlign w:val="center"/>
          </w:tcPr>
          <w:p w14:paraId="225233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rPr>
            </w:pPr>
          </w:p>
        </w:tc>
      </w:tr>
    </w:tbl>
    <w:p w14:paraId="7FABD744">
      <w:pPr>
        <w:keepNext w:val="0"/>
        <w:keepLines w:val="0"/>
        <w:pageBreakBefore w:val="0"/>
        <w:widowControl w:val="0"/>
        <w:kinsoku/>
        <w:wordWrap/>
        <w:overflowPunct/>
        <w:topLinePunct w:val="0"/>
        <w:autoSpaceDE/>
        <w:autoSpaceDN/>
        <w:bidi w:val="0"/>
        <w:ind w:firstLine="480"/>
        <w:rPr>
          <w:color w:val="auto"/>
          <w:spacing w:val="0"/>
          <w:w w:val="100"/>
          <w:kern w:val="21"/>
          <w:position w:val="0"/>
        </w:rPr>
      </w:pPr>
      <w:r>
        <w:rPr>
          <w:color w:val="auto"/>
          <w:spacing w:val="0"/>
          <w:w w:val="100"/>
          <w:kern w:val="21"/>
          <w:position w:val="0"/>
          <w:szCs w:val="24"/>
        </w:rPr>
        <w:t>本项目Pmax最大值出现为</w:t>
      </w:r>
      <w:r>
        <w:rPr>
          <w:rFonts w:hint="eastAsia"/>
          <w:color w:val="auto"/>
          <w:spacing w:val="0"/>
          <w:w w:val="100"/>
          <w:kern w:val="21"/>
          <w:position w:val="0"/>
          <w:szCs w:val="24"/>
          <w:lang w:val="en-US" w:eastAsia="zh-CN"/>
        </w:rPr>
        <w:t>生产车间</w:t>
      </w:r>
      <w:r>
        <w:rPr>
          <w:color w:val="auto"/>
          <w:spacing w:val="0"/>
          <w:w w:val="100"/>
          <w:kern w:val="21"/>
          <w:position w:val="0"/>
          <w:szCs w:val="24"/>
        </w:rPr>
        <w:t>矩形面源排放的</w:t>
      </w:r>
      <w:r>
        <w:rPr>
          <w:rFonts w:hint="eastAsia"/>
          <w:color w:val="auto"/>
          <w:spacing w:val="0"/>
          <w:w w:val="100"/>
          <w:kern w:val="21"/>
          <w:position w:val="0"/>
          <w:szCs w:val="24"/>
          <w:lang w:val="en-US" w:eastAsia="zh-CN"/>
        </w:rPr>
        <w:t>颗粒物</w:t>
      </w:r>
      <w:r>
        <w:rPr>
          <w:color w:val="auto"/>
          <w:spacing w:val="0"/>
          <w:w w:val="100"/>
          <w:kern w:val="21"/>
          <w:position w:val="0"/>
          <w:szCs w:val="24"/>
        </w:rPr>
        <w:t>，Pmax值为</w:t>
      </w:r>
      <w:r>
        <w:rPr>
          <w:rFonts w:hint="eastAsia"/>
          <w:color w:val="auto"/>
          <w:spacing w:val="0"/>
          <w:w w:val="100"/>
          <w:kern w:val="21"/>
          <w:position w:val="0"/>
          <w:lang w:val="en-US" w:eastAsia="zh-CN"/>
        </w:rPr>
        <w:t>8.09</w:t>
      </w:r>
      <w:r>
        <w:rPr>
          <w:color w:val="auto"/>
          <w:spacing w:val="0"/>
          <w:w w:val="100"/>
          <w:kern w:val="21"/>
          <w:position w:val="0"/>
        </w:rPr>
        <w:t>%</w:t>
      </w:r>
      <w:r>
        <w:rPr>
          <w:color w:val="auto"/>
          <w:spacing w:val="0"/>
          <w:w w:val="100"/>
          <w:kern w:val="21"/>
          <w:position w:val="0"/>
          <w:szCs w:val="24"/>
        </w:rPr>
        <w:t>，Cmax为</w:t>
      </w:r>
      <w:r>
        <w:rPr>
          <w:rFonts w:hint="eastAsia"/>
          <w:color w:val="auto"/>
          <w:spacing w:val="0"/>
          <w:w w:val="100"/>
          <w:kern w:val="21"/>
          <w:position w:val="0"/>
          <w:lang w:val="en-US" w:eastAsia="zh-CN"/>
        </w:rPr>
        <w:t>72.798</w:t>
      </w:r>
      <w:r>
        <w:rPr>
          <w:color w:val="auto"/>
          <w:spacing w:val="0"/>
          <w:w w:val="100"/>
          <w:kern w:val="21"/>
          <w:position w:val="0"/>
          <w:szCs w:val="24"/>
        </w:rPr>
        <w:t>μg/m³。根据《环境影响评价技术导则 大气环境》（HJ2.2-2018）分级判据，确定本次建设项目大气环境影响评价工作等级为二级</w:t>
      </w:r>
      <w:r>
        <w:rPr>
          <w:color w:val="auto"/>
          <w:spacing w:val="0"/>
          <w:w w:val="100"/>
          <w:kern w:val="21"/>
          <w:position w:val="0"/>
        </w:rPr>
        <w:t>。</w:t>
      </w:r>
    </w:p>
    <w:p w14:paraId="6907B234">
      <w:pPr>
        <w:keepNext w:val="0"/>
        <w:keepLines w:val="0"/>
        <w:pageBreakBefore w:val="0"/>
        <w:widowControl w:val="0"/>
        <w:kinsoku/>
        <w:wordWrap/>
        <w:overflowPunct/>
        <w:topLinePunct w:val="0"/>
        <w:autoSpaceDE/>
        <w:autoSpaceDN/>
        <w:bidi w:val="0"/>
        <w:ind w:firstLine="480"/>
        <w:rPr>
          <w:color w:val="auto"/>
          <w:spacing w:val="0"/>
          <w:w w:val="100"/>
          <w:kern w:val="21"/>
          <w:position w:val="0"/>
        </w:rPr>
      </w:pPr>
      <w:r>
        <w:rPr>
          <w:color w:val="auto"/>
          <w:spacing w:val="0"/>
          <w:w w:val="100"/>
          <w:kern w:val="21"/>
          <w:position w:val="0"/>
          <w:szCs w:val="32"/>
        </w:rPr>
        <w:t>根据《环境影响评价技术导则 大气环境》（HJ2.2-2018）大气环境防护距离确定中的相关要求：本评价已采用AERSCREEN模型完成了估算预测，根据前述预测结果，本项目</w:t>
      </w:r>
      <w:r>
        <w:rPr>
          <w:color w:val="auto"/>
          <w:spacing w:val="0"/>
          <w:w w:val="100"/>
          <w:kern w:val="21"/>
          <w:position w:val="0"/>
        </w:rPr>
        <w:t>颗粒物最大落地浓度满足《</w:t>
      </w:r>
      <w:r>
        <w:rPr>
          <w:color w:val="auto"/>
          <w:spacing w:val="0"/>
          <w:w w:val="100"/>
          <w:kern w:val="21"/>
          <w:position w:val="0"/>
          <w:szCs w:val="24"/>
        </w:rPr>
        <w:t>环境空气质量标准</w:t>
      </w:r>
      <w:r>
        <w:rPr>
          <w:color w:val="auto"/>
          <w:spacing w:val="0"/>
          <w:w w:val="100"/>
          <w:kern w:val="21"/>
          <w:position w:val="0"/>
        </w:rPr>
        <w:t>》</w:t>
      </w:r>
      <w:r>
        <w:rPr>
          <w:color w:val="auto"/>
          <w:spacing w:val="0"/>
          <w:w w:val="100"/>
          <w:kern w:val="21"/>
          <w:position w:val="0"/>
          <w:szCs w:val="24"/>
        </w:rPr>
        <w:t>（GB3095-20</w:t>
      </w:r>
      <w:r>
        <w:rPr>
          <w:rFonts w:hint="eastAsia"/>
          <w:color w:val="auto"/>
          <w:spacing w:val="0"/>
          <w:w w:val="100"/>
          <w:kern w:val="21"/>
          <w:position w:val="0"/>
          <w:szCs w:val="24"/>
          <w:lang w:val="en-US" w:eastAsia="zh-CN"/>
        </w:rPr>
        <w:t>26</w:t>
      </w:r>
      <w:r>
        <w:rPr>
          <w:color w:val="auto"/>
          <w:spacing w:val="0"/>
          <w:w w:val="100"/>
          <w:kern w:val="21"/>
          <w:position w:val="0"/>
          <w:szCs w:val="24"/>
        </w:rPr>
        <w:t>）中标准要求</w:t>
      </w:r>
      <w:r>
        <w:rPr>
          <w:color w:val="auto"/>
          <w:spacing w:val="0"/>
          <w:w w:val="100"/>
          <w:kern w:val="21"/>
          <w:position w:val="0"/>
        </w:rPr>
        <w:t>，非甲烷总烃最大落地浓度满足《大气污染物综合排放标准》（GB16297-1996）中相关要求。</w:t>
      </w:r>
    </w:p>
    <w:p w14:paraId="19195CA9">
      <w:pPr>
        <w:keepNext w:val="0"/>
        <w:keepLines w:val="0"/>
        <w:pageBreakBefore w:val="0"/>
        <w:widowControl w:val="0"/>
        <w:kinsoku/>
        <w:wordWrap/>
        <w:overflowPunct/>
        <w:topLinePunct w:val="0"/>
        <w:autoSpaceDE/>
        <w:autoSpaceDN/>
        <w:bidi w:val="0"/>
        <w:ind w:firstLine="480"/>
        <w:rPr>
          <w:color w:val="auto"/>
          <w:spacing w:val="0"/>
          <w:w w:val="100"/>
          <w:kern w:val="21"/>
          <w:position w:val="0"/>
          <w:szCs w:val="24"/>
        </w:rPr>
      </w:pPr>
      <w:r>
        <w:rPr>
          <w:color w:val="auto"/>
          <w:spacing w:val="0"/>
          <w:w w:val="100"/>
          <w:kern w:val="21"/>
          <w:position w:val="0"/>
        </w:rPr>
        <w:t>综上，</w:t>
      </w:r>
      <w:r>
        <w:rPr>
          <w:color w:val="auto"/>
          <w:spacing w:val="0"/>
          <w:w w:val="100"/>
          <w:kern w:val="21"/>
          <w:position w:val="0"/>
          <w:szCs w:val="24"/>
          <w:lang w:bidi="ar"/>
        </w:rPr>
        <w:t>本项目废气最大地面浓度占标率为</w:t>
      </w:r>
      <w:r>
        <w:rPr>
          <w:rFonts w:hint="eastAsia"/>
          <w:color w:val="auto"/>
          <w:spacing w:val="0"/>
          <w:w w:val="100"/>
          <w:kern w:val="21"/>
          <w:position w:val="0"/>
          <w:lang w:val="en-US" w:eastAsia="zh-CN"/>
        </w:rPr>
        <w:t>8.86</w:t>
      </w:r>
      <w:r>
        <w:rPr>
          <w:color w:val="auto"/>
          <w:spacing w:val="0"/>
          <w:w w:val="100"/>
          <w:kern w:val="21"/>
          <w:position w:val="0"/>
        </w:rPr>
        <w:t>%</w:t>
      </w:r>
      <w:r>
        <w:rPr>
          <w:color w:val="auto"/>
          <w:spacing w:val="0"/>
          <w:w w:val="100"/>
          <w:kern w:val="21"/>
          <w:position w:val="0"/>
          <w:szCs w:val="24"/>
          <w:lang w:bidi="ar"/>
        </w:rPr>
        <w:t>，根据导则中评价工作等级的判定依据，环境空气影响评价等级确定为二级评价。</w:t>
      </w:r>
      <w:r>
        <w:rPr>
          <w:color w:val="auto"/>
          <w:spacing w:val="0"/>
          <w:w w:val="100"/>
          <w:kern w:val="21"/>
          <w:position w:val="0"/>
          <w:szCs w:val="24"/>
        </w:rPr>
        <w:t>根据《环境影响评价技术导则 大气环境》（HJ2.2-2018），本项目环境空气评价等级为二级，二级评价不需进行进一步预测与评价。</w:t>
      </w:r>
    </w:p>
    <w:p w14:paraId="54D40F7C">
      <w:pPr>
        <w:keepNext w:val="0"/>
        <w:keepLines w:val="0"/>
        <w:pageBreakBefore w:val="0"/>
        <w:widowControl w:val="0"/>
        <w:kinsoku/>
        <w:wordWrap/>
        <w:overflowPunct/>
        <w:topLinePunct w:val="0"/>
        <w:autoSpaceDE/>
        <w:autoSpaceDN/>
        <w:bidi w:val="0"/>
        <w:adjustRightInd w:val="0"/>
        <w:ind w:firstLine="480"/>
        <w:rPr>
          <w:color w:val="auto"/>
          <w:spacing w:val="0"/>
          <w:w w:val="100"/>
          <w:kern w:val="0"/>
          <w:position w:val="0"/>
          <w:szCs w:val="24"/>
        </w:rPr>
      </w:pPr>
      <w:r>
        <w:rPr>
          <w:color w:val="auto"/>
          <w:spacing w:val="0"/>
          <w:w w:val="100"/>
          <w:kern w:val="0"/>
          <w:position w:val="0"/>
          <w:szCs w:val="24"/>
        </w:rPr>
        <w:t>（6）对大气环境保护目标的影响分析</w:t>
      </w:r>
    </w:p>
    <w:p w14:paraId="568025C5">
      <w:pPr>
        <w:keepNext w:val="0"/>
        <w:keepLines w:val="0"/>
        <w:pageBreakBefore w:val="0"/>
        <w:widowControl w:val="0"/>
        <w:kinsoku/>
        <w:wordWrap/>
        <w:overflowPunct/>
        <w:topLinePunct w:val="0"/>
        <w:autoSpaceDE/>
        <w:autoSpaceDN/>
        <w:bidi w:val="0"/>
        <w:adjustRightInd w:val="0"/>
        <w:snapToGrid w:val="0"/>
        <w:ind w:firstLine="480"/>
        <w:rPr>
          <w:color w:val="auto"/>
          <w:spacing w:val="0"/>
          <w:w w:val="100"/>
          <w:position w:val="0"/>
        </w:rPr>
      </w:pPr>
      <w:r>
        <w:rPr>
          <w:rFonts w:eastAsiaTheme="minorEastAsia"/>
          <w:bCs/>
          <w:color w:val="auto"/>
          <w:spacing w:val="0"/>
          <w:w w:val="100"/>
          <w:kern w:val="0"/>
          <w:position w:val="0"/>
        </w:rPr>
        <w:t>根据估算模式预测结果，项目在</w:t>
      </w:r>
      <w:r>
        <w:rPr>
          <w:rFonts w:eastAsiaTheme="minorEastAsia"/>
          <w:color w:val="auto"/>
          <w:spacing w:val="0"/>
          <w:w w:val="100"/>
          <w:position w:val="0"/>
          <w:szCs w:val="32"/>
        </w:rPr>
        <w:t>采取废气污染治理措施后，污染物排放浓度可满足相应排放标准要求，</w:t>
      </w:r>
      <w:r>
        <w:rPr>
          <w:rFonts w:hint="eastAsia" w:eastAsiaTheme="minorEastAsia"/>
          <w:bCs/>
          <w:color w:val="auto"/>
          <w:spacing w:val="0"/>
          <w:w w:val="100"/>
          <w:kern w:val="0"/>
          <w:position w:val="0"/>
        </w:rPr>
        <w:t>且项目评价范围内大气环境保护目标均位于项目区侧风向</w:t>
      </w:r>
      <w:r>
        <w:rPr>
          <w:rFonts w:eastAsiaTheme="minorEastAsia"/>
          <w:bCs/>
          <w:color w:val="auto"/>
          <w:spacing w:val="0"/>
          <w:w w:val="100"/>
          <w:kern w:val="0"/>
          <w:position w:val="0"/>
        </w:rPr>
        <w:t>，运营期废气排放</w:t>
      </w:r>
      <w:r>
        <w:rPr>
          <w:rFonts w:eastAsiaTheme="minorEastAsia"/>
          <w:color w:val="auto"/>
          <w:spacing w:val="0"/>
          <w:w w:val="100"/>
          <w:position w:val="0"/>
        </w:rPr>
        <w:t>对周围大气环境及</w:t>
      </w:r>
      <w:r>
        <w:rPr>
          <w:color w:val="auto"/>
          <w:spacing w:val="0"/>
          <w:w w:val="100"/>
          <w:kern w:val="0"/>
          <w:position w:val="0"/>
          <w:szCs w:val="24"/>
        </w:rPr>
        <w:t>大气环境保护目标</w:t>
      </w:r>
      <w:r>
        <w:rPr>
          <w:rFonts w:eastAsiaTheme="minorEastAsia"/>
          <w:color w:val="auto"/>
          <w:spacing w:val="0"/>
          <w:w w:val="100"/>
          <w:position w:val="0"/>
        </w:rPr>
        <w:t>的影响较小。</w:t>
      </w:r>
    </w:p>
    <w:p w14:paraId="475F67C6">
      <w:pPr>
        <w:keepNext w:val="0"/>
        <w:keepLines w:val="0"/>
        <w:pageBreakBefore w:val="0"/>
        <w:widowControl w:val="0"/>
        <w:kinsoku/>
        <w:wordWrap/>
        <w:overflowPunct/>
        <w:topLinePunct w:val="0"/>
        <w:autoSpaceDE/>
        <w:autoSpaceDN/>
        <w:bidi w:val="0"/>
        <w:adjustRightInd w:val="0"/>
        <w:ind w:firstLine="480"/>
        <w:rPr>
          <w:color w:val="auto"/>
          <w:spacing w:val="0"/>
          <w:w w:val="100"/>
          <w:position w:val="0"/>
          <w:szCs w:val="24"/>
        </w:rPr>
      </w:pPr>
      <w:r>
        <w:rPr>
          <w:rFonts w:hint="eastAsia"/>
          <w:color w:val="auto"/>
          <w:spacing w:val="0"/>
          <w:w w:val="100"/>
          <w:kern w:val="0"/>
          <w:position w:val="0"/>
          <w:szCs w:val="24"/>
        </w:rPr>
        <w:t>（7）</w:t>
      </w:r>
      <w:r>
        <w:rPr>
          <w:color w:val="auto"/>
          <w:spacing w:val="0"/>
          <w:w w:val="100"/>
          <w:position w:val="0"/>
          <w:szCs w:val="24"/>
        </w:rPr>
        <w:t>非正常工况大气环境影响分析</w:t>
      </w:r>
    </w:p>
    <w:p w14:paraId="429DD529">
      <w:pPr>
        <w:keepNext w:val="0"/>
        <w:keepLines w:val="0"/>
        <w:pageBreakBefore w:val="0"/>
        <w:widowControl w:val="0"/>
        <w:kinsoku/>
        <w:wordWrap/>
        <w:overflowPunct/>
        <w:topLinePunct w:val="0"/>
        <w:autoSpaceDE/>
        <w:autoSpaceDN/>
        <w:bidi w:val="0"/>
        <w:ind w:firstLine="480"/>
        <w:rPr>
          <w:color w:val="auto"/>
          <w:spacing w:val="0"/>
          <w:w w:val="100"/>
          <w:kern w:val="0"/>
          <w:position w:val="0"/>
        </w:rPr>
      </w:pPr>
      <w:r>
        <w:rPr>
          <w:color w:val="auto"/>
          <w:spacing w:val="0"/>
          <w:w w:val="100"/>
          <w:kern w:val="0"/>
          <w:position w:val="0"/>
        </w:rPr>
        <w:t>本项目非正常工况主要指废气处理设施运行出现事故，达不到设计要求的处理效率。通过对项目废气产生环节及主要污染物识别，综合考虑废气的环境影响和事故可能发生的概率，本次环评非正常工况主要考虑除尘装置布袋破损、有机废气净化装置</w:t>
      </w:r>
      <w:r>
        <w:rPr>
          <w:rFonts w:hint="eastAsia"/>
          <w:color w:val="auto"/>
          <w:spacing w:val="0"/>
          <w:w w:val="100"/>
          <w:kern w:val="0"/>
          <w:position w:val="0"/>
        </w:rPr>
        <w:t>活性炭</w:t>
      </w:r>
      <w:r>
        <w:rPr>
          <w:color w:val="auto"/>
          <w:spacing w:val="0"/>
          <w:w w:val="100"/>
          <w:kern w:val="0"/>
          <w:position w:val="0"/>
        </w:rPr>
        <w:t>饱和等运转异常情况，异常情况持续1h，废气处理设备的处理效率降低为</w:t>
      </w:r>
      <w:r>
        <w:rPr>
          <w:rFonts w:hint="eastAsia"/>
          <w:color w:val="auto"/>
          <w:spacing w:val="0"/>
          <w:w w:val="100"/>
          <w:kern w:val="0"/>
          <w:position w:val="0"/>
        </w:rPr>
        <w:t>0</w:t>
      </w:r>
      <w:r>
        <w:rPr>
          <w:color w:val="auto"/>
          <w:spacing w:val="0"/>
          <w:w w:val="100"/>
          <w:kern w:val="0"/>
          <w:position w:val="0"/>
        </w:rPr>
        <w:t>%。非正常工况下有组织废气排放参数见表5.2</w:t>
      </w:r>
      <w:r>
        <w:rPr>
          <w:rFonts w:hint="eastAsia"/>
          <w:color w:val="auto"/>
          <w:spacing w:val="0"/>
          <w:w w:val="100"/>
          <w:kern w:val="0"/>
          <w:position w:val="0"/>
          <w:lang w:val="en-US" w:eastAsia="zh-CN"/>
        </w:rPr>
        <w:t>.1-5</w:t>
      </w:r>
      <w:r>
        <w:rPr>
          <w:color w:val="auto"/>
          <w:spacing w:val="0"/>
          <w:w w:val="100"/>
          <w:kern w:val="0"/>
          <w:position w:val="0"/>
        </w:rPr>
        <w:t>，预测结果见表5.2</w:t>
      </w:r>
      <w:r>
        <w:rPr>
          <w:rFonts w:hint="eastAsia"/>
          <w:color w:val="auto"/>
          <w:spacing w:val="0"/>
          <w:w w:val="100"/>
          <w:kern w:val="0"/>
          <w:position w:val="0"/>
          <w:lang w:val="en-US" w:eastAsia="zh-CN"/>
        </w:rPr>
        <w:t>.1-6</w:t>
      </w:r>
      <w:r>
        <w:rPr>
          <w:color w:val="auto"/>
          <w:spacing w:val="0"/>
          <w:w w:val="100"/>
          <w:kern w:val="0"/>
          <w:position w:val="0"/>
        </w:rPr>
        <w:t>。</w:t>
      </w:r>
    </w:p>
    <w:p w14:paraId="37DE5BEF">
      <w:pPr>
        <w:pStyle w:val="11"/>
        <w:keepNext w:val="0"/>
        <w:keepLines w:val="0"/>
        <w:pageBreakBefore w:val="0"/>
        <w:widowControl w:val="0"/>
        <w:kinsoku/>
        <w:wordWrap/>
        <w:overflowPunct/>
        <w:topLinePunct w:val="0"/>
        <w:autoSpaceDE/>
        <w:autoSpaceDN/>
        <w:bidi w:val="0"/>
        <w:adjustRightInd/>
        <w:spacing w:after="0" w:line="240" w:lineRule="auto"/>
        <w:ind w:firstLine="0" w:firstLineChars="0"/>
        <w:jc w:val="center"/>
        <w:textAlignment w:val="auto"/>
        <w:rPr>
          <w:b/>
          <w:bCs/>
          <w:color w:val="auto"/>
          <w:spacing w:val="0"/>
          <w:w w:val="100"/>
          <w:position w:val="0"/>
          <w:sz w:val="21"/>
          <w:szCs w:val="21"/>
        </w:rPr>
      </w:pPr>
      <w:r>
        <w:rPr>
          <w:b/>
          <w:bCs/>
          <w:color w:val="auto"/>
          <w:spacing w:val="0"/>
          <w:w w:val="100"/>
          <w:position w:val="0"/>
          <w:sz w:val="21"/>
          <w:szCs w:val="21"/>
        </w:rPr>
        <w:t>表5.2</w:t>
      </w:r>
      <w:r>
        <w:rPr>
          <w:rFonts w:hint="eastAsia"/>
          <w:b/>
          <w:bCs/>
          <w:color w:val="auto"/>
          <w:spacing w:val="0"/>
          <w:w w:val="100"/>
          <w:position w:val="0"/>
          <w:sz w:val="21"/>
          <w:szCs w:val="21"/>
          <w:lang w:val="en-US" w:eastAsia="zh-CN"/>
        </w:rPr>
        <w:t>.1-5</w:t>
      </w:r>
      <w:r>
        <w:rPr>
          <w:b/>
          <w:bCs/>
          <w:color w:val="auto"/>
          <w:spacing w:val="0"/>
          <w:w w:val="100"/>
          <w:position w:val="0"/>
          <w:sz w:val="21"/>
          <w:szCs w:val="21"/>
        </w:rPr>
        <w:t xml:space="preserve">  非正常工况下有组织大气污染源特征参数统计表</w:t>
      </w:r>
    </w:p>
    <w:tbl>
      <w:tblPr>
        <w:tblStyle w:val="25"/>
        <w:tblW w:w="905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470"/>
        <w:gridCol w:w="862"/>
        <w:gridCol w:w="661"/>
        <w:gridCol w:w="545"/>
        <w:gridCol w:w="1314"/>
        <w:gridCol w:w="585"/>
        <w:gridCol w:w="657"/>
        <w:gridCol w:w="1076"/>
        <w:gridCol w:w="1290"/>
        <w:gridCol w:w="1599"/>
      </w:tblGrid>
      <w:tr w14:paraId="60B09D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0" w:type="auto"/>
            <w:vMerge w:val="restart"/>
            <w:tcBorders>
              <w:tl2br w:val="nil"/>
              <w:tr2bl w:val="nil"/>
            </w:tcBorders>
            <w:vAlign w:val="center"/>
          </w:tcPr>
          <w:p w14:paraId="23C1E61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position w:val="0"/>
                <w:sz w:val="21"/>
              </w:rPr>
            </w:pPr>
            <w:r>
              <w:rPr>
                <w:rFonts w:hint="default"/>
                <w:b/>
                <w:bCs/>
                <w:color w:val="auto"/>
                <w:spacing w:val="0"/>
                <w:w w:val="100"/>
                <w:position w:val="0"/>
                <w:sz w:val="21"/>
              </w:rPr>
              <w:t>序号</w:t>
            </w:r>
          </w:p>
        </w:tc>
        <w:tc>
          <w:tcPr>
            <w:tcW w:w="862" w:type="dxa"/>
            <w:vMerge w:val="restart"/>
            <w:tcBorders>
              <w:tl2br w:val="nil"/>
              <w:tr2bl w:val="nil"/>
            </w:tcBorders>
            <w:vAlign w:val="center"/>
          </w:tcPr>
          <w:p w14:paraId="10F2D27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position w:val="0"/>
                <w:sz w:val="21"/>
              </w:rPr>
            </w:pPr>
            <w:r>
              <w:rPr>
                <w:rFonts w:hint="default"/>
                <w:b/>
                <w:bCs/>
                <w:color w:val="auto"/>
                <w:spacing w:val="0"/>
                <w:w w:val="100"/>
                <w:position w:val="0"/>
                <w:sz w:val="21"/>
              </w:rPr>
              <w:t>名称</w:t>
            </w:r>
          </w:p>
        </w:tc>
        <w:tc>
          <w:tcPr>
            <w:tcW w:w="546" w:type="dxa"/>
            <w:gridSpan w:val="2"/>
            <w:tcBorders>
              <w:tl2br w:val="nil"/>
              <w:tr2bl w:val="nil"/>
            </w:tcBorders>
            <w:vAlign w:val="center"/>
          </w:tcPr>
          <w:p w14:paraId="37194A9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position w:val="0"/>
                <w:sz w:val="21"/>
              </w:rPr>
            </w:pPr>
            <w:r>
              <w:rPr>
                <w:rFonts w:hint="default"/>
                <w:b/>
                <w:bCs/>
                <w:color w:val="auto"/>
                <w:spacing w:val="0"/>
                <w:w w:val="100"/>
                <w:position w:val="0"/>
                <w:sz w:val="21"/>
              </w:rPr>
              <w:t>排气筒底部中心坐标</w:t>
            </w:r>
          </w:p>
        </w:tc>
        <w:tc>
          <w:tcPr>
            <w:tcW w:w="1317" w:type="dxa"/>
            <w:vMerge w:val="restart"/>
            <w:tcBorders>
              <w:tl2br w:val="nil"/>
              <w:tr2bl w:val="nil"/>
            </w:tcBorders>
            <w:vAlign w:val="center"/>
          </w:tcPr>
          <w:p w14:paraId="6C952D1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position w:val="0"/>
                <w:sz w:val="21"/>
              </w:rPr>
            </w:pPr>
            <w:r>
              <w:rPr>
                <w:rFonts w:hint="default"/>
                <w:b/>
                <w:bCs/>
                <w:color w:val="auto"/>
                <w:spacing w:val="0"/>
                <w:w w:val="100"/>
                <w:position w:val="0"/>
                <w:sz w:val="21"/>
              </w:rPr>
              <w:t>排气筒底部海拔高度/m</w:t>
            </w:r>
          </w:p>
        </w:tc>
        <w:tc>
          <w:tcPr>
            <w:tcW w:w="658" w:type="dxa"/>
            <w:gridSpan w:val="2"/>
            <w:tcBorders>
              <w:tl2br w:val="nil"/>
              <w:tr2bl w:val="nil"/>
            </w:tcBorders>
            <w:vAlign w:val="center"/>
          </w:tcPr>
          <w:p w14:paraId="3DDE3CD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position w:val="0"/>
                <w:sz w:val="21"/>
              </w:rPr>
            </w:pPr>
            <w:r>
              <w:rPr>
                <w:rFonts w:hint="default"/>
                <w:b/>
                <w:bCs/>
                <w:color w:val="auto"/>
                <w:spacing w:val="0"/>
                <w:w w:val="100"/>
                <w:position w:val="0"/>
                <w:sz w:val="21"/>
              </w:rPr>
              <w:t>排气筒参数/m</w:t>
            </w:r>
          </w:p>
        </w:tc>
        <w:tc>
          <w:tcPr>
            <w:tcW w:w="1078" w:type="dxa"/>
            <w:vMerge w:val="restart"/>
            <w:tcBorders>
              <w:tl2br w:val="nil"/>
              <w:tr2bl w:val="nil"/>
            </w:tcBorders>
            <w:vAlign w:val="center"/>
          </w:tcPr>
          <w:p w14:paraId="6092A0F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position w:val="0"/>
                <w:sz w:val="21"/>
              </w:rPr>
            </w:pPr>
            <w:r>
              <w:rPr>
                <w:rFonts w:hint="default"/>
                <w:b/>
                <w:bCs/>
                <w:color w:val="auto"/>
                <w:spacing w:val="0"/>
                <w:w w:val="100"/>
                <w:position w:val="0"/>
                <w:sz w:val="21"/>
              </w:rPr>
              <w:t>废气温度/℃</w:t>
            </w:r>
          </w:p>
        </w:tc>
        <w:tc>
          <w:tcPr>
            <w:tcW w:w="1292" w:type="dxa"/>
            <w:gridSpan w:val="2"/>
            <w:tcBorders>
              <w:tl2br w:val="nil"/>
              <w:tr2bl w:val="nil"/>
            </w:tcBorders>
            <w:vAlign w:val="center"/>
          </w:tcPr>
          <w:p w14:paraId="2761467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position w:val="0"/>
                <w:sz w:val="21"/>
              </w:rPr>
            </w:pPr>
            <w:r>
              <w:rPr>
                <w:rFonts w:hint="default"/>
                <w:b/>
                <w:bCs/>
                <w:color w:val="auto"/>
                <w:spacing w:val="0"/>
                <w:w w:val="100"/>
                <w:position w:val="0"/>
                <w:sz w:val="21"/>
              </w:rPr>
              <w:t>污染物排放速率/（kg/h）</w:t>
            </w:r>
          </w:p>
        </w:tc>
      </w:tr>
      <w:tr w14:paraId="1F26AF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0" w:type="auto"/>
            <w:vMerge w:val="continue"/>
            <w:tcBorders>
              <w:tl2br w:val="nil"/>
              <w:tr2bl w:val="nil"/>
            </w:tcBorders>
            <w:vAlign w:val="center"/>
          </w:tcPr>
          <w:p w14:paraId="3B602E4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position w:val="0"/>
                <w:sz w:val="21"/>
              </w:rPr>
            </w:pPr>
          </w:p>
        </w:tc>
        <w:tc>
          <w:tcPr>
            <w:tcW w:w="862" w:type="dxa"/>
            <w:vMerge w:val="continue"/>
            <w:tcBorders>
              <w:tl2br w:val="nil"/>
              <w:tr2bl w:val="nil"/>
            </w:tcBorders>
            <w:vAlign w:val="center"/>
          </w:tcPr>
          <w:p w14:paraId="71A6417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position w:val="0"/>
                <w:sz w:val="21"/>
              </w:rPr>
            </w:pPr>
          </w:p>
        </w:tc>
        <w:tc>
          <w:tcPr>
            <w:tcW w:w="662" w:type="dxa"/>
            <w:tcBorders>
              <w:tl2br w:val="nil"/>
              <w:tr2bl w:val="nil"/>
            </w:tcBorders>
            <w:vAlign w:val="center"/>
          </w:tcPr>
          <w:p w14:paraId="6BCBED3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baseline"/>
              <w:rPr>
                <w:rFonts w:hint="default"/>
                <w:b/>
                <w:bCs/>
                <w:color w:val="auto"/>
                <w:spacing w:val="0"/>
                <w:w w:val="100"/>
                <w:position w:val="0"/>
                <w:sz w:val="21"/>
              </w:rPr>
            </w:pPr>
            <w:r>
              <w:rPr>
                <w:rFonts w:hint="default"/>
                <w:b/>
                <w:bCs/>
                <w:color w:val="auto"/>
                <w:spacing w:val="0"/>
                <w:w w:val="100"/>
                <w:kern w:val="0"/>
                <w:position w:val="0"/>
                <w:sz w:val="21"/>
              </w:rPr>
              <w:t>X</w:t>
            </w:r>
          </w:p>
        </w:tc>
        <w:tc>
          <w:tcPr>
            <w:tcW w:w="546" w:type="dxa"/>
            <w:tcBorders>
              <w:tl2br w:val="nil"/>
              <w:tr2bl w:val="nil"/>
            </w:tcBorders>
            <w:vAlign w:val="center"/>
          </w:tcPr>
          <w:p w14:paraId="2CB47E4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baseline"/>
              <w:rPr>
                <w:rFonts w:hint="default"/>
                <w:b/>
                <w:bCs/>
                <w:color w:val="auto"/>
                <w:spacing w:val="0"/>
                <w:w w:val="100"/>
                <w:position w:val="0"/>
                <w:sz w:val="21"/>
              </w:rPr>
            </w:pPr>
            <w:r>
              <w:rPr>
                <w:rFonts w:hint="default"/>
                <w:b/>
                <w:bCs/>
                <w:color w:val="auto"/>
                <w:spacing w:val="0"/>
                <w:w w:val="100"/>
                <w:kern w:val="0"/>
                <w:position w:val="0"/>
                <w:sz w:val="21"/>
              </w:rPr>
              <w:t>Y</w:t>
            </w:r>
          </w:p>
        </w:tc>
        <w:tc>
          <w:tcPr>
            <w:tcW w:w="1317" w:type="dxa"/>
            <w:vMerge w:val="continue"/>
            <w:tcBorders>
              <w:tl2br w:val="nil"/>
              <w:tr2bl w:val="nil"/>
            </w:tcBorders>
            <w:vAlign w:val="center"/>
          </w:tcPr>
          <w:p w14:paraId="04EDAD6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position w:val="0"/>
                <w:sz w:val="21"/>
              </w:rPr>
            </w:pPr>
          </w:p>
        </w:tc>
        <w:tc>
          <w:tcPr>
            <w:tcW w:w="0" w:type="auto"/>
            <w:tcBorders>
              <w:tl2br w:val="nil"/>
              <w:tr2bl w:val="nil"/>
            </w:tcBorders>
            <w:vAlign w:val="center"/>
          </w:tcPr>
          <w:p w14:paraId="2ACB29A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position w:val="0"/>
                <w:sz w:val="21"/>
              </w:rPr>
            </w:pPr>
            <w:r>
              <w:rPr>
                <w:rFonts w:hint="default"/>
                <w:b/>
                <w:bCs/>
                <w:color w:val="auto"/>
                <w:spacing w:val="0"/>
                <w:w w:val="100"/>
                <w:position w:val="0"/>
                <w:sz w:val="21"/>
              </w:rPr>
              <w:t>高度</w:t>
            </w:r>
          </w:p>
        </w:tc>
        <w:tc>
          <w:tcPr>
            <w:tcW w:w="658" w:type="dxa"/>
            <w:tcBorders>
              <w:tl2br w:val="nil"/>
              <w:tr2bl w:val="nil"/>
            </w:tcBorders>
            <w:vAlign w:val="center"/>
          </w:tcPr>
          <w:p w14:paraId="1007F83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position w:val="0"/>
                <w:sz w:val="21"/>
              </w:rPr>
            </w:pPr>
            <w:r>
              <w:rPr>
                <w:rFonts w:hint="default"/>
                <w:b/>
                <w:bCs/>
                <w:color w:val="auto"/>
                <w:spacing w:val="0"/>
                <w:w w:val="100"/>
                <w:position w:val="0"/>
                <w:sz w:val="21"/>
              </w:rPr>
              <w:t>内径</w:t>
            </w:r>
          </w:p>
        </w:tc>
        <w:tc>
          <w:tcPr>
            <w:tcW w:w="1078" w:type="dxa"/>
            <w:vMerge w:val="continue"/>
            <w:tcBorders>
              <w:tl2br w:val="nil"/>
              <w:tr2bl w:val="nil"/>
            </w:tcBorders>
            <w:vAlign w:val="center"/>
          </w:tcPr>
          <w:p w14:paraId="70AFC64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position w:val="0"/>
                <w:sz w:val="21"/>
              </w:rPr>
            </w:pPr>
          </w:p>
        </w:tc>
        <w:tc>
          <w:tcPr>
            <w:tcW w:w="1292" w:type="dxa"/>
            <w:tcBorders>
              <w:tl2br w:val="nil"/>
              <w:tr2bl w:val="nil"/>
            </w:tcBorders>
            <w:vAlign w:val="center"/>
          </w:tcPr>
          <w:p w14:paraId="5DAEEBF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b/>
                <w:bCs/>
                <w:color w:val="auto"/>
                <w:spacing w:val="0"/>
                <w:w w:val="100"/>
                <w:position w:val="0"/>
                <w:sz w:val="21"/>
              </w:rPr>
            </w:pPr>
            <w:r>
              <w:rPr>
                <w:rFonts w:hint="default"/>
                <w:b/>
                <w:bCs/>
                <w:color w:val="auto"/>
                <w:spacing w:val="0"/>
                <w:w w:val="100"/>
                <w:position w:val="0"/>
                <w:sz w:val="21"/>
              </w:rPr>
              <w:t>非甲烷总烃</w:t>
            </w:r>
          </w:p>
        </w:tc>
        <w:tc>
          <w:tcPr>
            <w:tcW w:w="1603" w:type="dxa"/>
            <w:tcBorders>
              <w:tl2br w:val="nil"/>
              <w:tr2bl w:val="nil"/>
            </w:tcBorders>
            <w:vAlign w:val="center"/>
          </w:tcPr>
          <w:p w14:paraId="548B242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eastAsia" w:eastAsia="宋体"/>
                <w:b/>
                <w:bCs/>
                <w:color w:val="auto"/>
                <w:spacing w:val="0"/>
                <w:w w:val="100"/>
                <w:position w:val="0"/>
                <w:sz w:val="21"/>
                <w:lang w:eastAsia="zh-CN"/>
              </w:rPr>
            </w:pPr>
            <w:r>
              <w:rPr>
                <w:rFonts w:hint="eastAsia"/>
                <w:b/>
                <w:bCs/>
                <w:color w:val="auto"/>
                <w:spacing w:val="0"/>
                <w:w w:val="100"/>
                <w:position w:val="0"/>
                <w:sz w:val="21"/>
                <w:lang w:val="en-US" w:eastAsia="zh-CN"/>
              </w:rPr>
              <w:t>PM</w:t>
            </w:r>
            <w:r>
              <w:rPr>
                <w:rFonts w:hint="eastAsia"/>
                <w:b/>
                <w:bCs/>
                <w:color w:val="auto"/>
                <w:spacing w:val="0"/>
                <w:w w:val="100"/>
                <w:position w:val="0"/>
                <w:sz w:val="21"/>
                <w:vertAlign w:val="subscript"/>
                <w:lang w:val="en-US" w:eastAsia="zh-CN"/>
              </w:rPr>
              <w:t>10</w:t>
            </w:r>
          </w:p>
        </w:tc>
      </w:tr>
      <w:tr w14:paraId="0E2510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0" w:type="auto"/>
            <w:tcBorders>
              <w:tl2br w:val="nil"/>
              <w:tr2bl w:val="nil"/>
            </w:tcBorders>
            <w:vAlign w:val="center"/>
          </w:tcPr>
          <w:p w14:paraId="3D4B8FC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color w:val="auto"/>
                <w:spacing w:val="0"/>
                <w:w w:val="100"/>
                <w:position w:val="0"/>
                <w:sz w:val="21"/>
              </w:rPr>
            </w:pPr>
            <w:r>
              <w:rPr>
                <w:rFonts w:hint="default"/>
                <w:color w:val="auto"/>
                <w:spacing w:val="0"/>
                <w:w w:val="100"/>
                <w:position w:val="0"/>
                <w:sz w:val="21"/>
              </w:rPr>
              <w:t>1</w:t>
            </w:r>
          </w:p>
        </w:tc>
        <w:tc>
          <w:tcPr>
            <w:tcW w:w="862" w:type="dxa"/>
            <w:tcBorders>
              <w:tl2br w:val="nil"/>
              <w:tr2bl w:val="nil"/>
            </w:tcBorders>
            <w:vAlign w:val="center"/>
          </w:tcPr>
          <w:p w14:paraId="082A941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color w:val="auto"/>
                <w:spacing w:val="0"/>
                <w:w w:val="100"/>
                <w:position w:val="0"/>
                <w:sz w:val="21"/>
              </w:rPr>
            </w:pPr>
            <w:r>
              <w:rPr>
                <w:rFonts w:hint="default"/>
                <w:color w:val="auto"/>
                <w:spacing w:val="0"/>
                <w:w w:val="100"/>
                <w:kern w:val="0"/>
                <w:position w:val="0"/>
                <w:sz w:val="21"/>
              </w:rPr>
              <w:t>DA00</w:t>
            </w:r>
            <w:r>
              <w:rPr>
                <w:rFonts w:hint="eastAsia"/>
                <w:color w:val="auto"/>
                <w:spacing w:val="0"/>
                <w:w w:val="100"/>
                <w:kern w:val="0"/>
                <w:position w:val="0"/>
                <w:sz w:val="21"/>
                <w:lang w:val="en-US" w:eastAsia="zh-CN"/>
              </w:rPr>
              <w:t>1</w:t>
            </w:r>
          </w:p>
        </w:tc>
        <w:tc>
          <w:tcPr>
            <w:tcW w:w="662" w:type="dxa"/>
            <w:tcBorders>
              <w:tl2br w:val="nil"/>
              <w:tr2bl w:val="nil"/>
            </w:tcBorders>
            <w:vAlign w:val="center"/>
          </w:tcPr>
          <w:p w14:paraId="1127AFC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color w:val="auto"/>
                <w:spacing w:val="0"/>
                <w:w w:val="100"/>
                <w:position w:val="0"/>
                <w:sz w:val="21"/>
              </w:rPr>
            </w:pPr>
            <w:r>
              <w:rPr>
                <w:rFonts w:hint="eastAsia"/>
                <w:color w:val="auto"/>
                <w:spacing w:val="0"/>
                <w:w w:val="100"/>
                <w:kern w:val="21"/>
                <w:position w:val="0"/>
                <w:sz w:val="21"/>
              </w:rPr>
              <w:t>-</w:t>
            </w:r>
            <w:r>
              <w:rPr>
                <w:rFonts w:hint="eastAsia"/>
                <w:color w:val="auto"/>
                <w:spacing w:val="0"/>
                <w:w w:val="100"/>
                <w:kern w:val="21"/>
                <w:position w:val="0"/>
                <w:sz w:val="21"/>
                <w:lang w:val="en-US" w:eastAsia="zh-CN"/>
              </w:rPr>
              <w:t>23</w:t>
            </w:r>
          </w:p>
        </w:tc>
        <w:tc>
          <w:tcPr>
            <w:tcW w:w="546" w:type="dxa"/>
            <w:tcBorders>
              <w:tl2br w:val="nil"/>
              <w:tr2bl w:val="nil"/>
            </w:tcBorders>
            <w:vAlign w:val="center"/>
          </w:tcPr>
          <w:p w14:paraId="540890D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color w:val="auto"/>
                <w:spacing w:val="0"/>
                <w:w w:val="100"/>
                <w:position w:val="0"/>
                <w:sz w:val="21"/>
              </w:rPr>
            </w:pPr>
            <w:r>
              <w:rPr>
                <w:rFonts w:hint="eastAsia"/>
                <w:color w:val="auto"/>
                <w:spacing w:val="0"/>
                <w:w w:val="100"/>
                <w:kern w:val="21"/>
                <w:position w:val="0"/>
                <w:sz w:val="21"/>
              </w:rPr>
              <w:t>-</w:t>
            </w:r>
            <w:r>
              <w:rPr>
                <w:rFonts w:hint="eastAsia"/>
                <w:color w:val="auto"/>
                <w:spacing w:val="0"/>
                <w:w w:val="100"/>
                <w:kern w:val="21"/>
                <w:position w:val="0"/>
                <w:sz w:val="21"/>
                <w:lang w:val="en-US" w:eastAsia="zh-CN"/>
              </w:rPr>
              <w:t>11</w:t>
            </w:r>
          </w:p>
        </w:tc>
        <w:tc>
          <w:tcPr>
            <w:tcW w:w="1317" w:type="dxa"/>
            <w:tcBorders>
              <w:tl2br w:val="nil"/>
              <w:tr2bl w:val="nil"/>
            </w:tcBorders>
            <w:vAlign w:val="center"/>
          </w:tcPr>
          <w:p w14:paraId="126C3AF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color w:val="auto"/>
                <w:spacing w:val="0"/>
                <w:w w:val="100"/>
                <w:position w:val="0"/>
                <w:sz w:val="21"/>
              </w:rPr>
            </w:pPr>
            <w:r>
              <w:rPr>
                <w:rFonts w:hint="eastAsia"/>
                <w:color w:val="auto"/>
                <w:spacing w:val="0"/>
                <w:w w:val="100"/>
                <w:kern w:val="21"/>
                <w:position w:val="0"/>
                <w:sz w:val="21"/>
                <w:lang w:val="en-US" w:eastAsia="zh-CN"/>
              </w:rPr>
              <w:t>514</w:t>
            </w:r>
          </w:p>
        </w:tc>
        <w:tc>
          <w:tcPr>
            <w:tcW w:w="0" w:type="auto"/>
            <w:tcBorders>
              <w:tl2br w:val="nil"/>
              <w:tr2bl w:val="nil"/>
            </w:tcBorders>
            <w:vAlign w:val="center"/>
          </w:tcPr>
          <w:p w14:paraId="701D4C3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color w:val="auto"/>
                <w:spacing w:val="0"/>
                <w:w w:val="100"/>
                <w:position w:val="0"/>
                <w:sz w:val="21"/>
              </w:rPr>
            </w:pPr>
            <w:r>
              <w:rPr>
                <w:rFonts w:hint="default"/>
                <w:color w:val="auto"/>
                <w:spacing w:val="0"/>
                <w:w w:val="100"/>
                <w:position w:val="0"/>
                <w:sz w:val="21"/>
              </w:rPr>
              <w:t>15</w:t>
            </w:r>
          </w:p>
        </w:tc>
        <w:tc>
          <w:tcPr>
            <w:tcW w:w="658" w:type="dxa"/>
            <w:tcBorders>
              <w:tl2br w:val="nil"/>
              <w:tr2bl w:val="nil"/>
            </w:tcBorders>
            <w:vAlign w:val="center"/>
          </w:tcPr>
          <w:p w14:paraId="5BC3D0B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color w:val="auto"/>
                <w:spacing w:val="0"/>
                <w:w w:val="100"/>
                <w:position w:val="0"/>
                <w:sz w:val="21"/>
              </w:rPr>
            </w:pPr>
            <w:r>
              <w:rPr>
                <w:rFonts w:hint="default"/>
                <w:color w:val="auto"/>
                <w:spacing w:val="0"/>
                <w:w w:val="100"/>
                <w:position w:val="0"/>
                <w:sz w:val="21"/>
              </w:rPr>
              <w:t>0.4</w:t>
            </w:r>
          </w:p>
        </w:tc>
        <w:tc>
          <w:tcPr>
            <w:tcW w:w="1078" w:type="dxa"/>
            <w:tcBorders>
              <w:tl2br w:val="nil"/>
              <w:tr2bl w:val="nil"/>
            </w:tcBorders>
            <w:vAlign w:val="center"/>
          </w:tcPr>
          <w:p w14:paraId="04CDBC0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color w:val="auto"/>
                <w:spacing w:val="0"/>
                <w:w w:val="100"/>
                <w:position w:val="0"/>
                <w:sz w:val="21"/>
              </w:rPr>
            </w:pPr>
            <w:r>
              <w:rPr>
                <w:rFonts w:hint="default"/>
                <w:color w:val="auto"/>
                <w:spacing w:val="0"/>
                <w:w w:val="100"/>
                <w:kern w:val="0"/>
                <w:position w:val="0"/>
                <w:sz w:val="21"/>
              </w:rPr>
              <w:t>环境温度</w:t>
            </w:r>
          </w:p>
        </w:tc>
        <w:tc>
          <w:tcPr>
            <w:tcW w:w="1292" w:type="dxa"/>
            <w:tcBorders>
              <w:tl2br w:val="nil"/>
              <w:tr2bl w:val="nil"/>
            </w:tcBorders>
            <w:vAlign w:val="center"/>
          </w:tcPr>
          <w:p w14:paraId="49AFCDD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color w:val="auto"/>
                <w:spacing w:val="0"/>
                <w:w w:val="100"/>
                <w:position w:val="0"/>
                <w:sz w:val="21"/>
              </w:rPr>
            </w:pPr>
            <w:r>
              <w:rPr>
                <w:rFonts w:hint="default"/>
                <w:color w:val="auto"/>
                <w:spacing w:val="0"/>
                <w:w w:val="100"/>
                <w:position w:val="0"/>
                <w:sz w:val="21"/>
              </w:rPr>
              <w:t>/</w:t>
            </w:r>
          </w:p>
        </w:tc>
        <w:tc>
          <w:tcPr>
            <w:tcW w:w="1603" w:type="dxa"/>
            <w:tcBorders>
              <w:tl2br w:val="nil"/>
              <w:tr2bl w:val="nil"/>
            </w:tcBorders>
            <w:vAlign w:val="center"/>
          </w:tcPr>
          <w:p w14:paraId="6FB9A57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eastAsia="宋体"/>
                <w:color w:val="auto"/>
                <w:spacing w:val="0"/>
                <w:w w:val="100"/>
                <w:position w:val="0"/>
                <w:sz w:val="21"/>
                <w:lang w:val="en-US" w:eastAsia="zh-CN"/>
              </w:rPr>
            </w:pPr>
            <w:r>
              <w:rPr>
                <w:rFonts w:hint="eastAsia"/>
                <w:color w:val="auto"/>
                <w:spacing w:val="0"/>
                <w:w w:val="100"/>
                <w:position w:val="0"/>
                <w:sz w:val="21"/>
                <w:lang w:val="en-US" w:eastAsia="zh-CN"/>
              </w:rPr>
              <w:t>5.486</w:t>
            </w:r>
          </w:p>
        </w:tc>
      </w:tr>
      <w:tr w14:paraId="161272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471" w:type="dxa"/>
            <w:tcBorders>
              <w:tl2br w:val="nil"/>
              <w:tr2bl w:val="nil"/>
            </w:tcBorders>
            <w:vAlign w:val="center"/>
          </w:tcPr>
          <w:p w14:paraId="13D2218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color w:val="auto"/>
                <w:spacing w:val="0"/>
                <w:w w:val="100"/>
                <w:position w:val="0"/>
                <w:sz w:val="21"/>
              </w:rPr>
            </w:pPr>
            <w:r>
              <w:rPr>
                <w:rFonts w:hint="default"/>
                <w:color w:val="auto"/>
                <w:spacing w:val="0"/>
                <w:w w:val="100"/>
                <w:position w:val="0"/>
                <w:sz w:val="21"/>
              </w:rPr>
              <w:t>2</w:t>
            </w:r>
          </w:p>
        </w:tc>
        <w:tc>
          <w:tcPr>
            <w:tcW w:w="862" w:type="dxa"/>
            <w:tcBorders>
              <w:tl2br w:val="nil"/>
              <w:tr2bl w:val="nil"/>
            </w:tcBorders>
            <w:vAlign w:val="center"/>
          </w:tcPr>
          <w:p w14:paraId="2AE3660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eastAsia" w:eastAsia="宋体"/>
                <w:color w:val="auto"/>
                <w:spacing w:val="0"/>
                <w:w w:val="100"/>
                <w:position w:val="0"/>
                <w:sz w:val="21"/>
                <w:lang w:val="en-US" w:eastAsia="zh-CN"/>
              </w:rPr>
            </w:pPr>
            <w:r>
              <w:rPr>
                <w:rFonts w:hint="eastAsia"/>
                <w:color w:val="auto"/>
                <w:spacing w:val="0"/>
                <w:w w:val="100"/>
                <w:kern w:val="0"/>
                <w:position w:val="0"/>
                <w:sz w:val="21"/>
              </w:rPr>
              <w:t>DA00</w:t>
            </w:r>
            <w:r>
              <w:rPr>
                <w:rFonts w:hint="eastAsia"/>
                <w:color w:val="auto"/>
                <w:spacing w:val="0"/>
                <w:w w:val="100"/>
                <w:kern w:val="0"/>
                <w:position w:val="0"/>
                <w:sz w:val="21"/>
                <w:lang w:val="en-US" w:eastAsia="zh-CN"/>
              </w:rPr>
              <w:t>2</w:t>
            </w:r>
          </w:p>
        </w:tc>
        <w:tc>
          <w:tcPr>
            <w:tcW w:w="662" w:type="dxa"/>
            <w:tcBorders>
              <w:tl2br w:val="nil"/>
              <w:tr2bl w:val="nil"/>
            </w:tcBorders>
            <w:vAlign w:val="center"/>
          </w:tcPr>
          <w:p w14:paraId="264E895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color w:val="auto"/>
                <w:spacing w:val="0"/>
                <w:w w:val="100"/>
                <w:position w:val="0"/>
                <w:sz w:val="21"/>
              </w:rPr>
            </w:pPr>
            <w:r>
              <w:rPr>
                <w:rFonts w:hint="eastAsia"/>
                <w:color w:val="auto"/>
                <w:spacing w:val="0"/>
                <w:w w:val="100"/>
                <w:kern w:val="21"/>
                <w:position w:val="0"/>
                <w:sz w:val="21"/>
              </w:rPr>
              <w:t>-</w:t>
            </w:r>
            <w:r>
              <w:rPr>
                <w:rFonts w:hint="eastAsia"/>
                <w:color w:val="auto"/>
                <w:spacing w:val="0"/>
                <w:w w:val="100"/>
                <w:kern w:val="21"/>
                <w:position w:val="0"/>
                <w:sz w:val="21"/>
                <w:lang w:val="en-US" w:eastAsia="zh-CN"/>
              </w:rPr>
              <w:t>40</w:t>
            </w:r>
          </w:p>
        </w:tc>
        <w:tc>
          <w:tcPr>
            <w:tcW w:w="546" w:type="dxa"/>
            <w:tcBorders>
              <w:tl2br w:val="nil"/>
              <w:tr2bl w:val="nil"/>
            </w:tcBorders>
            <w:vAlign w:val="center"/>
          </w:tcPr>
          <w:p w14:paraId="78AC910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color w:val="auto"/>
                <w:spacing w:val="0"/>
                <w:w w:val="100"/>
                <w:position w:val="0"/>
                <w:sz w:val="21"/>
              </w:rPr>
            </w:pPr>
            <w:r>
              <w:rPr>
                <w:rFonts w:hint="eastAsia"/>
                <w:color w:val="auto"/>
                <w:spacing w:val="0"/>
                <w:w w:val="100"/>
                <w:kern w:val="21"/>
                <w:position w:val="0"/>
                <w:sz w:val="21"/>
              </w:rPr>
              <w:t>-</w:t>
            </w:r>
            <w:r>
              <w:rPr>
                <w:rFonts w:hint="eastAsia"/>
                <w:color w:val="auto"/>
                <w:spacing w:val="0"/>
                <w:w w:val="100"/>
                <w:kern w:val="21"/>
                <w:position w:val="0"/>
                <w:sz w:val="21"/>
                <w:lang w:val="en-US" w:eastAsia="zh-CN"/>
              </w:rPr>
              <w:t>9</w:t>
            </w:r>
          </w:p>
        </w:tc>
        <w:tc>
          <w:tcPr>
            <w:tcW w:w="1317" w:type="dxa"/>
            <w:tcBorders>
              <w:tl2br w:val="nil"/>
              <w:tr2bl w:val="nil"/>
            </w:tcBorders>
            <w:vAlign w:val="center"/>
          </w:tcPr>
          <w:p w14:paraId="7FD12DC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color w:val="auto"/>
                <w:spacing w:val="0"/>
                <w:w w:val="100"/>
                <w:position w:val="0"/>
                <w:sz w:val="21"/>
              </w:rPr>
            </w:pPr>
            <w:r>
              <w:rPr>
                <w:rFonts w:hint="eastAsia"/>
                <w:color w:val="auto"/>
                <w:spacing w:val="0"/>
                <w:w w:val="100"/>
                <w:kern w:val="21"/>
                <w:position w:val="0"/>
                <w:sz w:val="21"/>
                <w:lang w:val="en-US" w:eastAsia="zh-CN"/>
              </w:rPr>
              <w:t>514</w:t>
            </w:r>
          </w:p>
        </w:tc>
        <w:tc>
          <w:tcPr>
            <w:tcW w:w="586" w:type="dxa"/>
            <w:tcBorders>
              <w:tl2br w:val="nil"/>
              <w:tr2bl w:val="nil"/>
            </w:tcBorders>
            <w:vAlign w:val="center"/>
          </w:tcPr>
          <w:p w14:paraId="33E03BC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color w:val="auto"/>
                <w:spacing w:val="0"/>
                <w:w w:val="100"/>
                <w:position w:val="0"/>
                <w:sz w:val="21"/>
              </w:rPr>
            </w:pPr>
            <w:r>
              <w:rPr>
                <w:rFonts w:hint="default"/>
                <w:color w:val="auto"/>
                <w:spacing w:val="0"/>
                <w:w w:val="100"/>
                <w:position w:val="0"/>
                <w:sz w:val="21"/>
              </w:rPr>
              <w:t>15</w:t>
            </w:r>
          </w:p>
        </w:tc>
        <w:tc>
          <w:tcPr>
            <w:tcW w:w="658" w:type="dxa"/>
            <w:tcBorders>
              <w:tl2br w:val="nil"/>
              <w:tr2bl w:val="nil"/>
            </w:tcBorders>
            <w:vAlign w:val="center"/>
          </w:tcPr>
          <w:p w14:paraId="2CEDED7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color w:val="auto"/>
                <w:spacing w:val="0"/>
                <w:w w:val="100"/>
                <w:position w:val="0"/>
                <w:sz w:val="21"/>
              </w:rPr>
            </w:pPr>
            <w:r>
              <w:rPr>
                <w:rFonts w:hint="default"/>
                <w:color w:val="auto"/>
                <w:spacing w:val="0"/>
                <w:w w:val="100"/>
                <w:position w:val="0"/>
                <w:sz w:val="21"/>
              </w:rPr>
              <w:t>0.4</w:t>
            </w:r>
          </w:p>
        </w:tc>
        <w:tc>
          <w:tcPr>
            <w:tcW w:w="1078" w:type="dxa"/>
            <w:tcBorders>
              <w:tl2br w:val="nil"/>
              <w:tr2bl w:val="nil"/>
            </w:tcBorders>
            <w:vAlign w:val="center"/>
          </w:tcPr>
          <w:p w14:paraId="6B6F786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color w:val="auto"/>
                <w:spacing w:val="0"/>
                <w:w w:val="100"/>
                <w:position w:val="0"/>
                <w:sz w:val="21"/>
              </w:rPr>
            </w:pPr>
            <w:r>
              <w:rPr>
                <w:rFonts w:hint="default"/>
                <w:color w:val="auto"/>
                <w:spacing w:val="0"/>
                <w:w w:val="100"/>
                <w:kern w:val="0"/>
                <w:position w:val="0"/>
                <w:sz w:val="21"/>
              </w:rPr>
              <w:t>环境温度</w:t>
            </w:r>
          </w:p>
        </w:tc>
        <w:tc>
          <w:tcPr>
            <w:tcW w:w="1292" w:type="dxa"/>
            <w:tcBorders>
              <w:tl2br w:val="nil"/>
              <w:tr2bl w:val="nil"/>
            </w:tcBorders>
            <w:vAlign w:val="center"/>
          </w:tcPr>
          <w:p w14:paraId="083822B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eastAsia="宋体"/>
                <w:color w:val="auto"/>
                <w:spacing w:val="0"/>
                <w:w w:val="100"/>
                <w:position w:val="0"/>
                <w:sz w:val="21"/>
                <w:lang w:val="en-US" w:eastAsia="zh-CN"/>
              </w:rPr>
            </w:pPr>
            <w:r>
              <w:rPr>
                <w:rFonts w:hint="eastAsia"/>
                <w:color w:val="auto"/>
                <w:spacing w:val="0"/>
                <w:w w:val="100"/>
                <w:position w:val="0"/>
                <w:sz w:val="21"/>
                <w:lang w:val="en-US" w:eastAsia="zh-CN"/>
              </w:rPr>
              <w:t>1.155</w:t>
            </w:r>
          </w:p>
        </w:tc>
        <w:tc>
          <w:tcPr>
            <w:tcW w:w="1603" w:type="dxa"/>
            <w:tcBorders>
              <w:tl2br w:val="nil"/>
              <w:tr2bl w:val="nil"/>
            </w:tcBorders>
            <w:vAlign w:val="center"/>
          </w:tcPr>
          <w:p w14:paraId="6121AC0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rPr>
                <w:rFonts w:hint="default"/>
                <w:color w:val="auto"/>
                <w:spacing w:val="0"/>
                <w:w w:val="100"/>
                <w:position w:val="0"/>
                <w:sz w:val="21"/>
              </w:rPr>
            </w:pPr>
            <w:r>
              <w:rPr>
                <w:rFonts w:hint="eastAsia"/>
                <w:color w:val="auto"/>
                <w:spacing w:val="0"/>
                <w:w w:val="100"/>
                <w:position w:val="0"/>
                <w:sz w:val="21"/>
              </w:rPr>
              <w:t>/</w:t>
            </w:r>
          </w:p>
        </w:tc>
      </w:tr>
    </w:tbl>
    <w:p w14:paraId="32C2F705">
      <w:pPr>
        <w:pStyle w:val="11"/>
        <w:keepNext w:val="0"/>
        <w:keepLines w:val="0"/>
        <w:pageBreakBefore w:val="0"/>
        <w:widowControl w:val="0"/>
        <w:kinsoku/>
        <w:wordWrap/>
        <w:overflowPunct/>
        <w:topLinePunct w:val="0"/>
        <w:autoSpaceDE/>
        <w:autoSpaceDN/>
        <w:bidi w:val="0"/>
        <w:adjustRightInd/>
        <w:spacing w:before="120" w:beforeLines="50" w:after="0" w:line="240" w:lineRule="auto"/>
        <w:ind w:firstLine="0" w:firstLineChars="0"/>
        <w:jc w:val="center"/>
        <w:textAlignment w:val="auto"/>
        <w:rPr>
          <w:b/>
          <w:bCs/>
          <w:color w:val="auto"/>
          <w:spacing w:val="0"/>
          <w:w w:val="100"/>
          <w:position w:val="0"/>
          <w:sz w:val="21"/>
          <w:szCs w:val="21"/>
        </w:rPr>
      </w:pPr>
      <w:r>
        <w:rPr>
          <w:b/>
          <w:bCs/>
          <w:color w:val="auto"/>
          <w:spacing w:val="0"/>
          <w:w w:val="100"/>
          <w:position w:val="0"/>
          <w:sz w:val="21"/>
          <w:szCs w:val="21"/>
        </w:rPr>
        <w:t>表5.2</w:t>
      </w:r>
      <w:r>
        <w:rPr>
          <w:rFonts w:hint="eastAsia"/>
          <w:b/>
          <w:bCs/>
          <w:color w:val="auto"/>
          <w:spacing w:val="0"/>
          <w:w w:val="100"/>
          <w:position w:val="0"/>
          <w:sz w:val="21"/>
          <w:szCs w:val="21"/>
          <w:lang w:val="en-US" w:eastAsia="zh-CN"/>
        </w:rPr>
        <w:t>.1-6</w:t>
      </w:r>
      <w:r>
        <w:rPr>
          <w:b/>
          <w:bCs/>
          <w:color w:val="auto"/>
          <w:spacing w:val="0"/>
          <w:w w:val="100"/>
          <w:position w:val="0"/>
          <w:sz w:val="21"/>
          <w:szCs w:val="21"/>
        </w:rPr>
        <w:t xml:space="preserve">  有组织废气非正常工况排放估算模式计算结果</w:t>
      </w:r>
    </w:p>
    <w:tbl>
      <w:tblPr>
        <w:tblStyle w:val="36"/>
        <w:tblW w:w="9392"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57" w:type="dxa"/>
          <w:left w:w="57" w:type="dxa"/>
          <w:bottom w:w="57" w:type="dxa"/>
          <w:right w:w="57" w:type="dxa"/>
        </w:tblCellMar>
      </w:tblPr>
      <w:tblGrid>
        <w:gridCol w:w="654"/>
        <w:gridCol w:w="852"/>
        <w:gridCol w:w="1284"/>
        <w:gridCol w:w="1180"/>
        <w:gridCol w:w="1666"/>
        <w:gridCol w:w="2234"/>
        <w:gridCol w:w="1522"/>
      </w:tblGrid>
      <w:tr w14:paraId="0F24E36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852" w:type="dxa"/>
            <w:gridSpan w:val="2"/>
            <w:tcBorders>
              <w:tl2br w:val="nil"/>
              <w:tr2bl w:val="nil"/>
            </w:tcBorders>
            <w:noWrap w:val="0"/>
            <w:vAlign w:val="center"/>
          </w:tcPr>
          <w:p w14:paraId="39F525A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污染源</w:t>
            </w:r>
          </w:p>
        </w:tc>
        <w:tc>
          <w:tcPr>
            <w:tcW w:w="1284" w:type="dxa"/>
            <w:tcBorders>
              <w:tl2br w:val="nil"/>
              <w:tr2bl w:val="nil"/>
            </w:tcBorders>
            <w:noWrap w:val="0"/>
            <w:vAlign w:val="center"/>
          </w:tcPr>
          <w:p w14:paraId="31A6FF0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污染物</w:t>
            </w:r>
          </w:p>
        </w:tc>
        <w:tc>
          <w:tcPr>
            <w:tcW w:w="1180" w:type="dxa"/>
            <w:tcBorders>
              <w:tl2br w:val="nil"/>
              <w:tr2bl w:val="nil"/>
            </w:tcBorders>
            <w:noWrap w:val="0"/>
            <w:vAlign w:val="center"/>
          </w:tcPr>
          <w:p w14:paraId="15DC10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标准值</w:t>
            </w:r>
          </w:p>
          <w:p w14:paraId="6222F77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（μg/m</w:t>
            </w:r>
            <w:r>
              <w:rPr>
                <w:rFonts w:hint="default" w:ascii="Times New Roman" w:hAnsi="Times New Roman" w:eastAsia="宋体" w:cs="Times New Roman"/>
                <w:b/>
                <w:bCs/>
                <w:snapToGrid/>
                <w:color w:val="auto"/>
                <w:spacing w:val="0"/>
                <w:w w:val="100"/>
                <w:kern w:val="28"/>
                <w:position w:val="0"/>
                <w:sz w:val="21"/>
                <w:szCs w:val="21"/>
                <w:highlight w:val="none"/>
                <w:vertAlign w:val="superscript"/>
                <w:lang w:val="en-US" w:eastAsia="zh-CN"/>
              </w:rPr>
              <w:t>3</w:t>
            </w: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w:t>
            </w:r>
          </w:p>
        </w:tc>
        <w:tc>
          <w:tcPr>
            <w:tcW w:w="1666" w:type="dxa"/>
            <w:tcBorders>
              <w:tl2br w:val="nil"/>
              <w:tr2bl w:val="nil"/>
            </w:tcBorders>
            <w:noWrap w:val="0"/>
            <w:vAlign w:val="center"/>
          </w:tcPr>
          <w:p w14:paraId="7F8B7C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最大浓度Cmax</w:t>
            </w:r>
          </w:p>
          <w:p w14:paraId="76300B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（μg/m</w:t>
            </w:r>
            <w:r>
              <w:rPr>
                <w:rFonts w:hint="default" w:ascii="Times New Roman" w:hAnsi="Times New Roman" w:eastAsia="宋体" w:cs="Times New Roman"/>
                <w:b/>
                <w:bCs/>
                <w:snapToGrid/>
                <w:color w:val="auto"/>
                <w:spacing w:val="0"/>
                <w:w w:val="100"/>
                <w:kern w:val="28"/>
                <w:position w:val="0"/>
                <w:sz w:val="21"/>
                <w:szCs w:val="21"/>
                <w:highlight w:val="none"/>
                <w:vertAlign w:val="superscript"/>
                <w:lang w:val="en-US" w:eastAsia="zh-CN"/>
              </w:rPr>
              <w:t>3</w:t>
            </w: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w:t>
            </w:r>
          </w:p>
        </w:tc>
        <w:tc>
          <w:tcPr>
            <w:tcW w:w="0" w:type="auto"/>
            <w:tcBorders>
              <w:tl2br w:val="nil"/>
              <w:tr2bl w:val="nil"/>
            </w:tcBorders>
            <w:noWrap w:val="0"/>
            <w:vAlign w:val="center"/>
          </w:tcPr>
          <w:p w14:paraId="07B2158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最大地面浓度占标率Pmax</w:t>
            </w:r>
          </w:p>
          <w:p w14:paraId="149386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w:t>
            </w:r>
          </w:p>
        </w:tc>
        <w:tc>
          <w:tcPr>
            <w:tcW w:w="1522" w:type="dxa"/>
            <w:tcBorders>
              <w:tl2br w:val="nil"/>
              <w:tr2bl w:val="nil"/>
            </w:tcBorders>
            <w:noWrap w:val="0"/>
            <w:vAlign w:val="center"/>
          </w:tcPr>
          <w:p w14:paraId="3EB5E7C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最远距离D10%</w:t>
            </w:r>
          </w:p>
          <w:p w14:paraId="3C2DD5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b/>
                <w:bCs/>
                <w:snapToGrid/>
                <w:color w:val="auto"/>
                <w:spacing w:val="0"/>
                <w:w w:val="100"/>
                <w:kern w:val="28"/>
                <w:position w:val="0"/>
                <w:sz w:val="21"/>
                <w:szCs w:val="21"/>
                <w:highlight w:val="none"/>
                <w:lang w:val="en-US" w:eastAsia="zh-CN"/>
              </w:rPr>
              <w:t>（m）</w:t>
            </w:r>
          </w:p>
        </w:tc>
      </w:tr>
      <w:tr w14:paraId="660A039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90" w:hRule="atLeast"/>
          <w:jc w:val="center"/>
        </w:trPr>
        <w:tc>
          <w:tcPr>
            <w:tcW w:w="654" w:type="dxa"/>
            <w:tcBorders>
              <w:tl2br w:val="nil"/>
              <w:tr2bl w:val="nil"/>
            </w:tcBorders>
            <w:noWrap w:val="0"/>
            <w:vAlign w:val="center"/>
          </w:tcPr>
          <w:p w14:paraId="2F9AAC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snapToGrid/>
                <w:color w:val="auto"/>
                <w:spacing w:val="0"/>
                <w:w w:val="100"/>
                <w:kern w:val="28"/>
                <w:position w:val="0"/>
                <w:sz w:val="21"/>
                <w:szCs w:val="21"/>
                <w:highlight w:val="none"/>
                <w:lang w:val="en-US" w:eastAsia="zh-CN"/>
              </w:rPr>
              <w:t>点源</w:t>
            </w:r>
          </w:p>
        </w:tc>
        <w:tc>
          <w:tcPr>
            <w:tcW w:w="852" w:type="dxa"/>
            <w:tcBorders>
              <w:tl2br w:val="nil"/>
              <w:tr2bl w:val="nil"/>
            </w:tcBorders>
            <w:noWrap w:val="0"/>
            <w:vAlign w:val="center"/>
          </w:tcPr>
          <w:p w14:paraId="603B6CF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DA001</w:t>
            </w:r>
          </w:p>
        </w:tc>
        <w:tc>
          <w:tcPr>
            <w:tcW w:w="1284" w:type="dxa"/>
            <w:tcBorders>
              <w:tl2br w:val="nil"/>
              <w:tr2bl w:val="nil"/>
            </w:tcBorders>
            <w:noWrap w:val="0"/>
            <w:vAlign w:val="center"/>
          </w:tcPr>
          <w:p w14:paraId="2258CB1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PM</w:t>
            </w:r>
            <w:r>
              <w:rPr>
                <w:rFonts w:hint="eastAsia" w:ascii="Times New Roman" w:hAnsi="Times New Roman" w:eastAsia="宋体" w:cs="Times New Roman"/>
                <w:snapToGrid/>
                <w:color w:val="auto"/>
                <w:spacing w:val="0"/>
                <w:w w:val="100"/>
                <w:kern w:val="28"/>
                <w:position w:val="0"/>
                <w:sz w:val="21"/>
                <w:szCs w:val="21"/>
                <w:highlight w:val="none"/>
                <w:vertAlign w:val="subscript"/>
                <w:lang w:val="en-US" w:eastAsia="zh-CN"/>
              </w:rPr>
              <w:t>10</w:t>
            </w:r>
          </w:p>
        </w:tc>
        <w:tc>
          <w:tcPr>
            <w:tcW w:w="1180" w:type="dxa"/>
            <w:tcBorders>
              <w:tl2br w:val="nil"/>
              <w:tr2bl w:val="nil"/>
            </w:tcBorders>
            <w:noWrap w:val="0"/>
            <w:vAlign w:val="center"/>
          </w:tcPr>
          <w:p w14:paraId="3E46B2C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120</w:t>
            </w:r>
          </w:p>
        </w:tc>
        <w:tc>
          <w:tcPr>
            <w:tcW w:w="1666" w:type="dxa"/>
            <w:tcBorders>
              <w:tl2br w:val="nil"/>
              <w:tr2bl w:val="nil"/>
            </w:tcBorders>
            <w:noWrap w:val="0"/>
            <w:vAlign w:val="center"/>
          </w:tcPr>
          <w:p w14:paraId="0B44744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66.818</w:t>
            </w:r>
          </w:p>
        </w:tc>
        <w:tc>
          <w:tcPr>
            <w:tcW w:w="0" w:type="auto"/>
            <w:tcBorders>
              <w:tl2br w:val="nil"/>
              <w:tr2bl w:val="nil"/>
            </w:tcBorders>
            <w:noWrap w:val="0"/>
            <w:vAlign w:val="center"/>
          </w:tcPr>
          <w:p w14:paraId="17576F2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18.58</w:t>
            </w:r>
          </w:p>
        </w:tc>
        <w:tc>
          <w:tcPr>
            <w:tcW w:w="1522" w:type="dxa"/>
            <w:tcBorders>
              <w:tl2br w:val="nil"/>
              <w:tr2bl w:val="nil"/>
            </w:tcBorders>
            <w:noWrap w:val="0"/>
            <w:vAlign w:val="center"/>
          </w:tcPr>
          <w:p w14:paraId="7FF744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625</w:t>
            </w:r>
          </w:p>
        </w:tc>
      </w:tr>
      <w:tr w14:paraId="533317D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654" w:type="dxa"/>
            <w:tcBorders>
              <w:tl2br w:val="nil"/>
              <w:tr2bl w:val="nil"/>
            </w:tcBorders>
            <w:noWrap w:val="0"/>
            <w:vAlign w:val="center"/>
          </w:tcPr>
          <w:p w14:paraId="709BB89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default" w:ascii="Times New Roman" w:hAnsi="Times New Roman" w:eastAsia="宋体" w:cs="Times New Roman"/>
                <w:snapToGrid/>
                <w:color w:val="auto"/>
                <w:spacing w:val="0"/>
                <w:w w:val="100"/>
                <w:kern w:val="28"/>
                <w:position w:val="0"/>
                <w:sz w:val="21"/>
                <w:szCs w:val="21"/>
                <w:highlight w:val="none"/>
                <w:lang w:val="en-US" w:eastAsia="zh-CN"/>
              </w:rPr>
              <w:t>点源</w:t>
            </w:r>
          </w:p>
        </w:tc>
        <w:tc>
          <w:tcPr>
            <w:tcW w:w="852" w:type="dxa"/>
            <w:tcBorders>
              <w:tl2br w:val="nil"/>
              <w:tr2bl w:val="nil"/>
            </w:tcBorders>
            <w:noWrap w:val="0"/>
            <w:vAlign w:val="center"/>
          </w:tcPr>
          <w:p w14:paraId="6C4F7CE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28"/>
                <w:position w:val="0"/>
                <w:sz w:val="21"/>
                <w:szCs w:val="21"/>
                <w:highlight w:val="none"/>
                <w:lang w:val="en-US" w:eastAsia="zh-CN"/>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DA002</w:t>
            </w:r>
          </w:p>
        </w:tc>
        <w:tc>
          <w:tcPr>
            <w:tcW w:w="1284" w:type="dxa"/>
            <w:tcBorders>
              <w:tl2br w:val="nil"/>
              <w:tr2bl w:val="nil"/>
            </w:tcBorders>
            <w:noWrap w:val="0"/>
            <w:vAlign w:val="center"/>
          </w:tcPr>
          <w:p w14:paraId="668AB0F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非甲烷总烃</w:t>
            </w:r>
          </w:p>
        </w:tc>
        <w:tc>
          <w:tcPr>
            <w:tcW w:w="1180" w:type="dxa"/>
            <w:tcBorders>
              <w:tl2br w:val="nil"/>
              <w:tr2bl w:val="nil"/>
            </w:tcBorders>
            <w:noWrap w:val="0"/>
            <w:vAlign w:val="center"/>
          </w:tcPr>
          <w:p w14:paraId="69DF8B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2mg/m</w:t>
            </w:r>
            <w:r>
              <w:rPr>
                <w:rFonts w:hint="eastAsia" w:cs="Times New Roman"/>
                <w:snapToGrid/>
                <w:color w:val="auto"/>
                <w:spacing w:val="0"/>
                <w:w w:val="100"/>
                <w:kern w:val="28"/>
                <w:position w:val="0"/>
                <w:sz w:val="21"/>
                <w:szCs w:val="21"/>
                <w:highlight w:val="none"/>
                <w:vertAlign w:val="superscript"/>
                <w:lang w:val="en-US" w:eastAsia="zh-CN"/>
              </w:rPr>
              <w:t>3</w:t>
            </w:r>
          </w:p>
        </w:tc>
        <w:tc>
          <w:tcPr>
            <w:tcW w:w="1666" w:type="dxa"/>
            <w:tcBorders>
              <w:tl2br w:val="nil"/>
              <w:tr2bl w:val="nil"/>
            </w:tcBorders>
            <w:noWrap w:val="0"/>
            <w:vAlign w:val="center"/>
          </w:tcPr>
          <w:p w14:paraId="13B124B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14.087</w:t>
            </w:r>
          </w:p>
        </w:tc>
        <w:tc>
          <w:tcPr>
            <w:tcW w:w="2234" w:type="dxa"/>
            <w:tcBorders>
              <w:tl2br w:val="nil"/>
              <w:tr2bl w:val="nil"/>
            </w:tcBorders>
            <w:noWrap w:val="0"/>
            <w:vAlign w:val="center"/>
          </w:tcPr>
          <w:p w14:paraId="15B39D1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0.70</w:t>
            </w:r>
          </w:p>
        </w:tc>
        <w:tc>
          <w:tcPr>
            <w:tcW w:w="1522" w:type="dxa"/>
            <w:tcBorders>
              <w:tl2br w:val="nil"/>
              <w:tr2bl w:val="nil"/>
            </w:tcBorders>
            <w:noWrap w:val="0"/>
            <w:vAlign w:val="center"/>
          </w:tcPr>
          <w:p w14:paraId="0571A4F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snapToGrid/>
                <w:color w:val="auto"/>
                <w:spacing w:val="0"/>
                <w:w w:val="100"/>
                <w:kern w:val="28"/>
                <w:position w:val="0"/>
                <w:sz w:val="21"/>
                <w:szCs w:val="21"/>
                <w:highlight w:val="none"/>
                <w:lang w:val="en-US" w:eastAsia="zh-CN"/>
              </w:rPr>
            </w:pPr>
            <w:r>
              <w:rPr>
                <w:rFonts w:hint="eastAsia" w:cs="Times New Roman"/>
                <w:snapToGrid/>
                <w:color w:val="auto"/>
                <w:spacing w:val="0"/>
                <w:w w:val="100"/>
                <w:kern w:val="28"/>
                <w:position w:val="0"/>
                <w:sz w:val="21"/>
                <w:szCs w:val="21"/>
                <w:highlight w:val="none"/>
                <w:lang w:val="en-US" w:eastAsia="zh-CN"/>
              </w:rPr>
              <w:t>/</w:t>
            </w:r>
          </w:p>
        </w:tc>
      </w:tr>
    </w:tbl>
    <w:p w14:paraId="3611F496">
      <w:pPr>
        <w:keepNext w:val="0"/>
        <w:keepLines w:val="0"/>
        <w:pageBreakBefore w:val="0"/>
        <w:widowControl w:val="0"/>
        <w:kinsoku/>
        <w:wordWrap/>
        <w:overflowPunct/>
        <w:topLinePunct w:val="0"/>
        <w:autoSpaceDE/>
        <w:autoSpaceDN/>
        <w:bidi w:val="0"/>
        <w:ind w:firstLine="480"/>
        <w:rPr>
          <w:b/>
          <w:bCs/>
          <w:color w:val="auto"/>
          <w:spacing w:val="0"/>
          <w:w w:val="100"/>
          <w:kern w:val="21"/>
          <w:position w:val="0"/>
        </w:rPr>
      </w:pPr>
      <w:r>
        <w:rPr>
          <w:color w:val="auto"/>
          <w:spacing w:val="0"/>
          <w:w w:val="100"/>
          <w:kern w:val="0"/>
          <w:position w:val="0"/>
          <w:szCs w:val="24"/>
        </w:rPr>
        <w:t>本项目非正常工况下</w:t>
      </w:r>
      <w:r>
        <w:rPr>
          <w:color w:val="auto"/>
          <w:spacing w:val="0"/>
          <w:w w:val="100"/>
          <w:kern w:val="0"/>
          <w:position w:val="0"/>
        </w:rPr>
        <w:t>颗粒物最大落地浓度</w:t>
      </w:r>
      <w:r>
        <w:rPr>
          <w:rFonts w:hint="eastAsia"/>
          <w:color w:val="auto"/>
          <w:spacing w:val="0"/>
          <w:w w:val="100"/>
          <w:kern w:val="0"/>
          <w:position w:val="0"/>
          <w:lang w:val="en-US" w:eastAsia="zh-CN"/>
        </w:rPr>
        <w:t>超出</w:t>
      </w:r>
      <w:r>
        <w:rPr>
          <w:color w:val="auto"/>
          <w:spacing w:val="0"/>
          <w:w w:val="100"/>
          <w:kern w:val="0"/>
          <w:position w:val="0"/>
        </w:rPr>
        <w:t>《</w:t>
      </w:r>
      <w:r>
        <w:rPr>
          <w:color w:val="auto"/>
          <w:spacing w:val="0"/>
          <w:w w:val="100"/>
          <w:kern w:val="0"/>
          <w:position w:val="0"/>
          <w:szCs w:val="24"/>
        </w:rPr>
        <w:t>环境空气质量标准</w:t>
      </w:r>
      <w:r>
        <w:rPr>
          <w:color w:val="auto"/>
          <w:spacing w:val="0"/>
          <w:w w:val="100"/>
          <w:kern w:val="0"/>
          <w:position w:val="0"/>
        </w:rPr>
        <w:t>》</w:t>
      </w:r>
      <w:r>
        <w:rPr>
          <w:color w:val="auto"/>
          <w:spacing w:val="0"/>
          <w:w w:val="100"/>
          <w:kern w:val="0"/>
          <w:position w:val="0"/>
          <w:szCs w:val="24"/>
        </w:rPr>
        <w:t>（GB3095-2012）中标准要求，</w:t>
      </w:r>
      <w:r>
        <w:rPr>
          <w:color w:val="auto"/>
          <w:spacing w:val="0"/>
          <w:w w:val="100"/>
          <w:kern w:val="0"/>
          <w:position w:val="0"/>
        </w:rPr>
        <w:t>非甲烷总烃最大落地浓度满足《大气污染物综合排放标准</w:t>
      </w:r>
      <w:r>
        <w:rPr>
          <w:rFonts w:hint="eastAsia"/>
          <w:color w:val="auto"/>
          <w:spacing w:val="0"/>
          <w:w w:val="100"/>
          <w:kern w:val="0"/>
          <w:position w:val="0"/>
        </w:rPr>
        <w:t>详解</w:t>
      </w:r>
      <w:r>
        <w:rPr>
          <w:color w:val="auto"/>
          <w:spacing w:val="0"/>
          <w:w w:val="100"/>
          <w:kern w:val="0"/>
          <w:position w:val="0"/>
        </w:rPr>
        <w:t>》中相关要求</w:t>
      </w:r>
      <w:r>
        <w:rPr>
          <w:rFonts w:hint="eastAsia"/>
          <w:color w:val="auto"/>
          <w:spacing w:val="0"/>
          <w:w w:val="100"/>
          <w:kern w:val="0"/>
          <w:position w:val="0"/>
        </w:rPr>
        <w:t>，但相对正常工况下落地浓度大幅度增加，</w:t>
      </w:r>
      <w:r>
        <w:rPr>
          <w:color w:val="auto"/>
          <w:spacing w:val="0"/>
          <w:w w:val="100"/>
          <w:position w:val="0"/>
          <w:szCs w:val="24"/>
        </w:rPr>
        <w:t>因此，项目运行过程中应严格控制非正常排放情况，加强生产管理并制定和落实防范措施，尽量减少其发生频次，发生非正常排放时应注意根据当地气象条件加强监控措施，避免造成不良后果。</w:t>
      </w:r>
    </w:p>
    <w:p w14:paraId="29941CF6">
      <w:pPr>
        <w:pStyle w:val="5"/>
        <w:keepNext w:val="0"/>
        <w:keepLines w:val="0"/>
        <w:pageBreakBefore w:val="0"/>
        <w:widowControl w:val="0"/>
        <w:kinsoku/>
        <w:wordWrap/>
        <w:overflowPunct/>
        <w:topLinePunct w:val="0"/>
        <w:autoSpaceDE/>
        <w:autoSpaceDN/>
        <w:bidi w:val="0"/>
        <w:adjustRightInd/>
        <w:snapToGrid/>
        <w:textAlignment w:val="auto"/>
        <w:outlineLvl w:val="3"/>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5.2.1.</w:t>
      </w:r>
      <w:r>
        <w:rPr>
          <w:rFonts w:hint="eastAsia"/>
          <w:color w:val="auto"/>
          <w:spacing w:val="0"/>
          <w:w w:val="100"/>
          <w:position w:val="0"/>
          <w:highlight w:val="none"/>
          <w:lang w:val="en-US" w:eastAsia="zh-CN"/>
        </w:rPr>
        <w:t>2</w:t>
      </w:r>
      <w:r>
        <w:rPr>
          <w:rFonts w:hint="default" w:ascii="Times New Roman" w:hAnsi="Times New Roman" w:eastAsia="宋体"/>
          <w:color w:val="auto"/>
          <w:spacing w:val="0"/>
          <w:w w:val="100"/>
          <w:position w:val="0"/>
          <w:highlight w:val="none"/>
          <w:lang w:val="en-US" w:eastAsia="zh-CN"/>
        </w:rPr>
        <w:t>污染物排放量核算</w:t>
      </w:r>
    </w:p>
    <w:p w14:paraId="3AB441E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lang w:eastAsia="zh-CN"/>
        </w:rPr>
        <w:t>（</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1</w:t>
      </w:r>
      <w:r>
        <w:rPr>
          <w:rFonts w:hint="default" w:ascii="Times New Roman" w:hAnsi="Times New Roman" w:eastAsia="宋体" w:cs="Times New Roman"/>
          <w:caps w:val="0"/>
          <w:snapToGrid/>
          <w:color w:val="auto"/>
          <w:spacing w:val="0"/>
          <w:w w:val="100"/>
          <w:kern w:val="0"/>
          <w:position w:val="0"/>
          <w:sz w:val="24"/>
          <w:szCs w:val="24"/>
          <w:highlight w:val="none"/>
          <w:lang w:eastAsia="zh-CN"/>
        </w:rPr>
        <w:t>）</w:t>
      </w:r>
      <w:r>
        <w:rPr>
          <w:rFonts w:hint="default" w:ascii="Times New Roman" w:hAnsi="Times New Roman" w:eastAsia="宋体" w:cs="Times New Roman"/>
          <w:caps w:val="0"/>
          <w:snapToGrid/>
          <w:color w:val="auto"/>
          <w:spacing w:val="0"/>
          <w:w w:val="100"/>
          <w:kern w:val="0"/>
          <w:position w:val="0"/>
          <w:sz w:val="24"/>
          <w:szCs w:val="24"/>
          <w:highlight w:val="none"/>
        </w:rPr>
        <w:t>污染物核算</w:t>
      </w:r>
    </w:p>
    <w:p w14:paraId="6181A5B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outlineLvl w:val="9"/>
        <w:rPr>
          <w:rFonts w:hint="default" w:ascii="Times New Roman" w:hAnsi="Times New Roman" w:eastAsia="宋体" w:cs="Times New Roman"/>
          <w:caps w:val="0"/>
          <w:snapToGrid/>
          <w:color w:val="auto"/>
          <w:spacing w:val="0"/>
          <w:w w:val="100"/>
          <w:kern w:val="0"/>
          <w:position w:val="0"/>
          <w:sz w:val="24"/>
          <w:szCs w:val="24"/>
          <w:highlight w:val="none"/>
          <w:lang w:val="en-US" w:eastAsia="zh-CN"/>
        </w:rPr>
      </w:pP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本项目</w:t>
      </w:r>
      <w:r>
        <w:rPr>
          <w:rFonts w:hint="default" w:ascii="Times New Roman" w:hAnsi="Times New Roman" w:eastAsia="宋体" w:cs="Times New Roman"/>
          <w:caps w:val="0"/>
          <w:snapToGrid/>
          <w:color w:val="auto"/>
          <w:spacing w:val="0"/>
          <w:w w:val="100"/>
          <w:kern w:val="0"/>
          <w:position w:val="0"/>
          <w:sz w:val="24"/>
          <w:szCs w:val="24"/>
          <w:highlight w:val="none"/>
        </w:rPr>
        <w:t>有组织污染物排放量核算见表</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5.2</w:t>
      </w:r>
      <w:r>
        <w:rPr>
          <w:rFonts w:hint="eastAsia" w:cs="Times New Roman"/>
          <w:caps w:val="0"/>
          <w:snapToGrid/>
          <w:color w:val="auto"/>
          <w:spacing w:val="0"/>
          <w:w w:val="100"/>
          <w:kern w:val="0"/>
          <w:position w:val="0"/>
          <w:sz w:val="24"/>
          <w:szCs w:val="24"/>
          <w:highlight w:val="none"/>
          <w:lang w:val="en-US" w:eastAsia="zh-CN"/>
        </w:rPr>
        <w:t>.1</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w:t>
      </w:r>
      <w:r>
        <w:rPr>
          <w:rFonts w:hint="eastAsia" w:cs="Times New Roman"/>
          <w:caps w:val="0"/>
          <w:snapToGrid/>
          <w:color w:val="auto"/>
          <w:spacing w:val="0"/>
          <w:w w:val="100"/>
          <w:kern w:val="0"/>
          <w:position w:val="0"/>
          <w:sz w:val="24"/>
          <w:szCs w:val="24"/>
          <w:highlight w:val="none"/>
          <w:lang w:val="en-US" w:eastAsia="zh-CN"/>
        </w:rPr>
        <w:t>7</w:t>
      </w:r>
      <w:r>
        <w:rPr>
          <w:rFonts w:hint="default" w:ascii="Times New Roman" w:hAnsi="Times New Roman" w:eastAsia="宋体" w:cs="Times New Roman"/>
          <w:caps w:val="0"/>
          <w:snapToGrid/>
          <w:color w:val="auto"/>
          <w:spacing w:val="0"/>
          <w:w w:val="100"/>
          <w:kern w:val="0"/>
          <w:position w:val="0"/>
          <w:sz w:val="24"/>
          <w:szCs w:val="24"/>
          <w:highlight w:val="none"/>
        </w:rPr>
        <w:t>，无组织污染物排放量核算见表</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5.2</w:t>
      </w:r>
      <w:r>
        <w:rPr>
          <w:rFonts w:hint="eastAsia" w:cs="Times New Roman"/>
          <w:caps w:val="0"/>
          <w:snapToGrid/>
          <w:color w:val="auto"/>
          <w:spacing w:val="0"/>
          <w:w w:val="100"/>
          <w:kern w:val="0"/>
          <w:position w:val="0"/>
          <w:sz w:val="24"/>
          <w:szCs w:val="24"/>
          <w:highlight w:val="none"/>
          <w:lang w:val="en-US" w:eastAsia="zh-CN"/>
        </w:rPr>
        <w:t>.1-8</w:t>
      </w:r>
      <w:r>
        <w:rPr>
          <w:rFonts w:hint="default" w:ascii="Times New Roman" w:hAnsi="Times New Roman" w:eastAsia="宋体" w:cs="Times New Roman"/>
          <w:caps w:val="0"/>
          <w:snapToGrid/>
          <w:color w:val="auto"/>
          <w:spacing w:val="0"/>
          <w:w w:val="100"/>
          <w:kern w:val="0"/>
          <w:position w:val="0"/>
          <w:sz w:val="24"/>
          <w:szCs w:val="24"/>
          <w:highlight w:val="none"/>
        </w:rPr>
        <w:t>。</w:t>
      </w:r>
    </w:p>
    <w:p w14:paraId="43C5038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rPr>
        <w:t>5.2</w:t>
      </w:r>
      <w:r>
        <w:rPr>
          <w:rFonts w:hint="eastAsia" w:cs="Times New Roman"/>
          <w:b/>
          <w:bCs/>
          <w:caps w:val="0"/>
          <w:snapToGrid/>
          <w:color w:val="auto"/>
          <w:spacing w:val="0"/>
          <w:w w:val="100"/>
          <w:kern w:val="0"/>
          <w:position w:val="0"/>
          <w:sz w:val="21"/>
          <w:szCs w:val="21"/>
          <w:highlight w:val="none"/>
          <w:lang w:val="en-US" w:eastAsia="zh-CN"/>
        </w:rPr>
        <w:t>.1-7</w:t>
      </w:r>
      <w:r>
        <w:rPr>
          <w:rFonts w:hint="default" w:ascii="Times New Roman" w:hAnsi="Times New Roman" w:eastAsia="宋体" w:cs="Times New Roman"/>
          <w:b/>
          <w:bCs/>
          <w:caps w:val="0"/>
          <w:snapToGrid/>
          <w:color w:val="auto"/>
          <w:spacing w:val="0"/>
          <w:w w:val="100"/>
          <w:kern w:val="0"/>
          <w:position w:val="0"/>
          <w:sz w:val="21"/>
          <w:szCs w:val="21"/>
          <w:highlight w:val="none"/>
        </w:rPr>
        <w:t xml:space="preserve">  </w:t>
      </w:r>
      <w:r>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rPr>
        <w:t>本</w:t>
      </w:r>
      <w:r>
        <w:rPr>
          <w:rFonts w:hint="default" w:ascii="Times New Roman" w:hAnsi="Times New Roman" w:eastAsia="宋体" w:cs="Times New Roman"/>
          <w:b/>
          <w:bCs/>
          <w:caps w:val="0"/>
          <w:snapToGrid/>
          <w:color w:val="auto"/>
          <w:spacing w:val="0"/>
          <w:w w:val="100"/>
          <w:kern w:val="0"/>
          <w:position w:val="0"/>
          <w:sz w:val="21"/>
          <w:szCs w:val="21"/>
          <w:highlight w:val="none"/>
        </w:rPr>
        <w:t>项目大气污染物有组织排放量核算表</w:t>
      </w:r>
    </w:p>
    <w:tbl>
      <w:tblPr>
        <w:tblStyle w:val="25"/>
        <w:tblW w:w="4997"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57" w:type="dxa"/>
          <w:left w:w="57" w:type="dxa"/>
          <w:bottom w:w="57" w:type="dxa"/>
          <w:right w:w="57" w:type="dxa"/>
        </w:tblCellMar>
      </w:tblPr>
      <w:tblGrid>
        <w:gridCol w:w="716"/>
        <w:gridCol w:w="1327"/>
        <w:gridCol w:w="1515"/>
        <w:gridCol w:w="1712"/>
        <w:gridCol w:w="1824"/>
        <w:gridCol w:w="1858"/>
      </w:tblGrid>
      <w:tr w14:paraId="5B7A33A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57" w:type="dxa"/>
            <w:bottom w:w="57" w:type="dxa"/>
            <w:right w:w="57" w:type="dxa"/>
          </w:tblCellMar>
        </w:tblPrEx>
        <w:trPr>
          <w:trHeight w:val="0" w:hRule="atLeast"/>
          <w:tblHeader/>
          <w:jc w:val="center"/>
        </w:trPr>
        <w:tc>
          <w:tcPr>
            <w:tcW w:w="400" w:type="pct"/>
            <w:tcBorders>
              <w:tl2br w:val="nil"/>
              <w:tr2bl w:val="nil"/>
            </w:tcBorders>
            <w:noWrap w:val="0"/>
            <w:vAlign w:val="center"/>
          </w:tcPr>
          <w:p w14:paraId="40023233">
            <w:pPr>
              <w:pStyle w:val="39"/>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序号</w:t>
            </w:r>
          </w:p>
        </w:tc>
        <w:tc>
          <w:tcPr>
            <w:tcW w:w="741" w:type="pct"/>
            <w:tcBorders>
              <w:tl2br w:val="nil"/>
              <w:tr2bl w:val="nil"/>
            </w:tcBorders>
            <w:noWrap w:val="0"/>
            <w:vAlign w:val="center"/>
          </w:tcPr>
          <w:p w14:paraId="6F569B2A">
            <w:pPr>
              <w:pStyle w:val="39"/>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排放口编号</w:t>
            </w:r>
          </w:p>
        </w:tc>
        <w:tc>
          <w:tcPr>
            <w:tcW w:w="846" w:type="pct"/>
            <w:tcBorders>
              <w:tl2br w:val="nil"/>
              <w:tr2bl w:val="nil"/>
            </w:tcBorders>
            <w:noWrap w:val="0"/>
            <w:vAlign w:val="center"/>
          </w:tcPr>
          <w:p w14:paraId="2176B37A">
            <w:pPr>
              <w:pStyle w:val="39"/>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污染物</w:t>
            </w:r>
          </w:p>
        </w:tc>
        <w:tc>
          <w:tcPr>
            <w:tcW w:w="956" w:type="pct"/>
            <w:tcBorders>
              <w:tl2br w:val="nil"/>
              <w:tr2bl w:val="nil"/>
            </w:tcBorders>
            <w:noWrap w:val="0"/>
            <w:vAlign w:val="center"/>
          </w:tcPr>
          <w:p w14:paraId="500F02AF">
            <w:pPr>
              <w:pStyle w:val="39"/>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核算排放浓度</w:t>
            </w:r>
          </w:p>
          <w:p w14:paraId="2603573B">
            <w:pPr>
              <w:pStyle w:val="39"/>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（mg/m</w:t>
            </w:r>
            <w:r>
              <w:rPr>
                <w:rFonts w:hint="default" w:ascii="Times New Roman" w:hAnsi="Times New Roman" w:eastAsia="宋体" w:cs="Times New Roman"/>
                <w:b/>
                <w:bCs/>
                <w:caps w:val="0"/>
                <w:snapToGrid/>
                <w:color w:val="auto"/>
                <w:spacing w:val="0"/>
                <w:w w:val="100"/>
                <w:kern w:val="0"/>
                <w:position w:val="0"/>
                <w:sz w:val="21"/>
                <w:szCs w:val="21"/>
                <w:highlight w:val="none"/>
                <w:vertAlign w:val="superscript"/>
              </w:rPr>
              <w:t>3</w:t>
            </w:r>
            <w:r>
              <w:rPr>
                <w:rFonts w:hint="default" w:ascii="Times New Roman" w:hAnsi="Times New Roman" w:eastAsia="宋体" w:cs="Times New Roman"/>
                <w:b/>
                <w:bCs/>
                <w:caps w:val="0"/>
                <w:snapToGrid/>
                <w:color w:val="auto"/>
                <w:spacing w:val="0"/>
                <w:w w:val="100"/>
                <w:kern w:val="0"/>
                <w:position w:val="0"/>
                <w:sz w:val="21"/>
                <w:szCs w:val="21"/>
                <w:highlight w:val="none"/>
              </w:rPr>
              <w:t>）</w:t>
            </w:r>
          </w:p>
        </w:tc>
        <w:tc>
          <w:tcPr>
            <w:tcW w:w="1018" w:type="pct"/>
            <w:tcBorders>
              <w:tl2br w:val="nil"/>
              <w:tr2bl w:val="nil"/>
            </w:tcBorders>
            <w:noWrap w:val="0"/>
            <w:vAlign w:val="center"/>
          </w:tcPr>
          <w:p w14:paraId="4B38C846">
            <w:pPr>
              <w:pStyle w:val="39"/>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核算排放速率</w:t>
            </w:r>
          </w:p>
          <w:p w14:paraId="2A3DA3FE">
            <w:pPr>
              <w:pStyle w:val="39"/>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（kg/h）</w:t>
            </w:r>
          </w:p>
        </w:tc>
        <w:tc>
          <w:tcPr>
            <w:tcW w:w="1037" w:type="pct"/>
            <w:tcBorders>
              <w:tl2br w:val="nil"/>
              <w:tr2bl w:val="nil"/>
            </w:tcBorders>
            <w:noWrap w:val="0"/>
            <w:vAlign w:val="center"/>
          </w:tcPr>
          <w:p w14:paraId="1A310FCC">
            <w:pPr>
              <w:pStyle w:val="39"/>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核算年排放量</w:t>
            </w:r>
          </w:p>
          <w:p w14:paraId="68F3F4FA">
            <w:pPr>
              <w:pStyle w:val="39"/>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（t/a）</w:t>
            </w:r>
          </w:p>
        </w:tc>
      </w:tr>
      <w:tr w14:paraId="733871A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57" w:type="dxa"/>
            <w:bottom w:w="57" w:type="dxa"/>
            <w:right w:w="57" w:type="dxa"/>
          </w:tblCellMar>
        </w:tblPrEx>
        <w:trPr>
          <w:trHeight w:val="0" w:hRule="atLeast"/>
          <w:jc w:val="center"/>
        </w:trPr>
        <w:tc>
          <w:tcPr>
            <w:tcW w:w="5000" w:type="pct"/>
            <w:gridSpan w:val="6"/>
            <w:tcBorders>
              <w:tl2br w:val="nil"/>
              <w:tr2bl w:val="nil"/>
            </w:tcBorders>
            <w:noWrap w:val="0"/>
            <w:vAlign w:val="center"/>
          </w:tcPr>
          <w:p w14:paraId="3B046D0C">
            <w:pPr>
              <w:pStyle w:val="39"/>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一般排放口</w:t>
            </w:r>
          </w:p>
        </w:tc>
      </w:tr>
      <w:tr w14:paraId="2CD20FC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57" w:type="dxa"/>
            <w:bottom w:w="57" w:type="dxa"/>
            <w:right w:w="57" w:type="dxa"/>
          </w:tblCellMar>
        </w:tblPrEx>
        <w:trPr>
          <w:trHeight w:val="0" w:hRule="atLeast"/>
          <w:jc w:val="center"/>
        </w:trPr>
        <w:tc>
          <w:tcPr>
            <w:tcW w:w="400" w:type="pct"/>
            <w:tcBorders>
              <w:tl2br w:val="nil"/>
              <w:tr2bl w:val="nil"/>
            </w:tcBorders>
            <w:shd w:val="clear" w:color="auto" w:fill="auto"/>
            <w:noWrap w:val="0"/>
            <w:vAlign w:val="center"/>
          </w:tcPr>
          <w:p w14:paraId="13662A9D">
            <w:pPr>
              <w:pStyle w:val="39"/>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eastAsia" w:cs="Times New Roman"/>
                <w:caps w:val="0"/>
                <w:snapToGrid/>
                <w:color w:val="auto"/>
                <w:spacing w:val="0"/>
                <w:w w:val="100"/>
                <w:kern w:val="0"/>
                <w:position w:val="0"/>
                <w:sz w:val="21"/>
                <w:szCs w:val="21"/>
                <w:highlight w:val="none"/>
                <w:lang w:val="en-US" w:eastAsia="zh-CN" w:bidi="ar-SA"/>
              </w:rPr>
              <w:t>1</w:t>
            </w:r>
          </w:p>
        </w:tc>
        <w:tc>
          <w:tcPr>
            <w:tcW w:w="741" w:type="pct"/>
            <w:tcBorders>
              <w:tl2br w:val="nil"/>
              <w:tr2bl w:val="nil"/>
            </w:tcBorders>
            <w:noWrap w:val="0"/>
            <w:vAlign w:val="center"/>
          </w:tcPr>
          <w:p w14:paraId="38C902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DA001</w:t>
            </w:r>
          </w:p>
        </w:tc>
        <w:tc>
          <w:tcPr>
            <w:tcW w:w="846" w:type="pct"/>
            <w:tcBorders>
              <w:tl2br w:val="nil"/>
              <w:tr2bl w:val="nil"/>
            </w:tcBorders>
            <w:shd w:val="clear" w:color="auto" w:fill="auto"/>
            <w:noWrap w:val="0"/>
            <w:vAlign w:val="center"/>
          </w:tcPr>
          <w:p w14:paraId="2F70F01A">
            <w:pPr>
              <w:pStyle w:val="9"/>
              <w:keepNext w:val="0"/>
              <w:keepLines w:val="0"/>
              <w:pageBreakBefore w:val="0"/>
              <w:widowControl w:val="0"/>
              <w:numPr>
                <w:ilvl w:val="0"/>
                <w:numId w:val="0"/>
              </w:numPr>
              <w:suppressLineNumbers w:val="0"/>
              <w:shd w:val="clear" w:color="auto" w:fill="auto"/>
              <w:tabs>
                <w:tab w:val="left" w:pos="780"/>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olor w:val="auto"/>
                <w:spacing w:val="0"/>
                <w:w w:val="100"/>
                <w:kern w:val="2"/>
                <w:position w:val="0"/>
                <w:sz w:val="21"/>
                <w:szCs w:val="21"/>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颗粒物</w:t>
            </w:r>
          </w:p>
        </w:tc>
        <w:tc>
          <w:tcPr>
            <w:tcW w:w="1712" w:type="dxa"/>
            <w:tcBorders>
              <w:tl2br w:val="nil"/>
              <w:tr2bl w:val="nil"/>
            </w:tcBorders>
            <w:shd w:val="clear" w:color="auto" w:fill="auto"/>
            <w:noWrap w:val="0"/>
            <w:vAlign w:val="center"/>
          </w:tcPr>
          <w:p w14:paraId="09330294">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5.479</w:t>
            </w:r>
          </w:p>
        </w:tc>
        <w:tc>
          <w:tcPr>
            <w:tcW w:w="1824" w:type="dxa"/>
            <w:tcBorders>
              <w:tl2br w:val="nil"/>
              <w:tr2bl w:val="nil"/>
            </w:tcBorders>
            <w:shd w:val="clear" w:color="auto" w:fill="auto"/>
            <w:noWrap w:val="0"/>
            <w:vAlign w:val="center"/>
          </w:tcPr>
          <w:p w14:paraId="2B1D6476">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0.055</w:t>
            </w:r>
          </w:p>
        </w:tc>
        <w:tc>
          <w:tcPr>
            <w:tcW w:w="1858" w:type="dxa"/>
            <w:tcBorders>
              <w:tl2br w:val="nil"/>
              <w:tr2bl w:val="nil"/>
            </w:tcBorders>
            <w:shd w:val="clear" w:color="auto" w:fill="auto"/>
            <w:noWrap w:val="0"/>
            <w:vAlign w:val="center"/>
          </w:tcPr>
          <w:p w14:paraId="02A96055">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default" w:ascii="Times New Roman" w:hAnsi="Times New Roman" w:eastAsia="宋体" w:cs="Times New Roman"/>
                <w:snapToGrid/>
                <w:color w:val="auto"/>
                <w:spacing w:val="0"/>
                <w:w w:val="100"/>
                <w:kern w:val="28"/>
                <w:position w:val="0"/>
                <w:sz w:val="21"/>
                <w:szCs w:val="21"/>
                <w:highlight w:val="none"/>
                <w:lang w:val="en-US" w:eastAsia="zh-CN"/>
              </w:rPr>
              <w:t>0.2</w:t>
            </w:r>
            <w:r>
              <w:rPr>
                <w:rFonts w:hint="eastAsia" w:ascii="Times New Roman" w:hAnsi="Times New Roman" w:eastAsia="宋体" w:cs="Times New Roman"/>
                <w:snapToGrid/>
                <w:color w:val="auto"/>
                <w:spacing w:val="0"/>
                <w:w w:val="100"/>
                <w:kern w:val="28"/>
                <w:position w:val="0"/>
                <w:sz w:val="21"/>
                <w:szCs w:val="21"/>
                <w:highlight w:val="none"/>
                <w:lang w:val="en-US" w:eastAsia="zh-CN"/>
              </w:rPr>
              <w:t>63</w:t>
            </w:r>
          </w:p>
        </w:tc>
      </w:tr>
      <w:tr w14:paraId="0B13527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57" w:type="dxa"/>
            <w:bottom w:w="57" w:type="dxa"/>
            <w:right w:w="57" w:type="dxa"/>
          </w:tblCellMar>
        </w:tblPrEx>
        <w:trPr>
          <w:trHeight w:val="0" w:hRule="atLeast"/>
          <w:jc w:val="center"/>
        </w:trPr>
        <w:tc>
          <w:tcPr>
            <w:tcW w:w="400" w:type="pct"/>
            <w:tcBorders>
              <w:tl2br w:val="nil"/>
              <w:tr2bl w:val="nil"/>
            </w:tcBorders>
            <w:shd w:val="clear" w:color="auto" w:fill="auto"/>
            <w:noWrap w:val="0"/>
            <w:vAlign w:val="center"/>
          </w:tcPr>
          <w:p w14:paraId="3A78996D">
            <w:pPr>
              <w:pStyle w:val="39"/>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outlineLvl w:val="9"/>
              <w:rPr>
                <w:rFonts w:hint="default" w:cs="Times New Roman"/>
                <w:caps w:val="0"/>
                <w:snapToGrid/>
                <w:color w:val="auto"/>
                <w:spacing w:val="0"/>
                <w:w w:val="100"/>
                <w:kern w:val="0"/>
                <w:position w:val="0"/>
                <w:sz w:val="21"/>
                <w:szCs w:val="21"/>
                <w:highlight w:val="none"/>
                <w:lang w:val="en-US" w:eastAsia="zh-CN" w:bidi="ar-SA"/>
              </w:rPr>
            </w:pPr>
            <w:r>
              <w:rPr>
                <w:rFonts w:hint="eastAsia" w:cs="Times New Roman"/>
                <w:caps w:val="0"/>
                <w:snapToGrid/>
                <w:color w:val="auto"/>
                <w:spacing w:val="0"/>
                <w:w w:val="100"/>
                <w:kern w:val="0"/>
                <w:position w:val="0"/>
                <w:sz w:val="21"/>
                <w:szCs w:val="21"/>
                <w:highlight w:val="none"/>
                <w:lang w:val="en-US" w:eastAsia="zh-CN" w:bidi="ar-SA"/>
              </w:rPr>
              <w:t>2</w:t>
            </w:r>
          </w:p>
        </w:tc>
        <w:tc>
          <w:tcPr>
            <w:tcW w:w="741" w:type="pct"/>
            <w:tcBorders>
              <w:tl2br w:val="nil"/>
              <w:tr2bl w:val="nil"/>
            </w:tcBorders>
            <w:noWrap w:val="0"/>
            <w:vAlign w:val="center"/>
          </w:tcPr>
          <w:p w14:paraId="7A7A8A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DA002</w:t>
            </w:r>
          </w:p>
        </w:tc>
        <w:tc>
          <w:tcPr>
            <w:tcW w:w="846" w:type="pct"/>
            <w:tcBorders>
              <w:tl2br w:val="nil"/>
              <w:tr2bl w:val="nil"/>
            </w:tcBorders>
            <w:shd w:val="clear" w:color="auto" w:fill="auto"/>
            <w:noWrap w:val="0"/>
            <w:vAlign w:val="center"/>
          </w:tcPr>
          <w:p w14:paraId="717AA0E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outlineLvl w:val="9"/>
              <w:rPr>
                <w:rFonts w:hint="eastAsia" w:ascii="Times New Roman" w:hAnsi="Times New Roman" w:eastAsia="宋体" w:cs="Times New Roman"/>
                <w:color w:val="auto"/>
                <w:spacing w:val="0"/>
                <w:w w:val="100"/>
                <w:kern w:val="0"/>
                <w:position w:val="0"/>
                <w:sz w:val="21"/>
                <w:szCs w:val="21"/>
                <w:highlight w:val="none"/>
                <w:lang w:val="en-US" w:eastAsia="zh-CN" w:bidi="ar-SA"/>
              </w:rPr>
            </w:pPr>
            <w:r>
              <w:rPr>
                <w:rFonts w:hint="default" w:ascii="Times New Roman" w:hAnsi="Times New Roman" w:eastAsia="宋体" w:cs="Times New Roman"/>
                <w:color w:val="auto"/>
                <w:spacing w:val="0"/>
                <w:w w:val="100"/>
                <w:position w:val="0"/>
                <w:sz w:val="21"/>
                <w:szCs w:val="21"/>
                <w:highlight w:val="none"/>
                <w:lang w:val="en-US" w:eastAsia="zh-CN"/>
              </w:rPr>
              <w:t>非甲烷总烃</w:t>
            </w:r>
          </w:p>
        </w:tc>
        <w:tc>
          <w:tcPr>
            <w:tcW w:w="1712" w:type="dxa"/>
            <w:tcBorders>
              <w:tl2br w:val="nil"/>
              <w:tr2bl w:val="nil"/>
            </w:tcBorders>
            <w:shd w:val="clear" w:color="auto" w:fill="auto"/>
            <w:noWrap w:val="0"/>
            <w:vAlign w:val="center"/>
          </w:tcPr>
          <w:p w14:paraId="4108003E">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30.806</w:t>
            </w:r>
          </w:p>
        </w:tc>
        <w:tc>
          <w:tcPr>
            <w:tcW w:w="1824" w:type="dxa"/>
            <w:tcBorders>
              <w:tl2br w:val="nil"/>
              <w:tr2bl w:val="nil"/>
            </w:tcBorders>
            <w:shd w:val="clear" w:color="auto" w:fill="auto"/>
            <w:noWrap w:val="0"/>
            <w:vAlign w:val="center"/>
          </w:tcPr>
          <w:p w14:paraId="3F53DBFA">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0.462</w:t>
            </w:r>
          </w:p>
        </w:tc>
        <w:tc>
          <w:tcPr>
            <w:tcW w:w="1858" w:type="dxa"/>
            <w:tcBorders>
              <w:tl2br w:val="nil"/>
              <w:tr2bl w:val="nil"/>
            </w:tcBorders>
            <w:shd w:val="clear" w:color="auto" w:fill="auto"/>
            <w:noWrap w:val="0"/>
            <w:vAlign w:val="center"/>
          </w:tcPr>
          <w:p w14:paraId="2C97F2A7">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1.386</w:t>
            </w:r>
          </w:p>
        </w:tc>
      </w:tr>
      <w:tr w14:paraId="58FBDD0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141" w:type="pct"/>
            <w:gridSpan w:val="2"/>
            <w:vMerge w:val="restart"/>
            <w:tcBorders>
              <w:tl2br w:val="nil"/>
              <w:tr2bl w:val="nil"/>
            </w:tcBorders>
            <w:noWrap w:val="0"/>
            <w:vAlign w:val="center"/>
          </w:tcPr>
          <w:p w14:paraId="5098F3F5">
            <w:pPr>
              <w:pStyle w:val="39"/>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一般排放口合计</w:t>
            </w:r>
          </w:p>
        </w:tc>
        <w:tc>
          <w:tcPr>
            <w:tcW w:w="2821" w:type="pct"/>
            <w:gridSpan w:val="3"/>
            <w:tcBorders>
              <w:tl2br w:val="nil"/>
              <w:tr2bl w:val="nil"/>
            </w:tcBorders>
            <w:noWrap w:val="0"/>
            <w:vAlign w:val="center"/>
          </w:tcPr>
          <w:p w14:paraId="20A649FD">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default" w:ascii="Times New Roman" w:hAnsi="Times New Roman" w:eastAsia="宋体" w:cs="Times New Roman"/>
                <w:snapToGrid/>
                <w:color w:val="auto"/>
                <w:spacing w:val="0"/>
                <w:w w:val="100"/>
                <w:kern w:val="28"/>
                <w:position w:val="0"/>
                <w:sz w:val="21"/>
                <w:szCs w:val="21"/>
                <w:highlight w:val="none"/>
                <w:lang w:val="en-US" w:eastAsia="zh-CN"/>
              </w:rPr>
              <w:t>颗粒物</w:t>
            </w:r>
          </w:p>
        </w:tc>
        <w:tc>
          <w:tcPr>
            <w:tcW w:w="1858" w:type="dxa"/>
            <w:tcBorders>
              <w:tl2br w:val="nil"/>
              <w:tr2bl w:val="nil"/>
            </w:tcBorders>
            <w:noWrap w:val="0"/>
            <w:vAlign w:val="center"/>
          </w:tcPr>
          <w:p w14:paraId="6A66A3E9">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default" w:ascii="Times New Roman" w:hAnsi="Times New Roman" w:eastAsia="宋体" w:cs="Times New Roman"/>
                <w:snapToGrid/>
                <w:color w:val="auto"/>
                <w:spacing w:val="0"/>
                <w:w w:val="100"/>
                <w:kern w:val="28"/>
                <w:position w:val="0"/>
                <w:sz w:val="21"/>
                <w:szCs w:val="21"/>
                <w:highlight w:val="none"/>
                <w:lang w:val="en-US" w:eastAsia="zh-CN"/>
              </w:rPr>
              <w:t>0.2</w:t>
            </w:r>
            <w:r>
              <w:rPr>
                <w:rFonts w:hint="eastAsia" w:ascii="Times New Roman" w:hAnsi="Times New Roman" w:eastAsia="宋体" w:cs="Times New Roman"/>
                <w:snapToGrid/>
                <w:color w:val="auto"/>
                <w:spacing w:val="0"/>
                <w:w w:val="100"/>
                <w:kern w:val="28"/>
                <w:position w:val="0"/>
                <w:sz w:val="21"/>
                <w:szCs w:val="21"/>
                <w:highlight w:val="none"/>
                <w:lang w:val="en-US" w:eastAsia="zh-CN"/>
              </w:rPr>
              <w:t>63</w:t>
            </w:r>
          </w:p>
        </w:tc>
      </w:tr>
      <w:tr w14:paraId="2F7D88D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57" w:type="dxa"/>
            <w:bottom w:w="57" w:type="dxa"/>
            <w:right w:w="57" w:type="dxa"/>
          </w:tblCellMar>
        </w:tblPrEx>
        <w:trPr>
          <w:trHeight w:val="0" w:hRule="atLeast"/>
          <w:jc w:val="center"/>
        </w:trPr>
        <w:tc>
          <w:tcPr>
            <w:tcW w:w="1141" w:type="pct"/>
            <w:gridSpan w:val="2"/>
            <w:vMerge w:val="continue"/>
            <w:tcBorders>
              <w:tl2br w:val="nil"/>
              <w:tr2bl w:val="nil"/>
            </w:tcBorders>
            <w:noWrap w:val="0"/>
            <w:vAlign w:val="center"/>
          </w:tcPr>
          <w:p w14:paraId="770B5E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2821" w:type="pct"/>
            <w:gridSpan w:val="3"/>
            <w:tcBorders>
              <w:tl2br w:val="nil"/>
              <w:tr2bl w:val="nil"/>
            </w:tcBorders>
            <w:noWrap w:val="0"/>
            <w:vAlign w:val="center"/>
          </w:tcPr>
          <w:p w14:paraId="179B4060">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default" w:ascii="Times New Roman" w:hAnsi="Times New Roman" w:eastAsia="宋体" w:cs="Times New Roman"/>
                <w:snapToGrid/>
                <w:color w:val="auto"/>
                <w:spacing w:val="0"/>
                <w:w w:val="100"/>
                <w:kern w:val="28"/>
                <w:position w:val="0"/>
                <w:sz w:val="21"/>
                <w:szCs w:val="21"/>
                <w:highlight w:val="none"/>
                <w:lang w:val="en-US" w:eastAsia="zh-CN"/>
              </w:rPr>
              <w:t>非甲烷总烃</w:t>
            </w:r>
          </w:p>
        </w:tc>
        <w:tc>
          <w:tcPr>
            <w:tcW w:w="1858" w:type="dxa"/>
            <w:tcBorders>
              <w:tl2br w:val="nil"/>
              <w:tr2bl w:val="nil"/>
            </w:tcBorders>
            <w:noWrap w:val="0"/>
            <w:vAlign w:val="center"/>
          </w:tcPr>
          <w:p w14:paraId="5518B88F">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1.386</w:t>
            </w:r>
          </w:p>
        </w:tc>
      </w:tr>
    </w:tbl>
    <w:p w14:paraId="5852DD77">
      <w:pPr>
        <w:keepNext w:val="0"/>
        <w:keepLines w:val="0"/>
        <w:pageBreakBefore w:val="0"/>
        <w:widowControl w:val="0"/>
        <w:kinsoku/>
        <w:wordWrap/>
        <w:overflowPunct/>
        <w:topLinePunct w:val="0"/>
        <w:autoSpaceDE/>
        <w:autoSpaceDN/>
        <w:bidi w:val="0"/>
        <w:adjustRightInd/>
        <w:snapToGrid/>
        <w:spacing w:before="166" w:beforeLines="5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rPr>
        <w:t>5.2</w:t>
      </w:r>
      <w:r>
        <w:rPr>
          <w:rFonts w:hint="eastAsia" w:cs="Times New Roman"/>
          <w:b/>
          <w:bCs/>
          <w:caps w:val="0"/>
          <w:snapToGrid/>
          <w:color w:val="auto"/>
          <w:spacing w:val="0"/>
          <w:w w:val="100"/>
          <w:kern w:val="0"/>
          <w:position w:val="0"/>
          <w:sz w:val="21"/>
          <w:szCs w:val="21"/>
          <w:highlight w:val="none"/>
          <w:lang w:val="en-US" w:eastAsia="zh-CN"/>
        </w:rPr>
        <w:t>.1-8</w:t>
      </w:r>
      <w:r>
        <w:rPr>
          <w:rFonts w:hint="default" w:ascii="Times New Roman" w:hAnsi="Times New Roman" w:eastAsia="宋体" w:cs="Times New Roman"/>
          <w:b/>
          <w:bCs/>
          <w:caps w:val="0"/>
          <w:snapToGrid/>
          <w:color w:val="auto"/>
          <w:spacing w:val="0"/>
          <w:w w:val="100"/>
          <w:kern w:val="0"/>
          <w:position w:val="0"/>
          <w:sz w:val="21"/>
          <w:szCs w:val="21"/>
          <w:highlight w:val="none"/>
        </w:rPr>
        <w:t xml:space="preserve">  </w:t>
      </w:r>
      <w:r>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rPr>
        <w:t>本</w:t>
      </w:r>
      <w:r>
        <w:rPr>
          <w:rFonts w:hint="default" w:ascii="Times New Roman" w:hAnsi="Times New Roman" w:eastAsia="宋体" w:cs="Times New Roman"/>
          <w:b/>
          <w:bCs/>
          <w:caps w:val="0"/>
          <w:snapToGrid/>
          <w:color w:val="auto"/>
          <w:spacing w:val="0"/>
          <w:w w:val="100"/>
          <w:kern w:val="0"/>
          <w:position w:val="0"/>
          <w:sz w:val="21"/>
          <w:szCs w:val="21"/>
          <w:highlight w:val="none"/>
        </w:rPr>
        <w:t>项目大气污染物无组织排放量核算表</w:t>
      </w:r>
    </w:p>
    <w:tbl>
      <w:tblPr>
        <w:tblStyle w:val="2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520"/>
        <w:gridCol w:w="1111"/>
        <w:gridCol w:w="2941"/>
        <w:gridCol w:w="1625"/>
        <w:gridCol w:w="1193"/>
        <w:gridCol w:w="1567"/>
      </w:tblGrid>
      <w:tr w14:paraId="0CF867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1064" w:hRule="atLeast"/>
          <w:jc w:val="center"/>
        </w:trPr>
        <w:tc>
          <w:tcPr>
            <w:tcW w:w="290" w:type="pct"/>
            <w:tcBorders>
              <w:tl2br w:val="nil"/>
              <w:tr2bl w:val="nil"/>
            </w:tcBorders>
            <w:noWrap w:val="0"/>
            <w:vAlign w:val="center"/>
          </w:tcPr>
          <w:p w14:paraId="4E88E5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序号</w:t>
            </w:r>
          </w:p>
        </w:tc>
        <w:tc>
          <w:tcPr>
            <w:tcW w:w="620" w:type="pct"/>
            <w:tcBorders>
              <w:tl2br w:val="nil"/>
              <w:tr2bl w:val="nil"/>
            </w:tcBorders>
            <w:noWrap w:val="0"/>
            <w:vAlign w:val="center"/>
          </w:tcPr>
          <w:p w14:paraId="4BCF45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rPr>
            </w:pPr>
            <w:r>
              <w:rPr>
                <w:rFonts w:hint="eastAsia" w:cs="Times New Roman"/>
                <w:b/>
                <w:bCs/>
                <w:caps w:val="0"/>
                <w:snapToGrid/>
                <w:color w:val="auto"/>
                <w:spacing w:val="0"/>
                <w:w w:val="100"/>
                <w:kern w:val="0"/>
                <w:position w:val="0"/>
                <w:sz w:val="21"/>
                <w:szCs w:val="21"/>
                <w:highlight w:val="none"/>
                <w:lang w:val="en-US" w:eastAsia="zh-CN"/>
              </w:rPr>
              <w:t>排放口编号</w:t>
            </w:r>
          </w:p>
        </w:tc>
        <w:tc>
          <w:tcPr>
            <w:tcW w:w="1641" w:type="pct"/>
            <w:tcBorders>
              <w:tl2br w:val="nil"/>
              <w:tr2bl w:val="nil"/>
            </w:tcBorders>
            <w:noWrap w:val="0"/>
            <w:vAlign w:val="center"/>
          </w:tcPr>
          <w:p w14:paraId="63D2AD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产污环节</w:t>
            </w:r>
          </w:p>
        </w:tc>
        <w:tc>
          <w:tcPr>
            <w:tcW w:w="907" w:type="pct"/>
            <w:tcBorders>
              <w:tl2br w:val="nil"/>
              <w:tr2bl w:val="nil"/>
            </w:tcBorders>
            <w:noWrap w:val="0"/>
            <w:vAlign w:val="center"/>
          </w:tcPr>
          <w:p w14:paraId="6A9977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污染物</w:t>
            </w:r>
          </w:p>
        </w:tc>
        <w:tc>
          <w:tcPr>
            <w:tcW w:w="665" w:type="pct"/>
            <w:tcBorders>
              <w:tl2br w:val="nil"/>
              <w:tr2bl w:val="nil"/>
            </w:tcBorders>
            <w:noWrap w:val="0"/>
            <w:vAlign w:val="center"/>
          </w:tcPr>
          <w:p w14:paraId="4CE512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主要污染防治措施</w:t>
            </w:r>
          </w:p>
        </w:tc>
        <w:tc>
          <w:tcPr>
            <w:tcW w:w="874" w:type="pct"/>
            <w:tcBorders>
              <w:tl2br w:val="nil"/>
              <w:tr2bl w:val="nil"/>
            </w:tcBorders>
            <w:noWrap w:val="0"/>
            <w:vAlign w:val="center"/>
          </w:tcPr>
          <w:p w14:paraId="658D43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年排放量（t/a）</w:t>
            </w:r>
          </w:p>
        </w:tc>
      </w:tr>
      <w:tr w14:paraId="3F4123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90" w:type="pct"/>
            <w:vMerge w:val="restart"/>
            <w:tcBorders>
              <w:tl2br w:val="nil"/>
              <w:tr2bl w:val="nil"/>
            </w:tcBorders>
            <w:noWrap w:val="0"/>
            <w:vAlign w:val="center"/>
          </w:tcPr>
          <w:p w14:paraId="09C2B5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5</w:t>
            </w:r>
          </w:p>
        </w:tc>
        <w:tc>
          <w:tcPr>
            <w:tcW w:w="620" w:type="pct"/>
            <w:tcBorders>
              <w:tl2br w:val="nil"/>
              <w:tr2bl w:val="nil"/>
            </w:tcBorders>
            <w:noWrap w:val="0"/>
            <w:vAlign w:val="center"/>
          </w:tcPr>
          <w:p w14:paraId="6DDBA4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w:t>
            </w:r>
          </w:p>
        </w:tc>
        <w:tc>
          <w:tcPr>
            <w:tcW w:w="1641" w:type="pct"/>
            <w:vMerge w:val="restart"/>
            <w:tcBorders>
              <w:tl2br w:val="nil"/>
              <w:tr2bl w:val="nil"/>
            </w:tcBorders>
            <w:noWrap w:val="0"/>
            <w:vAlign w:val="center"/>
          </w:tcPr>
          <w:p w14:paraId="1C44E0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铝塑复合板生产线</w:t>
            </w:r>
          </w:p>
        </w:tc>
        <w:tc>
          <w:tcPr>
            <w:tcW w:w="907" w:type="pct"/>
            <w:tcBorders>
              <w:tl2br w:val="nil"/>
              <w:tr2bl w:val="nil"/>
            </w:tcBorders>
            <w:shd w:val="clear" w:color="auto" w:fill="auto"/>
            <w:noWrap w:val="0"/>
            <w:vAlign w:val="center"/>
          </w:tcPr>
          <w:p w14:paraId="14ABD61B">
            <w:pPr>
              <w:pStyle w:val="9"/>
              <w:keepNext w:val="0"/>
              <w:keepLines w:val="0"/>
              <w:pageBreakBefore w:val="0"/>
              <w:widowControl w:val="0"/>
              <w:numPr>
                <w:ilvl w:val="0"/>
                <w:numId w:val="0"/>
              </w:numPr>
              <w:suppressLineNumbers w:val="0"/>
              <w:shd w:val="clear" w:color="auto" w:fill="auto"/>
              <w:tabs>
                <w:tab w:val="left" w:pos="780"/>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21"/>
                <w:position w:val="0"/>
                <w:sz w:val="21"/>
                <w:szCs w:val="21"/>
                <w:highlight w:val="none"/>
                <w:vertAlign w:val="baseline"/>
                <w:lang w:val="en-US" w:eastAsia="zh-CN" w:bidi="ar-SA"/>
              </w:rPr>
            </w:pPr>
            <w:r>
              <w:rPr>
                <w:rFonts w:hint="eastAsia" w:cs="Times New Roman"/>
                <w:caps w:val="0"/>
                <w:snapToGrid/>
                <w:color w:val="auto"/>
                <w:spacing w:val="0"/>
                <w:w w:val="100"/>
                <w:kern w:val="21"/>
                <w:position w:val="0"/>
                <w:sz w:val="21"/>
                <w:szCs w:val="21"/>
                <w:highlight w:val="none"/>
                <w:vertAlign w:val="baseline"/>
                <w:lang w:val="en-US" w:eastAsia="zh-CN"/>
              </w:rPr>
              <w:t>颗粒物</w:t>
            </w:r>
          </w:p>
        </w:tc>
        <w:tc>
          <w:tcPr>
            <w:tcW w:w="665" w:type="pct"/>
            <w:tcBorders>
              <w:tl2br w:val="nil"/>
              <w:tr2bl w:val="nil"/>
            </w:tcBorders>
            <w:noWrap w:val="0"/>
            <w:vAlign w:val="center"/>
          </w:tcPr>
          <w:p w14:paraId="7509AE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w:t>
            </w:r>
          </w:p>
        </w:tc>
        <w:tc>
          <w:tcPr>
            <w:tcW w:w="1567" w:type="dxa"/>
            <w:tcBorders>
              <w:tl2br w:val="nil"/>
              <w:tr2bl w:val="nil"/>
            </w:tcBorders>
            <w:shd w:val="clear" w:color="auto" w:fill="auto"/>
            <w:noWrap w:val="0"/>
            <w:vAlign w:val="center"/>
          </w:tcPr>
          <w:p w14:paraId="7FBE57F1">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bidi="ar-SA"/>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1.471</w:t>
            </w:r>
          </w:p>
        </w:tc>
      </w:tr>
      <w:tr w14:paraId="12D117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90" w:type="pct"/>
            <w:vMerge w:val="continue"/>
            <w:tcBorders>
              <w:tl2br w:val="nil"/>
              <w:tr2bl w:val="nil"/>
            </w:tcBorders>
            <w:noWrap w:val="0"/>
            <w:vAlign w:val="center"/>
          </w:tcPr>
          <w:p w14:paraId="176044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p>
        </w:tc>
        <w:tc>
          <w:tcPr>
            <w:tcW w:w="620" w:type="pct"/>
            <w:tcBorders>
              <w:tl2br w:val="nil"/>
              <w:tr2bl w:val="nil"/>
            </w:tcBorders>
            <w:noWrap w:val="0"/>
            <w:vAlign w:val="center"/>
          </w:tcPr>
          <w:p w14:paraId="21A223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w:t>
            </w:r>
          </w:p>
        </w:tc>
        <w:tc>
          <w:tcPr>
            <w:tcW w:w="1641" w:type="pct"/>
            <w:vMerge w:val="continue"/>
            <w:tcBorders>
              <w:tl2br w:val="nil"/>
              <w:tr2bl w:val="nil"/>
            </w:tcBorders>
            <w:noWrap w:val="0"/>
            <w:vAlign w:val="center"/>
          </w:tcPr>
          <w:p w14:paraId="1EFABFBE">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eastAsia" w:cs="Times New Roman"/>
                <w:caps w:val="0"/>
                <w:snapToGrid/>
                <w:color w:val="auto"/>
                <w:spacing w:val="0"/>
                <w:w w:val="100"/>
                <w:kern w:val="0"/>
                <w:position w:val="0"/>
                <w:sz w:val="21"/>
                <w:szCs w:val="21"/>
                <w:highlight w:val="none"/>
                <w:lang w:val="en-US" w:eastAsia="zh-CN"/>
              </w:rPr>
            </w:pPr>
          </w:p>
        </w:tc>
        <w:tc>
          <w:tcPr>
            <w:tcW w:w="907" w:type="pct"/>
            <w:tcBorders>
              <w:tl2br w:val="nil"/>
              <w:tr2bl w:val="nil"/>
            </w:tcBorders>
            <w:shd w:val="clear" w:color="auto" w:fill="auto"/>
            <w:noWrap w:val="0"/>
            <w:vAlign w:val="center"/>
          </w:tcPr>
          <w:p w14:paraId="44DB3608">
            <w:pPr>
              <w:pStyle w:val="9"/>
              <w:keepNext w:val="0"/>
              <w:keepLines w:val="0"/>
              <w:pageBreakBefore w:val="0"/>
              <w:widowControl w:val="0"/>
              <w:numPr>
                <w:ilvl w:val="0"/>
                <w:numId w:val="0"/>
              </w:numPr>
              <w:suppressLineNumbers w:val="0"/>
              <w:shd w:val="clear" w:color="auto" w:fill="auto"/>
              <w:tabs>
                <w:tab w:val="left" w:pos="780"/>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21"/>
                <w:position w:val="0"/>
                <w:sz w:val="21"/>
                <w:szCs w:val="21"/>
                <w:highlight w:val="none"/>
                <w:vertAlign w:val="baseline"/>
                <w:lang w:val="en-US" w:eastAsia="zh-CN" w:bidi="ar-SA"/>
              </w:rPr>
            </w:pPr>
            <w:r>
              <w:rPr>
                <w:rFonts w:hint="eastAsia" w:cs="Times New Roman"/>
                <w:caps w:val="0"/>
                <w:snapToGrid/>
                <w:color w:val="auto"/>
                <w:spacing w:val="0"/>
                <w:w w:val="100"/>
                <w:kern w:val="21"/>
                <w:position w:val="0"/>
                <w:sz w:val="21"/>
                <w:szCs w:val="21"/>
                <w:highlight w:val="none"/>
                <w:vertAlign w:val="baseline"/>
                <w:lang w:val="en-US" w:eastAsia="zh-CN"/>
              </w:rPr>
              <w:t>非甲烷总烃</w:t>
            </w:r>
          </w:p>
        </w:tc>
        <w:tc>
          <w:tcPr>
            <w:tcW w:w="665" w:type="pct"/>
            <w:tcBorders>
              <w:tl2br w:val="nil"/>
              <w:tr2bl w:val="nil"/>
            </w:tcBorders>
            <w:noWrap w:val="0"/>
            <w:vAlign w:val="center"/>
          </w:tcPr>
          <w:p w14:paraId="6AD83E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w:t>
            </w:r>
          </w:p>
        </w:tc>
        <w:tc>
          <w:tcPr>
            <w:tcW w:w="1567" w:type="dxa"/>
            <w:tcBorders>
              <w:tl2br w:val="nil"/>
              <w:tr2bl w:val="nil"/>
            </w:tcBorders>
            <w:shd w:val="clear" w:color="auto" w:fill="auto"/>
            <w:noWrap w:val="0"/>
            <w:vAlign w:val="center"/>
          </w:tcPr>
          <w:p w14:paraId="5ECDF44F">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bidi="ar-SA"/>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1.386</w:t>
            </w:r>
          </w:p>
        </w:tc>
      </w:tr>
      <w:tr w14:paraId="720183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5000" w:type="pct"/>
            <w:gridSpan w:val="6"/>
            <w:tcBorders>
              <w:tl2br w:val="nil"/>
              <w:tr2bl w:val="nil"/>
            </w:tcBorders>
            <w:noWrap w:val="0"/>
            <w:vAlign w:val="center"/>
          </w:tcPr>
          <w:p w14:paraId="2155CC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无组织排放总计</w:t>
            </w:r>
          </w:p>
        </w:tc>
      </w:tr>
      <w:tr w14:paraId="7B7785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552" w:type="pct"/>
            <w:gridSpan w:val="3"/>
            <w:vMerge w:val="restart"/>
            <w:tcBorders>
              <w:tl2br w:val="nil"/>
              <w:tr2bl w:val="nil"/>
            </w:tcBorders>
            <w:noWrap w:val="0"/>
            <w:vAlign w:val="center"/>
          </w:tcPr>
          <w:p w14:paraId="47A0F408">
            <w:pPr>
              <w:pStyle w:val="39"/>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无组织排放总计</w:t>
            </w:r>
          </w:p>
        </w:tc>
        <w:tc>
          <w:tcPr>
            <w:tcW w:w="1573" w:type="pct"/>
            <w:gridSpan w:val="2"/>
            <w:tcBorders>
              <w:tl2br w:val="nil"/>
              <w:tr2bl w:val="nil"/>
            </w:tcBorders>
            <w:shd w:val="clear" w:color="auto" w:fill="auto"/>
            <w:noWrap w:val="0"/>
            <w:vAlign w:val="center"/>
          </w:tcPr>
          <w:p w14:paraId="748E05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rPr>
              <w:t>颗粒物</w:t>
            </w:r>
          </w:p>
        </w:tc>
        <w:tc>
          <w:tcPr>
            <w:tcW w:w="1567" w:type="dxa"/>
            <w:tcBorders>
              <w:tl2br w:val="nil"/>
              <w:tr2bl w:val="nil"/>
            </w:tcBorders>
            <w:noWrap w:val="0"/>
            <w:vAlign w:val="center"/>
          </w:tcPr>
          <w:p w14:paraId="296998D6">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1.471</w:t>
            </w:r>
          </w:p>
        </w:tc>
      </w:tr>
      <w:tr w14:paraId="60A8D5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552" w:type="pct"/>
            <w:gridSpan w:val="3"/>
            <w:vMerge w:val="continue"/>
            <w:tcBorders>
              <w:tl2br w:val="nil"/>
              <w:tr2bl w:val="nil"/>
            </w:tcBorders>
            <w:noWrap w:val="0"/>
            <w:vAlign w:val="center"/>
          </w:tcPr>
          <w:p w14:paraId="094B4F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p>
        </w:tc>
        <w:tc>
          <w:tcPr>
            <w:tcW w:w="1573" w:type="pct"/>
            <w:gridSpan w:val="2"/>
            <w:tcBorders>
              <w:tl2br w:val="nil"/>
              <w:tr2bl w:val="nil"/>
            </w:tcBorders>
            <w:shd w:val="clear" w:color="auto" w:fill="auto"/>
            <w:noWrap w:val="0"/>
            <w:vAlign w:val="center"/>
          </w:tcPr>
          <w:p w14:paraId="1DE27E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cs="Times New Roman"/>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非甲烷总烃</w:t>
            </w:r>
          </w:p>
        </w:tc>
        <w:tc>
          <w:tcPr>
            <w:tcW w:w="1567" w:type="dxa"/>
            <w:tcBorders>
              <w:tl2br w:val="nil"/>
              <w:tr2bl w:val="nil"/>
            </w:tcBorders>
            <w:noWrap w:val="0"/>
            <w:vAlign w:val="center"/>
          </w:tcPr>
          <w:p w14:paraId="7DF8F36A">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1.386</w:t>
            </w:r>
          </w:p>
        </w:tc>
      </w:tr>
    </w:tbl>
    <w:p w14:paraId="1B5BE0F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eastAsia" w:cs="Times New Roman"/>
          <w:caps w:val="0"/>
          <w:snapToGrid/>
          <w:color w:val="auto"/>
          <w:spacing w:val="0"/>
          <w:w w:val="100"/>
          <w:kern w:val="0"/>
          <w:position w:val="0"/>
          <w:sz w:val="24"/>
          <w:szCs w:val="24"/>
          <w:highlight w:val="none"/>
          <w:lang w:eastAsia="zh-CN"/>
        </w:rPr>
        <w:t>（</w:t>
      </w:r>
      <w:r>
        <w:rPr>
          <w:rFonts w:hint="eastAsia" w:cs="Times New Roman"/>
          <w:caps w:val="0"/>
          <w:snapToGrid/>
          <w:color w:val="auto"/>
          <w:spacing w:val="0"/>
          <w:w w:val="100"/>
          <w:kern w:val="0"/>
          <w:position w:val="0"/>
          <w:sz w:val="24"/>
          <w:szCs w:val="24"/>
          <w:highlight w:val="none"/>
          <w:lang w:val="en-US" w:eastAsia="zh-CN"/>
        </w:rPr>
        <w:t>2</w:t>
      </w:r>
      <w:r>
        <w:rPr>
          <w:rFonts w:hint="eastAsia" w:cs="Times New Roman"/>
          <w:caps w:val="0"/>
          <w:snapToGrid/>
          <w:color w:val="auto"/>
          <w:spacing w:val="0"/>
          <w:w w:val="100"/>
          <w:kern w:val="0"/>
          <w:position w:val="0"/>
          <w:sz w:val="24"/>
          <w:szCs w:val="24"/>
          <w:highlight w:val="none"/>
          <w:lang w:eastAsia="zh-CN"/>
        </w:rPr>
        <w:t>）</w:t>
      </w:r>
      <w:r>
        <w:rPr>
          <w:rFonts w:hint="default" w:ascii="Times New Roman" w:hAnsi="Times New Roman" w:eastAsia="宋体" w:cs="Times New Roman"/>
          <w:caps w:val="0"/>
          <w:snapToGrid/>
          <w:color w:val="auto"/>
          <w:spacing w:val="0"/>
          <w:w w:val="100"/>
          <w:kern w:val="0"/>
          <w:position w:val="0"/>
          <w:sz w:val="24"/>
          <w:szCs w:val="24"/>
          <w:highlight w:val="none"/>
        </w:rPr>
        <w:t>项目大气污染物年排放量核算</w:t>
      </w:r>
    </w:p>
    <w:p w14:paraId="4A5F6FA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本</w:t>
      </w:r>
      <w:r>
        <w:rPr>
          <w:rFonts w:hint="default" w:ascii="Times New Roman" w:hAnsi="Times New Roman" w:eastAsia="宋体" w:cs="Times New Roman"/>
          <w:caps w:val="0"/>
          <w:snapToGrid/>
          <w:color w:val="auto"/>
          <w:spacing w:val="0"/>
          <w:w w:val="100"/>
          <w:kern w:val="0"/>
          <w:position w:val="0"/>
          <w:sz w:val="24"/>
          <w:szCs w:val="24"/>
          <w:highlight w:val="none"/>
        </w:rPr>
        <w:t>项目大气污染物年排放量核算见表</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5.2</w:t>
      </w:r>
      <w:r>
        <w:rPr>
          <w:rFonts w:hint="eastAsia" w:cs="Times New Roman"/>
          <w:caps w:val="0"/>
          <w:snapToGrid/>
          <w:color w:val="auto"/>
          <w:spacing w:val="0"/>
          <w:w w:val="100"/>
          <w:kern w:val="0"/>
          <w:position w:val="0"/>
          <w:sz w:val="24"/>
          <w:szCs w:val="24"/>
          <w:highlight w:val="none"/>
          <w:lang w:val="en-US" w:eastAsia="zh-CN"/>
        </w:rPr>
        <w:t>.1-9</w:t>
      </w:r>
      <w:r>
        <w:rPr>
          <w:rFonts w:hint="default" w:ascii="Times New Roman" w:hAnsi="Times New Roman" w:eastAsia="宋体" w:cs="Times New Roman"/>
          <w:caps w:val="0"/>
          <w:snapToGrid/>
          <w:color w:val="auto"/>
          <w:spacing w:val="0"/>
          <w:w w:val="100"/>
          <w:kern w:val="0"/>
          <w:position w:val="0"/>
          <w:sz w:val="24"/>
          <w:szCs w:val="24"/>
          <w:highlight w:val="none"/>
        </w:rPr>
        <w:t>。</w:t>
      </w:r>
    </w:p>
    <w:p w14:paraId="066A827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rPr>
        <w:t>5.2</w:t>
      </w:r>
      <w:r>
        <w:rPr>
          <w:rFonts w:hint="eastAsia" w:cs="Times New Roman"/>
          <w:b/>
          <w:bCs/>
          <w:caps w:val="0"/>
          <w:snapToGrid/>
          <w:color w:val="auto"/>
          <w:spacing w:val="0"/>
          <w:w w:val="100"/>
          <w:kern w:val="0"/>
          <w:position w:val="0"/>
          <w:sz w:val="21"/>
          <w:szCs w:val="21"/>
          <w:highlight w:val="none"/>
          <w:lang w:val="en-US" w:eastAsia="zh-CN"/>
        </w:rPr>
        <w:t>.1-9</w:t>
      </w:r>
      <w:r>
        <w:rPr>
          <w:rFonts w:hint="default" w:ascii="Times New Roman" w:hAnsi="Times New Roman" w:eastAsia="宋体" w:cs="Times New Roman"/>
          <w:b/>
          <w:bCs/>
          <w:caps w:val="0"/>
          <w:snapToGrid/>
          <w:color w:val="auto"/>
          <w:spacing w:val="0"/>
          <w:w w:val="100"/>
          <w:kern w:val="0"/>
          <w:position w:val="0"/>
          <w:sz w:val="21"/>
          <w:szCs w:val="21"/>
          <w:highlight w:val="none"/>
        </w:rPr>
        <w:t xml:space="preserve">  </w:t>
      </w:r>
      <w:r>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rPr>
        <w:t>本</w:t>
      </w:r>
      <w:r>
        <w:rPr>
          <w:rFonts w:hint="default" w:ascii="Times New Roman" w:hAnsi="Times New Roman" w:eastAsia="宋体" w:cs="Times New Roman"/>
          <w:b/>
          <w:bCs/>
          <w:caps w:val="0"/>
          <w:snapToGrid/>
          <w:color w:val="auto"/>
          <w:spacing w:val="0"/>
          <w:w w:val="100"/>
          <w:kern w:val="0"/>
          <w:position w:val="0"/>
          <w:sz w:val="21"/>
          <w:szCs w:val="21"/>
          <w:highlight w:val="none"/>
        </w:rPr>
        <w:t>项目大气污染物年排放量核算表</w:t>
      </w:r>
    </w:p>
    <w:tbl>
      <w:tblPr>
        <w:tblStyle w:val="25"/>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1603"/>
        <w:gridCol w:w="2736"/>
        <w:gridCol w:w="2457"/>
        <w:gridCol w:w="2156"/>
      </w:tblGrid>
      <w:tr w14:paraId="60D322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tblHeader/>
          <w:jc w:val="center"/>
        </w:trPr>
        <w:tc>
          <w:tcPr>
            <w:tcW w:w="895" w:type="pct"/>
            <w:tcBorders>
              <w:tl2br w:val="nil"/>
              <w:tr2bl w:val="nil"/>
            </w:tcBorders>
            <w:noWrap w:val="0"/>
            <w:vAlign w:val="center"/>
          </w:tcPr>
          <w:p w14:paraId="6599B9F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lang w:val="en-US" w:eastAsia="zh-CN"/>
              </w:rPr>
            </w:pPr>
            <w:r>
              <w:rPr>
                <w:rFonts w:hint="default"/>
                <w:b/>
                <w:bCs/>
                <w:color w:val="auto"/>
                <w:spacing w:val="0"/>
                <w:w w:val="100"/>
                <w:position w:val="0"/>
                <w:highlight w:val="none"/>
                <w:lang w:val="en-US" w:eastAsia="zh-CN"/>
              </w:rPr>
              <w:t>序号</w:t>
            </w:r>
          </w:p>
        </w:tc>
        <w:tc>
          <w:tcPr>
            <w:tcW w:w="2900" w:type="pct"/>
            <w:gridSpan w:val="2"/>
            <w:tcBorders>
              <w:tl2br w:val="nil"/>
              <w:tr2bl w:val="nil"/>
            </w:tcBorders>
            <w:noWrap w:val="0"/>
            <w:vAlign w:val="center"/>
          </w:tcPr>
          <w:p w14:paraId="0AB9DF7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lang w:eastAsia="zh-CN"/>
              </w:rPr>
            </w:pPr>
            <w:r>
              <w:rPr>
                <w:rFonts w:hint="default"/>
                <w:b/>
                <w:bCs/>
                <w:color w:val="auto"/>
                <w:spacing w:val="0"/>
                <w:w w:val="100"/>
                <w:position w:val="0"/>
                <w:highlight w:val="none"/>
                <w:lang w:val="en-US" w:eastAsia="zh-CN"/>
              </w:rPr>
              <w:t>污染物</w:t>
            </w:r>
          </w:p>
        </w:tc>
        <w:tc>
          <w:tcPr>
            <w:tcW w:w="1204" w:type="pct"/>
            <w:tcBorders>
              <w:tl2br w:val="nil"/>
              <w:tr2bl w:val="nil"/>
            </w:tcBorders>
            <w:noWrap w:val="0"/>
            <w:vAlign w:val="center"/>
          </w:tcPr>
          <w:p w14:paraId="05C364D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lang w:val="en-US" w:eastAsia="zh-CN"/>
              </w:rPr>
            </w:pPr>
            <w:r>
              <w:rPr>
                <w:rFonts w:hint="default"/>
                <w:b/>
                <w:bCs/>
                <w:color w:val="auto"/>
                <w:spacing w:val="0"/>
                <w:w w:val="100"/>
                <w:position w:val="0"/>
                <w:highlight w:val="none"/>
                <w:lang w:val="en-US" w:eastAsia="zh-CN"/>
              </w:rPr>
              <w:t>排放量（t/a）</w:t>
            </w:r>
          </w:p>
        </w:tc>
      </w:tr>
      <w:tr w14:paraId="2B4273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895" w:type="pct"/>
            <w:tcBorders>
              <w:tl2br w:val="nil"/>
              <w:tr2bl w:val="nil"/>
            </w:tcBorders>
            <w:noWrap w:val="0"/>
            <w:vAlign w:val="center"/>
          </w:tcPr>
          <w:p w14:paraId="0589720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w:t>
            </w:r>
          </w:p>
        </w:tc>
        <w:tc>
          <w:tcPr>
            <w:tcW w:w="1528" w:type="pct"/>
            <w:vMerge w:val="restart"/>
            <w:tcBorders>
              <w:tl2br w:val="nil"/>
              <w:tr2bl w:val="nil"/>
            </w:tcBorders>
            <w:noWrap w:val="0"/>
            <w:vAlign w:val="center"/>
          </w:tcPr>
          <w:p w14:paraId="5DC0A8D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有组织排放废气</w:t>
            </w:r>
          </w:p>
        </w:tc>
        <w:tc>
          <w:tcPr>
            <w:tcW w:w="1372" w:type="pct"/>
            <w:tcBorders>
              <w:tl2br w:val="nil"/>
              <w:tr2bl w:val="nil"/>
            </w:tcBorders>
            <w:shd w:val="clear" w:color="auto" w:fill="auto"/>
            <w:noWrap w:val="0"/>
            <w:vAlign w:val="center"/>
          </w:tcPr>
          <w:p w14:paraId="0FA8F0B6">
            <w:pPr>
              <w:pStyle w:val="39"/>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outlineLvl w:val="9"/>
              <w:rPr>
                <w:rFonts w:hint="default"/>
                <w:color w:val="auto"/>
                <w:spacing w:val="0"/>
                <w:w w:val="100"/>
                <w:position w:val="0"/>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rPr>
              <w:t>颗粒物</w:t>
            </w:r>
          </w:p>
        </w:tc>
        <w:tc>
          <w:tcPr>
            <w:tcW w:w="2156" w:type="dxa"/>
            <w:tcBorders>
              <w:tl2br w:val="nil"/>
              <w:tr2bl w:val="nil"/>
            </w:tcBorders>
            <w:shd w:val="clear" w:color="auto" w:fill="auto"/>
            <w:noWrap w:val="0"/>
            <w:vAlign w:val="center"/>
          </w:tcPr>
          <w:p w14:paraId="3CB178BA">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i w:val="0"/>
                <w:iCs w:val="0"/>
                <w:caps w:val="0"/>
                <w:snapToGrid/>
                <w:color w:val="auto"/>
                <w:spacing w:val="0"/>
                <w:w w:val="100"/>
                <w:kern w:val="0"/>
                <w:position w:val="0"/>
                <w:sz w:val="21"/>
                <w:szCs w:val="21"/>
                <w:highlight w:val="none"/>
                <w:u w:val="none"/>
                <w:lang w:val="en-US" w:eastAsia="zh-CN" w:bidi="ar"/>
              </w:rPr>
            </w:pPr>
            <w:r>
              <w:rPr>
                <w:rFonts w:hint="default" w:ascii="Times New Roman" w:hAnsi="Times New Roman" w:eastAsia="宋体" w:cs="Times New Roman"/>
                <w:snapToGrid/>
                <w:color w:val="auto"/>
                <w:spacing w:val="0"/>
                <w:w w:val="100"/>
                <w:kern w:val="28"/>
                <w:position w:val="0"/>
                <w:sz w:val="21"/>
                <w:szCs w:val="21"/>
                <w:highlight w:val="none"/>
                <w:lang w:val="en-US" w:eastAsia="zh-CN"/>
              </w:rPr>
              <w:t>0.2</w:t>
            </w:r>
            <w:r>
              <w:rPr>
                <w:rFonts w:hint="eastAsia" w:ascii="Times New Roman" w:hAnsi="Times New Roman" w:eastAsia="宋体" w:cs="Times New Roman"/>
                <w:snapToGrid/>
                <w:color w:val="auto"/>
                <w:spacing w:val="0"/>
                <w:w w:val="100"/>
                <w:kern w:val="28"/>
                <w:position w:val="0"/>
                <w:sz w:val="21"/>
                <w:szCs w:val="21"/>
                <w:highlight w:val="none"/>
                <w:lang w:val="en-US" w:eastAsia="zh-CN"/>
              </w:rPr>
              <w:t>63</w:t>
            </w:r>
          </w:p>
        </w:tc>
      </w:tr>
      <w:tr w14:paraId="65371C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895" w:type="pct"/>
            <w:tcBorders>
              <w:tl2br w:val="nil"/>
              <w:tr2bl w:val="nil"/>
            </w:tcBorders>
            <w:noWrap w:val="0"/>
            <w:vAlign w:val="center"/>
          </w:tcPr>
          <w:p w14:paraId="1E1D8E4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4</w:t>
            </w:r>
          </w:p>
        </w:tc>
        <w:tc>
          <w:tcPr>
            <w:tcW w:w="1528" w:type="pct"/>
            <w:vMerge w:val="continue"/>
            <w:tcBorders>
              <w:tl2br w:val="nil"/>
              <w:tr2bl w:val="nil"/>
            </w:tcBorders>
            <w:noWrap w:val="0"/>
            <w:vAlign w:val="center"/>
          </w:tcPr>
          <w:p w14:paraId="2BCCBFD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1372" w:type="pct"/>
            <w:tcBorders>
              <w:tl2br w:val="nil"/>
              <w:tr2bl w:val="nil"/>
            </w:tcBorders>
            <w:shd w:val="clear" w:color="auto" w:fill="auto"/>
            <w:noWrap w:val="0"/>
            <w:vAlign w:val="center"/>
          </w:tcPr>
          <w:p w14:paraId="2EEA1D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color w:val="auto"/>
                <w:spacing w:val="0"/>
                <w:w w:val="100"/>
                <w:position w:val="0"/>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非甲烷总烃</w:t>
            </w:r>
          </w:p>
        </w:tc>
        <w:tc>
          <w:tcPr>
            <w:tcW w:w="2156" w:type="dxa"/>
            <w:tcBorders>
              <w:tl2br w:val="nil"/>
              <w:tr2bl w:val="nil"/>
            </w:tcBorders>
            <w:shd w:val="clear" w:color="auto" w:fill="auto"/>
            <w:noWrap w:val="0"/>
            <w:vAlign w:val="center"/>
          </w:tcPr>
          <w:p w14:paraId="0AAFA7B1">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i w:val="0"/>
                <w:iCs w:val="0"/>
                <w:caps w:val="0"/>
                <w:snapToGrid/>
                <w:color w:val="auto"/>
                <w:spacing w:val="0"/>
                <w:w w:val="100"/>
                <w:kern w:val="0"/>
                <w:position w:val="0"/>
                <w:sz w:val="21"/>
                <w:szCs w:val="21"/>
                <w:highlight w:val="none"/>
                <w:u w:val="none"/>
                <w:lang w:val="en-US" w:eastAsia="zh-CN" w:bidi="ar"/>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1.386</w:t>
            </w:r>
          </w:p>
        </w:tc>
      </w:tr>
      <w:tr w14:paraId="410EFB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895" w:type="pct"/>
            <w:tcBorders>
              <w:tl2br w:val="nil"/>
              <w:tr2bl w:val="nil"/>
            </w:tcBorders>
            <w:shd w:val="clear" w:color="auto" w:fill="auto"/>
            <w:noWrap w:val="0"/>
            <w:vAlign w:val="center"/>
          </w:tcPr>
          <w:p w14:paraId="2385CA2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6</w:t>
            </w:r>
          </w:p>
        </w:tc>
        <w:tc>
          <w:tcPr>
            <w:tcW w:w="1528" w:type="pct"/>
            <w:vMerge w:val="restart"/>
            <w:tcBorders>
              <w:tl2br w:val="nil"/>
              <w:tr2bl w:val="nil"/>
            </w:tcBorders>
            <w:noWrap w:val="0"/>
            <w:vAlign w:val="center"/>
          </w:tcPr>
          <w:p w14:paraId="5721057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default"/>
                <w:color w:val="auto"/>
                <w:spacing w:val="0"/>
                <w:w w:val="100"/>
                <w:position w:val="0"/>
                <w:highlight w:val="none"/>
              </w:rPr>
              <w:t>无组织排放废气</w:t>
            </w:r>
          </w:p>
        </w:tc>
        <w:tc>
          <w:tcPr>
            <w:tcW w:w="1372" w:type="pct"/>
            <w:tcBorders>
              <w:tl2br w:val="nil"/>
              <w:tr2bl w:val="nil"/>
            </w:tcBorders>
            <w:shd w:val="clear" w:color="auto" w:fill="auto"/>
            <w:noWrap w:val="0"/>
            <w:vAlign w:val="center"/>
          </w:tcPr>
          <w:p w14:paraId="607032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color w:val="auto"/>
                <w:spacing w:val="0"/>
                <w:w w:val="100"/>
                <w:position w:val="0"/>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rPr>
              <w:t>颗粒物</w:t>
            </w:r>
          </w:p>
        </w:tc>
        <w:tc>
          <w:tcPr>
            <w:tcW w:w="2156" w:type="dxa"/>
            <w:tcBorders>
              <w:tl2br w:val="nil"/>
              <w:tr2bl w:val="nil"/>
            </w:tcBorders>
            <w:shd w:val="clear" w:color="auto" w:fill="auto"/>
            <w:noWrap w:val="0"/>
            <w:vAlign w:val="center"/>
          </w:tcPr>
          <w:p w14:paraId="0B411BC1">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bidi="ar-SA"/>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1.471</w:t>
            </w:r>
          </w:p>
        </w:tc>
      </w:tr>
      <w:tr w14:paraId="0C0D07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895" w:type="pct"/>
            <w:tcBorders>
              <w:tl2br w:val="nil"/>
              <w:tr2bl w:val="nil"/>
            </w:tcBorders>
            <w:shd w:val="clear" w:color="auto" w:fill="auto"/>
            <w:noWrap w:val="0"/>
            <w:vAlign w:val="center"/>
          </w:tcPr>
          <w:p w14:paraId="5F6B00C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7</w:t>
            </w:r>
          </w:p>
        </w:tc>
        <w:tc>
          <w:tcPr>
            <w:tcW w:w="1528" w:type="pct"/>
            <w:vMerge w:val="continue"/>
            <w:tcBorders>
              <w:tl2br w:val="nil"/>
              <w:tr2bl w:val="nil"/>
            </w:tcBorders>
            <w:noWrap w:val="0"/>
            <w:vAlign w:val="center"/>
          </w:tcPr>
          <w:p w14:paraId="3636DDC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1372" w:type="pct"/>
            <w:tcBorders>
              <w:tl2br w:val="nil"/>
              <w:tr2bl w:val="nil"/>
            </w:tcBorders>
            <w:shd w:val="clear" w:color="auto" w:fill="auto"/>
            <w:noWrap w:val="0"/>
            <w:vAlign w:val="center"/>
          </w:tcPr>
          <w:p w14:paraId="251038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color w:val="auto"/>
                <w:spacing w:val="0"/>
                <w:w w:val="100"/>
                <w:position w:val="0"/>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非甲烷总烃</w:t>
            </w:r>
          </w:p>
        </w:tc>
        <w:tc>
          <w:tcPr>
            <w:tcW w:w="2156" w:type="dxa"/>
            <w:tcBorders>
              <w:tl2br w:val="nil"/>
              <w:tr2bl w:val="nil"/>
            </w:tcBorders>
            <w:shd w:val="clear" w:color="auto" w:fill="auto"/>
            <w:noWrap w:val="0"/>
            <w:vAlign w:val="center"/>
          </w:tcPr>
          <w:p w14:paraId="3CB118A8">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8"/>
                <w:position w:val="0"/>
                <w:sz w:val="21"/>
                <w:szCs w:val="21"/>
                <w:highlight w:val="none"/>
                <w:lang w:val="en-US" w:eastAsia="zh-CN" w:bidi="ar-SA"/>
              </w:rPr>
            </w:pPr>
            <w:r>
              <w:rPr>
                <w:rFonts w:hint="eastAsia" w:ascii="Times New Roman" w:hAnsi="Times New Roman" w:eastAsia="宋体" w:cs="Times New Roman"/>
                <w:snapToGrid/>
                <w:color w:val="auto"/>
                <w:spacing w:val="0"/>
                <w:w w:val="100"/>
                <w:kern w:val="28"/>
                <w:position w:val="0"/>
                <w:sz w:val="21"/>
                <w:szCs w:val="21"/>
                <w:highlight w:val="none"/>
                <w:lang w:val="en-US" w:eastAsia="zh-CN"/>
              </w:rPr>
              <w:t>1.386</w:t>
            </w:r>
          </w:p>
        </w:tc>
      </w:tr>
      <w:tr w14:paraId="49B440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423" w:type="pct"/>
            <w:gridSpan w:val="2"/>
            <w:vMerge w:val="restart"/>
            <w:tcBorders>
              <w:tl2br w:val="nil"/>
              <w:tr2bl w:val="nil"/>
            </w:tcBorders>
            <w:noWrap w:val="0"/>
            <w:vAlign w:val="center"/>
          </w:tcPr>
          <w:p w14:paraId="19CA81E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eastAsia"/>
                <w:color w:val="auto"/>
                <w:spacing w:val="0"/>
                <w:w w:val="100"/>
                <w:position w:val="0"/>
                <w:highlight w:val="none"/>
                <w:lang w:val="en-US" w:eastAsia="zh-CN"/>
              </w:rPr>
            </w:pPr>
            <w:r>
              <w:rPr>
                <w:rFonts w:hint="eastAsia"/>
                <w:color w:val="auto"/>
                <w:spacing w:val="0"/>
                <w:w w:val="100"/>
                <w:position w:val="0"/>
                <w:highlight w:val="none"/>
                <w:lang w:val="en-US" w:eastAsia="zh-CN"/>
              </w:rPr>
              <w:t>合计</w:t>
            </w:r>
          </w:p>
        </w:tc>
        <w:tc>
          <w:tcPr>
            <w:tcW w:w="1372" w:type="pct"/>
            <w:tcBorders>
              <w:tl2br w:val="nil"/>
              <w:tr2bl w:val="nil"/>
            </w:tcBorders>
            <w:shd w:val="clear" w:color="auto" w:fill="auto"/>
            <w:noWrap w:val="0"/>
            <w:vAlign w:val="center"/>
          </w:tcPr>
          <w:p w14:paraId="6238CC1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rPr>
              <w:t>颗粒物</w:t>
            </w:r>
          </w:p>
        </w:tc>
        <w:tc>
          <w:tcPr>
            <w:tcW w:w="1204" w:type="pct"/>
            <w:tcBorders>
              <w:tl2br w:val="nil"/>
              <w:tr2bl w:val="nil"/>
            </w:tcBorders>
            <w:shd w:val="clear" w:color="auto" w:fill="auto"/>
            <w:noWrap w:val="0"/>
            <w:vAlign w:val="center"/>
          </w:tcPr>
          <w:p w14:paraId="27F820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eastAsia" w:cs="Times New Roman"/>
                <w:i w:val="0"/>
                <w:iCs w:val="0"/>
                <w:color w:val="auto"/>
                <w:spacing w:val="0"/>
                <w:w w:val="100"/>
                <w:kern w:val="0"/>
                <w:position w:val="0"/>
                <w:sz w:val="21"/>
                <w:szCs w:val="21"/>
                <w:u w:val="none"/>
                <w:lang w:val="en-US" w:eastAsia="zh-CN" w:bidi="ar"/>
              </w:rPr>
              <w:t>1.734</w:t>
            </w:r>
          </w:p>
        </w:tc>
      </w:tr>
      <w:tr w14:paraId="10541B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423" w:type="pct"/>
            <w:gridSpan w:val="2"/>
            <w:vMerge w:val="continue"/>
            <w:tcBorders>
              <w:tl2br w:val="nil"/>
              <w:tr2bl w:val="nil"/>
            </w:tcBorders>
            <w:noWrap w:val="0"/>
            <w:vAlign w:val="center"/>
          </w:tcPr>
          <w:p w14:paraId="73FDADB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p>
        </w:tc>
        <w:tc>
          <w:tcPr>
            <w:tcW w:w="1372" w:type="pct"/>
            <w:tcBorders>
              <w:tl2br w:val="nil"/>
              <w:tr2bl w:val="nil"/>
            </w:tcBorders>
            <w:shd w:val="clear" w:color="auto" w:fill="auto"/>
            <w:noWrap w:val="0"/>
            <w:vAlign w:val="center"/>
          </w:tcPr>
          <w:p w14:paraId="6D967B6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lang w:val="en-US" w:eastAsia="zh-CN"/>
              </w:rPr>
              <w:t>非甲烷总烃</w:t>
            </w:r>
          </w:p>
        </w:tc>
        <w:tc>
          <w:tcPr>
            <w:tcW w:w="1204" w:type="pct"/>
            <w:tcBorders>
              <w:tl2br w:val="nil"/>
              <w:tr2bl w:val="nil"/>
            </w:tcBorders>
            <w:shd w:val="clear" w:color="auto" w:fill="auto"/>
            <w:noWrap w:val="0"/>
            <w:vAlign w:val="center"/>
          </w:tcPr>
          <w:p w14:paraId="6F014A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outlineLvl w:val="9"/>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default" w:ascii="Times New Roman" w:hAnsi="Times New Roman" w:eastAsia="宋体" w:cs="Times New Roman"/>
                <w:i w:val="0"/>
                <w:iCs w:val="0"/>
                <w:color w:val="auto"/>
                <w:spacing w:val="0"/>
                <w:w w:val="100"/>
                <w:kern w:val="0"/>
                <w:position w:val="0"/>
                <w:sz w:val="21"/>
                <w:szCs w:val="21"/>
                <w:u w:val="none"/>
                <w:lang w:val="en-US" w:eastAsia="zh-CN" w:bidi="ar"/>
              </w:rPr>
              <w:t>2</w:t>
            </w:r>
            <w:r>
              <w:rPr>
                <w:rFonts w:hint="eastAsia" w:cs="Times New Roman"/>
                <w:i w:val="0"/>
                <w:iCs w:val="0"/>
                <w:color w:val="auto"/>
                <w:spacing w:val="0"/>
                <w:w w:val="100"/>
                <w:kern w:val="0"/>
                <w:position w:val="0"/>
                <w:sz w:val="21"/>
                <w:szCs w:val="21"/>
                <w:u w:val="none"/>
                <w:lang w:val="en-US" w:eastAsia="zh-CN" w:bidi="ar"/>
              </w:rPr>
              <w:t>.772</w:t>
            </w:r>
          </w:p>
        </w:tc>
      </w:tr>
    </w:tbl>
    <w:p w14:paraId="5B836ACD">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eastAsia" w:ascii="宋体" w:hAnsi="宋体" w:eastAsia="宋体" w:cs="宋体"/>
          <w:color w:val="auto"/>
          <w:spacing w:val="0"/>
          <w:w w:val="100"/>
          <w:position w:val="0"/>
          <w:sz w:val="24"/>
          <w:szCs w:val="24"/>
        </w:rPr>
      </w:pPr>
      <w:r>
        <w:rPr>
          <w:rFonts w:hint="eastAsia" w:eastAsia="宋体" w:cs="Times New Roman"/>
          <w:caps w:val="0"/>
          <w:snapToGrid/>
          <w:color w:val="auto"/>
          <w:spacing w:val="0"/>
          <w:w w:val="100"/>
          <w:kern w:val="0"/>
          <w:position w:val="0"/>
          <w:szCs w:val="24"/>
          <w:highlight w:val="none"/>
          <w:lang w:val="en-US" w:eastAsia="zh"/>
        </w:rPr>
        <w:t>（3）</w:t>
      </w:r>
      <w:r>
        <w:rPr>
          <w:rFonts w:hint="eastAsia" w:ascii="Times New Roman" w:hAnsi="Times New Roman" w:eastAsia="宋体" w:cs="Times New Roman"/>
          <w:caps w:val="0"/>
          <w:snapToGrid/>
          <w:color w:val="auto"/>
          <w:spacing w:val="0"/>
          <w:w w:val="100"/>
          <w:kern w:val="0"/>
          <w:position w:val="0"/>
          <w:szCs w:val="24"/>
          <w:highlight w:val="none"/>
          <w:lang w:val="en-US" w:eastAsia="zh-CN"/>
        </w:rPr>
        <w:t>非正常排</w:t>
      </w:r>
      <w:r>
        <w:rPr>
          <w:rFonts w:hint="eastAsia" w:ascii="宋体" w:hAnsi="宋体" w:eastAsia="宋体" w:cs="宋体"/>
          <w:color w:val="auto"/>
          <w:spacing w:val="0"/>
          <w:w w:val="100"/>
          <w:position w:val="0"/>
          <w:sz w:val="24"/>
          <w:szCs w:val="24"/>
        </w:rPr>
        <w:t>放量核算</w:t>
      </w:r>
    </w:p>
    <w:p w14:paraId="31CEB7BD">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本</w:t>
      </w:r>
      <w:r>
        <w:rPr>
          <w:rFonts w:hint="default" w:ascii="Times New Roman" w:hAnsi="Times New Roman" w:eastAsia="宋体" w:cs="Times New Roman"/>
          <w:caps w:val="0"/>
          <w:snapToGrid/>
          <w:color w:val="auto"/>
          <w:spacing w:val="0"/>
          <w:w w:val="100"/>
          <w:kern w:val="0"/>
          <w:position w:val="0"/>
          <w:szCs w:val="24"/>
          <w:highlight w:val="none"/>
        </w:rPr>
        <w:t>项目</w:t>
      </w:r>
      <w:r>
        <w:rPr>
          <w:rFonts w:hint="eastAsia" w:eastAsia="宋体" w:cs="Times New Roman"/>
          <w:caps w:val="0"/>
          <w:snapToGrid/>
          <w:color w:val="auto"/>
          <w:spacing w:val="0"/>
          <w:w w:val="100"/>
          <w:kern w:val="0"/>
          <w:position w:val="0"/>
          <w:szCs w:val="24"/>
          <w:highlight w:val="none"/>
          <w:lang w:eastAsia="zh"/>
        </w:rPr>
        <w:t>非正常状况</w:t>
      </w:r>
      <w:r>
        <w:rPr>
          <w:rFonts w:hint="default" w:ascii="Times New Roman" w:hAnsi="Times New Roman" w:eastAsia="宋体" w:cs="Times New Roman"/>
          <w:caps w:val="0"/>
          <w:snapToGrid/>
          <w:color w:val="auto"/>
          <w:spacing w:val="0"/>
          <w:w w:val="100"/>
          <w:kern w:val="0"/>
          <w:position w:val="0"/>
          <w:szCs w:val="24"/>
          <w:highlight w:val="none"/>
        </w:rPr>
        <w:t>大气污染物排放量核算见表</w:t>
      </w:r>
      <w:r>
        <w:rPr>
          <w:rFonts w:hint="default" w:ascii="Times New Roman" w:hAnsi="Times New Roman" w:eastAsia="宋体" w:cs="Times New Roman"/>
          <w:caps w:val="0"/>
          <w:snapToGrid/>
          <w:color w:val="auto"/>
          <w:spacing w:val="0"/>
          <w:w w:val="100"/>
          <w:kern w:val="0"/>
          <w:position w:val="0"/>
          <w:szCs w:val="24"/>
          <w:highlight w:val="none"/>
          <w:lang w:val="en-US" w:eastAsia="zh-CN"/>
        </w:rPr>
        <w:t>5.2</w:t>
      </w:r>
      <w:r>
        <w:rPr>
          <w:rFonts w:hint="eastAsia" w:cs="Times New Roman"/>
          <w:caps w:val="0"/>
          <w:snapToGrid/>
          <w:color w:val="auto"/>
          <w:spacing w:val="0"/>
          <w:w w:val="100"/>
          <w:kern w:val="0"/>
          <w:position w:val="0"/>
          <w:szCs w:val="24"/>
          <w:highlight w:val="none"/>
          <w:lang w:val="en-US" w:eastAsia="zh-CN"/>
        </w:rPr>
        <w:t>.1-10</w:t>
      </w:r>
      <w:r>
        <w:rPr>
          <w:rFonts w:hint="default" w:ascii="Times New Roman" w:hAnsi="Times New Roman" w:eastAsia="宋体" w:cs="Times New Roman"/>
          <w:caps w:val="0"/>
          <w:snapToGrid/>
          <w:color w:val="auto"/>
          <w:spacing w:val="0"/>
          <w:w w:val="100"/>
          <w:kern w:val="0"/>
          <w:position w:val="0"/>
          <w:szCs w:val="24"/>
          <w:highlight w:val="none"/>
        </w:rPr>
        <w:t>。</w:t>
      </w:r>
    </w:p>
    <w:p w14:paraId="7B650A31">
      <w:pPr>
        <w:pStyle w:val="39"/>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center"/>
        <w:outlineLvl w:val="9"/>
        <w:rPr>
          <w:rFonts w:hint="default" w:ascii="Times New Roman" w:hAnsi="Times New Roman" w:eastAsia="宋体" w:cs="Times New Roman"/>
          <w:b/>
          <w:caps w:val="0"/>
          <w:snapToGrid/>
          <w:color w:val="auto"/>
          <w:spacing w:val="0"/>
          <w:w w:val="100"/>
          <w:kern w:val="21"/>
          <w:position w:val="0"/>
          <w:sz w:val="21"/>
          <w:szCs w:val="21"/>
          <w:highlight w:val="none"/>
          <w:lang w:val="en-US" w:eastAsia="zh-CN" w:bidi="ar-SA"/>
        </w:rPr>
      </w:pPr>
      <w:r>
        <w:rPr>
          <w:rStyle w:val="40"/>
          <w:rFonts w:hint="default"/>
          <w:color w:val="auto"/>
          <w:spacing w:val="0"/>
          <w:w w:val="100"/>
          <w:position w:val="0"/>
          <w:highlight w:val="none"/>
        </w:rPr>
        <w:t>表</w:t>
      </w:r>
      <w:r>
        <w:rPr>
          <w:rStyle w:val="40"/>
          <w:rFonts w:hint="eastAsia"/>
          <w:color w:val="auto"/>
          <w:spacing w:val="0"/>
          <w:w w:val="100"/>
          <w:position w:val="0"/>
          <w:highlight w:val="none"/>
          <w:lang w:eastAsia="zh"/>
        </w:rPr>
        <w:t>5.2</w:t>
      </w:r>
      <w:r>
        <w:rPr>
          <w:rStyle w:val="40"/>
          <w:rFonts w:hint="eastAsia"/>
          <w:color w:val="auto"/>
          <w:spacing w:val="0"/>
          <w:w w:val="100"/>
          <w:position w:val="0"/>
          <w:highlight w:val="none"/>
          <w:lang w:val="en-US" w:eastAsia="zh-CN"/>
        </w:rPr>
        <w:t>.1-10</w:t>
      </w:r>
      <w:r>
        <w:rPr>
          <w:rStyle w:val="40"/>
          <w:rFonts w:hint="default"/>
          <w:color w:val="auto"/>
          <w:spacing w:val="0"/>
          <w:w w:val="100"/>
          <w:position w:val="0"/>
          <w:highlight w:val="none"/>
          <w:lang w:val="en-US" w:eastAsia="zh-CN"/>
        </w:rPr>
        <w:t xml:space="preserve">  本项</w:t>
      </w:r>
      <w:r>
        <w:rPr>
          <w:rFonts w:hint="default" w:ascii="Times New Roman" w:hAnsi="Times New Roman" w:eastAsia="宋体" w:cs="Times New Roman"/>
          <w:b/>
          <w:caps w:val="0"/>
          <w:snapToGrid/>
          <w:color w:val="auto"/>
          <w:spacing w:val="0"/>
          <w:w w:val="100"/>
          <w:kern w:val="21"/>
          <w:position w:val="0"/>
          <w:sz w:val="21"/>
          <w:szCs w:val="21"/>
          <w:highlight w:val="none"/>
          <w:lang w:val="en-US" w:eastAsia="zh-CN" w:bidi="ar-SA"/>
        </w:rPr>
        <w:t>目非正常工况废气排放情况一览表</w:t>
      </w:r>
    </w:p>
    <w:tbl>
      <w:tblPr>
        <w:tblStyle w:val="25"/>
        <w:tblW w:w="9355"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866"/>
        <w:gridCol w:w="1074"/>
        <w:gridCol w:w="1284"/>
        <w:gridCol w:w="1236"/>
        <w:gridCol w:w="1077"/>
        <w:gridCol w:w="877"/>
        <w:gridCol w:w="975"/>
        <w:gridCol w:w="889"/>
        <w:gridCol w:w="1077"/>
      </w:tblGrid>
      <w:tr w14:paraId="5FFD97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866" w:type="dxa"/>
            <w:tcBorders>
              <w:tl2br w:val="nil"/>
              <w:tr2bl w:val="nil"/>
            </w:tcBorders>
            <w:noWrap w:val="0"/>
            <w:vAlign w:val="center"/>
          </w:tcPr>
          <w:p w14:paraId="54C00DD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eastAsia" w:eastAsia="宋体"/>
                <w:b/>
                <w:bCs/>
                <w:color w:val="auto"/>
                <w:spacing w:val="0"/>
                <w:w w:val="100"/>
                <w:position w:val="0"/>
                <w:highlight w:val="none"/>
                <w:lang w:eastAsia="zh"/>
              </w:rPr>
            </w:pPr>
            <w:r>
              <w:rPr>
                <w:rFonts w:hint="eastAsia"/>
                <w:b/>
                <w:bCs/>
                <w:color w:val="auto"/>
                <w:spacing w:val="0"/>
                <w:w w:val="100"/>
                <w:position w:val="0"/>
                <w:highlight w:val="none"/>
                <w:lang w:eastAsia="zh"/>
              </w:rPr>
              <w:t>污染源</w:t>
            </w:r>
          </w:p>
        </w:tc>
        <w:tc>
          <w:tcPr>
            <w:tcW w:w="1074" w:type="dxa"/>
            <w:tcBorders>
              <w:tl2br w:val="nil"/>
              <w:tr2bl w:val="nil"/>
            </w:tcBorders>
            <w:noWrap w:val="0"/>
            <w:vAlign w:val="center"/>
          </w:tcPr>
          <w:p w14:paraId="5569766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eastAsia" w:eastAsia="宋体"/>
                <w:b/>
                <w:bCs/>
                <w:color w:val="auto"/>
                <w:spacing w:val="0"/>
                <w:w w:val="100"/>
                <w:position w:val="0"/>
                <w:highlight w:val="none"/>
                <w:lang w:eastAsia="zh"/>
              </w:rPr>
            </w:pPr>
            <w:r>
              <w:rPr>
                <w:rFonts w:hint="eastAsia"/>
                <w:b/>
                <w:bCs/>
                <w:color w:val="auto"/>
                <w:spacing w:val="0"/>
                <w:w w:val="100"/>
                <w:position w:val="0"/>
                <w:highlight w:val="none"/>
                <w:lang w:eastAsia="zh"/>
              </w:rPr>
              <w:t>非正常排放原因</w:t>
            </w:r>
          </w:p>
        </w:tc>
        <w:tc>
          <w:tcPr>
            <w:tcW w:w="1284" w:type="dxa"/>
            <w:tcBorders>
              <w:tl2br w:val="nil"/>
              <w:tr2bl w:val="nil"/>
            </w:tcBorders>
            <w:noWrap w:val="0"/>
            <w:vAlign w:val="center"/>
          </w:tcPr>
          <w:p w14:paraId="5E50308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default"/>
                <w:b/>
                <w:bCs/>
                <w:color w:val="auto"/>
                <w:spacing w:val="0"/>
                <w:w w:val="100"/>
                <w:position w:val="0"/>
                <w:highlight w:val="none"/>
              </w:rPr>
            </w:pPr>
            <w:r>
              <w:rPr>
                <w:rFonts w:hint="default"/>
                <w:b/>
                <w:bCs/>
                <w:color w:val="auto"/>
                <w:spacing w:val="0"/>
                <w:w w:val="100"/>
                <w:position w:val="0"/>
                <w:highlight w:val="none"/>
              </w:rPr>
              <w:t>污染物</w:t>
            </w:r>
          </w:p>
        </w:tc>
        <w:tc>
          <w:tcPr>
            <w:tcW w:w="1236" w:type="dxa"/>
            <w:tcBorders>
              <w:tl2br w:val="nil"/>
              <w:tr2bl w:val="nil"/>
            </w:tcBorders>
            <w:noWrap w:val="0"/>
            <w:vAlign w:val="center"/>
          </w:tcPr>
          <w:p w14:paraId="0123622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default"/>
                <w:b/>
                <w:bCs/>
                <w:color w:val="auto"/>
                <w:spacing w:val="0"/>
                <w:w w:val="100"/>
                <w:position w:val="0"/>
                <w:highlight w:val="none"/>
              </w:rPr>
            </w:pPr>
            <w:r>
              <w:rPr>
                <w:rFonts w:hint="default"/>
                <w:b/>
                <w:bCs/>
                <w:color w:val="auto"/>
                <w:spacing w:val="0"/>
                <w:w w:val="100"/>
                <w:position w:val="0"/>
                <w:highlight w:val="none"/>
                <w:lang w:eastAsia="zh-CN"/>
              </w:rPr>
              <w:t>排放</w:t>
            </w:r>
            <w:r>
              <w:rPr>
                <w:rFonts w:hint="default"/>
                <w:b/>
                <w:bCs/>
                <w:color w:val="auto"/>
                <w:spacing w:val="0"/>
                <w:w w:val="100"/>
                <w:position w:val="0"/>
                <w:highlight w:val="none"/>
              </w:rPr>
              <w:t>浓度</w:t>
            </w:r>
          </w:p>
          <w:p w14:paraId="38695BC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default"/>
                <w:b/>
                <w:bCs/>
                <w:color w:val="auto"/>
                <w:spacing w:val="0"/>
                <w:w w:val="100"/>
                <w:position w:val="0"/>
                <w:highlight w:val="none"/>
              </w:rPr>
            </w:pPr>
            <w:r>
              <w:rPr>
                <w:rFonts w:hint="default"/>
                <w:b/>
                <w:bCs/>
                <w:color w:val="auto"/>
                <w:spacing w:val="0"/>
                <w:w w:val="100"/>
                <w:position w:val="0"/>
                <w:highlight w:val="none"/>
              </w:rPr>
              <w:t>（mg/m</w:t>
            </w:r>
            <w:r>
              <w:rPr>
                <w:rFonts w:hint="default"/>
                <w:b/>
                <w:bCs/>
                <w:color w:val="auto"/>
                <w:spacing w:val="0"/>
                <w:w w:val="100"/>
                <w:position w:val="0"/>
                <w:highlight w:val="none"/>
                <w:vertAlign w:val="superscript"/>
                <w:lang w:val="en-US" w:eastAsia="zh-CN"/>
              </w:rPr>
              <w:t>3</w:t>
            </w:r>
            <w:r>
              <w:rPr>
                <w:rFonts w:hint="default"/>
                <w:b/>
                <w:bCs/>
                <w:color w:val="auto"/>
                <w:spacing w:val="0"/>
                <w:w w:val="100"/>
                <w:position w:val="0"/>
                <w:highlight w:val="none"/>
              </w:rPr>
              <w:t>）</w:t>
            </w:r>
          </w:p>
        </w:tc>
        <w:tc>
          <w:tcPr>
            <w:tcW w:w="1077" w:type="dxa"/>
            <w:tcBorders>
              <w:tl2br w:val="nil"/>
              <w:tr2bl w:val="nil"/>
            </w:tcBorders>
            <w:noWrap w:val="0"/>
            <w:vAlign w:val="center"/>
          </w:tcPr>
          <w:p w14:paraId="378D36E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eastAsia"/>
                <w:b/>
                <w:bCs/>
                <w:color w:val="auto"/>
                <w:spacing w:val="0"/>
                <w:w w:val="100"/>
                <w:position w:val="0"/>
                <w:highlight w:val="none"/>
                <w:lang w:val="en-US" w:eastAsia="zh-CN"/>
              </w:rPr>
            </w:pPr>
            <w:r>
              <w:rPr>
                <w:rFonts w:hint="default"/>
                <w:b/>
                <w:bCs/>
                <w:color w:val="auto"/>
                <w:spacing w:val="0"/>
                <w:w w:val="100"/>
                <w:position w:val="0"/>
                <w:highlight w:val="none"/>
                <w:lang w:eastAsia="zh-CN"/>
              </w:rPr>
              <w:t>排放</w:t>
            </w:r>
            <w:r>
              <w:rPr>
                <w:rFonts w:hint="eastAsia"/>
                <w:b/>
                <w:bCs/>
                <w:color w:val="auto"/>
                <w:spacing w:val="0"/>
                <w:w w:val="100"/>
                <w:position w:val="0"/>
                <w:highlight w:val="none"/>
                <w:lang w:val="en-US" w:eastAsia="zh-CN"/>
              </w:rPr>
              <w:t>速率</w:t>
            </w:r>
          </w:p>
          <w:p w14:paraId="186A1E3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default"/>
                <w:b/>
                <w:bCs/>
                <w:color w:val="auto"/>
                <w:spacing w:val="0"/>
                <w:w w:val="100"/>
                <w:position w:val="0"/>
                <w:highlight w:val="none"/>
              </w:rPr>
            </w:pPr>
            <w:r>
              <w:rPr>
                <w:rFonts w:hint="default"/>
                <w:b/>
                <w:bCs/>
                <w:color w:val="auto"/>
                <w:spacing w:val="0"/>
                <w:w w:val="100"/>
                <w:position w:val="0"/>
                <w:highlight w:val="none"/>
              </w:rPr>
              <w:t>（kg/h）</w:t>
            </w:r>
          </w:p>
        </w:tc>
        <w:tc>
          <w:tcPr>
            <w:tcW w:w="877" w:type="dxa"/>
            <w:tcBorders>
              <w:tl2br w:val="nil"/>
              <w:tr2bl w:val="nil"/>
            </w:tcBorders>
            <w:noWrap w:val="0"/>
            <w:vAlign w:val="center"/>
          </w:tcPr>
          <w:p w14:paraId="040D295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eastAsia"/>
                <w:b/>
                <w:bCs/>
                <w:color w:val="auto"/>
                <w:spacing w:val="0"/>
                <w:w w:val="100"/>
                <w:position w:val="0"/>
                <w:highlight w:val="none"/>
                <w:lang w:val="en-US" w:eastAsia="zh-CN"/>
              </w:rPr>
            </w:pPr>
            <w:r>
              <w:rPr>
                <w:rFonts w:hint="default"/>
                <w:b/>
                <w:bCs/>
                <w:color w:val="auto"/>
                <w:spacing w:val="0"/>
                <w:w w:val="100"/>
                <w:position w:val="0"/>
                <w:highlight w:val="none"/>
                <w:lang w:eastAsia="zh-CN"/>
              </w:rPr>
              <w:t>排放</w:t>
            </w:r>
            <w:r>
              <w:rPr>
                <w:rFonts w:hint="eastAsia"/>
                <w:b/>
                <w:bCs/>
                <w:color w:val="auto"/>
                <w:spacing w:val="0"/>
                <w:w w:val="100"/>
                <w:position w:val="0"/>
                <w:highlight w:val="none"/>
                <w:lang w:val="en-US" w:eastAsia="zh-CN"/>
              </w:rPr>
              <w:t>量</w:t>
            </w:r>
          </w:p>
          <w:p w14:paraId="76179FF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default"/>
                <w:b/>
                <w:bCs/>
                <w:color w:val="auto"/>
                <w:spacing w:val="0"/>
                <w:w w:val="100"/>
                <w:position w:val="0"/>
                <w:highlight w:val="none"/>
              </w:rPr>
            </w:pPr>
            <w:r>
              <w:rPr>
                <w:rFonts w:hint="default"/>
                <w:b/>
                <w:bCs/>
                <w:color w:val="auto"/>
                <w:spacing w:val="0"/>
                <w:w w:val="100"/>
                <w:position w:val="0"/>
                <w:highlight w:val="none"/>
              </w:rPr>
              <w:t>（</w:t>
            </w:r>
            <w:r>
              <w:rPr>
                <w:rFonts w:hint="eastAsia"/>
                <w:b/>
                <w:bCs/>
                <w:color w:val="auto"/>
                <w:spacing w:val="0"/>
                <w:w w:val="100"/>
                <w:position w:val="0"/>
                <w:highlight w:val="none"/>
                <w:lang w:val="en-US" w:eastAsia="zh-CN"/>
              </w:rPr>
              <w:t>kg</w:t>
            </w:r>
            <w:r>
              <w:rPr>
                <w:rFonts w:hint="default"/>
                <w:b/>
                <w:bCs/>
                <w:color w:val="auto"/>
                <w:spacing w:val="0"/>
                <w:w w:val="100"/>
                <w:position w:val="0"/>
                <w:highlight w:val="none"/>
              </w:rPr>
              <w:t>）</w:t>
            </w:r>
          </w:p>
        </w:tc>
        <w:tc>
          <w:tcPr>
            <w:tcW w:w="0" w:type="auto"/>
            <w:tcBorders>
              <w:tl2br w:val="nil"/>
              <w:tr2bl w:val="nil"/>
            </w:tcBorders>
            <w:noWrap w:val="0"/>
            <w:vAlign w:val="center"/>
          </w:tcPr>
          <w:p w14:paraId="44E92C1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default"/>
                <w:b/>
                <w:bCs/>
                <w:color w:val="auto"/>
                <w:spacing w:val="0"/>
                <w:w w:val="100"/>
                <w:position w:val="0"/>
                <w:highlight w:val="none"/>
                <w:lang w:eastAsia="zh-CN"/>
              </w:rPr>
            </w:pPr>
            <w:r>
              <w:rPr>
                <w:rFonts w:hint="default"/>
                <w:b/>
                <w:bCs/>
                <w:color w:val="auto"/>
                <w:spacing w:val="0"/>
                <w:w w:val="100"/>
                <w:position w:val="0"/>
                <w:highlight w:val="none"/>
              </w:rPr>
              <w:t>单次持续时间</w:t>
            </w:r>
            <w:r>
              <w:rPr>
                <w:rFonts w:hint="default"/>
                <w:b/>
                <w:bCs/>
                <w:color w:val="auto"/>
                <w:spacing w:val="0"/>
                <w:w w:val="100"/>
                <w:position w:val="0"/>
                <w:highlight w:val="none"/>
                <w:lang w:val="en-US" w:eastAsia="zh-CN"/>
              </w:rPr>
              <w:t>/</w:t>
            </w:r>
            <w:r>
              <w:rPr>
                <w:rFonts w:hint="default"/>
                <w:b/>
                <w:bCs/>
                <w:color w:val="auto"/>
                <w:spacing w:val="0"/>
                <w:w w:val="100"/>
                <w:position w:val="0"/>
                <w:highlight w:val="none"/>
              </w:rPr>
              <w:t>h</w:t>
            </w:r>
          </w:p>
        </w:tc>
        <w:tc>
          <w:tcPr>
            <w:tcW w:w="0" w:type="auto"/>
            <w:tcBorders>
              <w:tl2br w:val="nil"/>
              <w:tr2bl w:val="nil"/>
            </w:tcBorders>
            <w:noWrap w:val="0"/>
            <w:vAlign w:val="center"/>
          </w:tcPr>
          <w:p w14:paraId="28DE54E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default"/>
                <w:b/>
                <w:bCs/>
                <w:color w:val="auto"/>
                <w:spacing w:val="0"/>
                <w:w w:val="100"/>
                <w:position w:val="0"/>
                <w:highlight w:val="none"/>
                <w:lang w:eastAsia="zh-CN"/>
              </w:rPr>
            </w:pPr>
            <w:r>
              <w:rPr>
                <w:rFonts w:hint="default"/>
                <w:b/>
                <w:bCs/>
                <w:color w:val="auto"/>
                <w:spacing w:val="0"/>
                <w:w w:val="100"/>
                <w:position w:val="0"/>
                <w:highlight w:val="none"/>
              </w:rPr>
              <w:t>年发生频次</w:t>
            </w:r>
            <w:r>
              <w:rPr>
                <w:rFonts w:hint="default"/>
                <w:b/>
                <w:bCs/>
                <w:color w:val="auto"/>
                <w:spacing w:val="0"/>
                <w:w w:val="100"/>
                <w:position w:val="0"/>
                <w:highlight w:val="none"/>
                <w:lang w:val="en-US" w:eastAsia="zh-CN"/>
              </w:rPr>
              <w:t>/次</w:t>
            </w:r>
          </w:p>
        </w:tc>
        <w:tc>
          <w:tcPr>
            <w:tcW w:w="1077" w:type="dxa"/>
            <w:tcBorders>
              <w:tl2br w:val="nil"/>
              <w:tr2bl w:val="nil"/>
            </w:tcBorders>
            <w:noWrap w:val="0"/>
            <w:vAlign w:val="center"/>
          </w:tcPr>
          <w:p w14:paraId="05A4E88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eastAsia" w:eastAsia="宋体"/>
                <w:b/>
                <w:bCs/>
                <w:color w:val="auto"/>
                <w:spacing w:val="0"/>
                <w:w w:val="100"/>
                <w:position w:val="0"/>
                <w:highlight w:val="none"/>
                <w:lang w:val="en-US" w:eastAsia="zh"/>
              </w:rPr>
            </w:pPr>
            <w:r>
              <w:rPr>
                <w:rFonts w:hint="eastAsia"/>
                <w:b/>
                <w:bCs/>
                <w:color w:val="auto"/>
                <w:spacing w:val="0"/>
                <w:w w:val="100"/>
                <w:position w:val="0"/>
                <w:highlight w:val="none"/>
                <w:lang w:val="en-US" w:eastAsia="zh"/>
              </w:rPr>
              <w:t>应对措施</w:t>
            </w:r>
          </w:p>
        </w:tc>
      </w:tr>
      <w:tr w14:paraId="7E7699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866" w:type="dxa"/>
            <w:tcBorders>
              <w:tl2br w:val="nil"/>
              <w:tr2bl w:val="nil"/>
            </w:tcBorders>
            <w:noWrap w:val="0"/>
            <w:vAlign w:val="center"/>
          </w:tcPr>
          <w:p w14:paraId="66E8E87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default"/>
                <w:color w:val="auto"/>
                <w:spacing w:val="0"/>
                <w:w w:val="100"/>
                <w:position w:val="0"/>
                <w:highlight w:val="none"/>
              </w:rPr>
            </w:pPr>
            <w:r>
              <w:rPr>
                <w:rFonts w:hint="eastAsia"/>
                <w:color w:val="auto"/>
                <w:spacing w:val="0"/>
                <w:w w:val="100"/>
                <w:position w:val="0"/>
                <w:highlight w:val="none"/>
                <w:lang w:val="en-US" w:eastAsia="zh-CN"/>
              </w:rPr>
              <w:t>DA001</w:t>
            </w:r>
          </w:p>
        </w:tc>
        <w:tc>
          <w:tcPr>
            <w:tcW w:w="1074" w:type="dxa"/>
            <w:vMerge w:val="restart"/>
            <w:tcBorders>
              <w:tl2br w:val="nil"/>
              <w:tr2bl w:val="nil"/>
            </w:tcBorders>
            <w:noWrap w:val="0"/>
            <w:vAlign w:val="center"/>
          </w:tcPr>
          <w:p w14:paraId="21CE555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eastAsia" w:eastAsia="宋体"/>
                <w:color w:val="auto"/>
                <w:spacing w:val="0"/>
                <w:w w:val="100"/>
                <w:position w:val="0"/>
                <w:highlight w:val="none"/>
                <w:lang w:val="en-US" w:eastAsia="zh"/>
              </w:rPr>
            </w:pPr>
            <w:r>
              <w:rPr>
                <w:rFonts w:hint="eastAsia"/>
                <w:color w:val="auto"/>
                <w:spacing w:val="0"/>
                <w:w w:val="100"/>
                <w:position w:val="0"/>
                <w:highlight w:val="none"/>
                <w:lang w:val="en-US" w:eastAsia="zh"/>
              </w:rPr>
              <w:t>设备故障</w:t>
            </w:r>
          </w:p>
        </w:tc>
        <w:tc>
          <w:tcPr>
            <w:tcW w:w="1284" w:type="dxa"/>
            <w:tcBorders>
              <w:tl2br w:val="nil"/>
              <w:tr2bl w:val="nil"/>
            </w:tcBorders>
            <w:noWrap w:val="0"/>
            <w:vAlign w:val="center"/>
          </w:tcPr>
          <w:p w14:paraId="09E5ABC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eastAsia" w:eastAsia="宋体"/>
                <w:color w:val="auto"/>
                <w:spacing w:val="0"/>
                <w:w w:val="100"/>
                <w:position w:val="0"/>
                <w:highlight w:val="none"/>
                <w:lang w:val="en-US" w:eastAsia="zh-CN"/>
              </w:rPr>
            </w:pPr>
            <w:r>
              <w:rPr>
                <w:rFonts w:hint="eastAsia"/>
                <w:color w:val="auto"/>
                <w:spacing w:val="0"/>
                <w:w w:val="100"/>
                <w:position w:val="0"/>
                <w:highlight w:val="none"/>
                <w:lang w:val="en-US" w:eastAsia="zh-CN"/>
              </w:rPr>
              <w:t>颗粒物</w:t>
            </w:r>
          </w:p>
        </w:tc>
        <w:tc>
          <w:tcPr>
            <w:tcW w:w="1236" w:type="dxa"/>
            <w:tcBorders>
              <w:tl2br w:val="nil"/>
              <w:tr2bl w:val="nil"/>
            </w:tcBorders>
            <w:shd w:val="clear" w:color="auto" w:fill="auto"/>
            <w:noWrap w:val="0"/>
            <w:vAlign w:val="center"/>
          </w:tcPr>
          <w:p w14:paraId="73B91CD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548.625</w:t>
            </w:r>
          </w:p>
        </w:tc>
        <w:tc>
          <w:tcPr>
            <w:tcW w:w="1077" w:type="dxa"/>
            <w:tcBorders>
              <w:tl2br w:val="nil"/>
              <w:tr2bl w:val="nil"/>
            </w:tcBorders>
            <w:noWrap w:val="0"/>
            <w:vAlign w:val="center"/>
          </w:tcPr>
          <w:p w14:paraId="5EDE1E2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default" w:ascii="Times New Roman" w:hAnsi="Times New Roman"/>
                <w:color w:val="auto"/>
                <w:spacing w:val="0"/>
                <w:w w:val="100"/>
                <w:position w:val="0"/>
                <w:highlight w:val="none"/>
                <w:lang w:val="en-US" w:eastAsia="zh-CN"/>
              </w:rPr>
            </w:pPr>
            <w:r>
              <w:rPr>
                <w:rFonts w:hint="eastAsia"/>
                <w:color w:val="auto"/>
                <w:spacing w:val="0"/>
                <w:w w:val="100"/>
                <w:position w:val="0"/>
                <w:highlight w:val="none"/>
                <w:lang w:val="en-US" w:eastAsia="zh-CN"/>
              </w:rPr>
              <w:t>5.486</w:t>
            </w:r>
          </w:p>
        </w:tc>
        <w:tc>
          <w:tcPr>
            <w:tcW w:w="877" w:type="dxa"/>
            <w:tcBorders>
              <w:tl2br w:val="nil"/>
              <w:tr2bl w:val="nil"/>
            </w:tcBorders>
            <w:shd w:val="clear" w:color="auto" w:fill="auto"/>
            <w:noWrap w:val="0"/>
            <w:vAlign w:val="center"/>
          </w:tcPr>
          <w:p w14:paraId="0735F77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eastAsia" w:ascii="Times New Roman" w:hAnsi="Times New Roman" w:eastAsia="宋体" w:cstheme="minorBidi"/>
                <w:color w:val="auto"/>
                <w:spacing w:val="0"/>
                <w:w w:val="100"/>
                <w:kern w:val="0"/>
                <w:position w:val="0"/>
                <w:sz w:val="21"/>
                <w:szCs w:val="21"/>
                <w:highlight w:val="none"/>
                <w:lang w:val="en-US" w:eastAsia="zh-CN" w:bidi="ar-SA"/>
              </w:rPr>
            </w:pPr>
            <w:r>
              <w:rPr>
                <w:rFonts w:hint="eastAsia"/>
                <w:color w:val="auto"/>
                <w:spacing w:val="0"/>
                <w:w w:val="100"/>
                <w:position w:val="0"/>
                <w:highlight w:val="none"/>
                <w:lang w:val="en-US" w:eastAsia="zh-CN"/>
              </w:rPr>
              <w:t>5.486</w:t>
            </w:r>
          </w:p>
        </w:tc>
        <w:tc>
          <w:tcPr>
            <w:tcW w:w="0" w:type="auto"/>
            <w:tcBorders>
              <w:tl2br w:val="nil"/>
              <w:tr2bl w:val="nil"/>
            </w:tcBorders>
            <w:noWrap w:val="0"/>
            <w:vAlign w:val="center"/>
          </w:tcPr>
          <w:p w14:paraId="2AD6990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default" w:eastAsia="宋体"/>
                <w:color w:val="auto"/>
                <w:spacing w:val="0"/>
                <w:w w:val="100"/>
                <w:position w:val="0"/>
                <w:highlight w:val="none"/>
                <w:lang w:val="en-US" w:eastAsia="zh-CN"/>
              </w:rPr>
            </w:pPr>
            <w:r>
              <w:rPr>
                <w:rFonts w:hint="eastAsia"/>
                <w:color w:val="auto"/>
                <w:spacing w:val="0"/>
                <w:w w:val="100"/>
                <w:position w:val="0"/>
                <w:highlight w:val="none"/>
                <w:lang w:val="en-US" w:eastAsia="zh-CN"/>
              </w:rPr>
              <w:t>0.5</w:t>
            </w:r>
          </w:p>
        </w:tc>
        <w:tc>
          <w:tcPr>
            <w:tcW w:w="0" w:type="auto"/>
            <w:tcBorders>
              <w:tl2br w:val="nil"/>
              <w:tr2bl w:val="nil"/>
            </w:tcBorders>
            <w:noWrap w:val="0"/>
            <w:vAlign w:val="center"/>
          </w:tcPr>
          <w:p w14:paraId="3645E0A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2</w:t>
            </w:r>
          </w:p>
        </w:tc>
        <w:tc>
          <w:tcPr>
            <w:tcW w:w="1077" w:type="dxa"/>
            <w:vMerge w:val="restart"/>
            <w:tcBorders>
              <w:tl2br w:val="nil"/>
              <w:tr2bl w:val="nil"/>
            </w:tcBorders>
            <w:noWrap w:val="0"/>
            <w:vAlign w:val="center"/>
          </w:tcPr>
          <w:p w14:paraId="48D99DC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eastAsia" w:eastAsia="宋体"/>
                <w:color w:val="auto"/>
                <w:spacing w:val="0"/>
                <w:w w:val="100"/>
                <w:position w:val="0"/>
                <w:highlight w:val="none"/>
                <w:lang w:val="en-US" w:eastAsia="zh"/>
              </w:rPr>
            </w:pPr>
            <w:r>
              <w:rPr>
                <w:rFonts w:hint="eastAsia"/>
                <w:color w:val="auto"/>
                <w:spacing w:val="0"/>
                <w:w w:val="100"/>
                <w:position w:val="0"/>
                <w:highlight w:val="none"/>
                <w:lang w:val="en-US" w:eastAsia="zh"/>
              </w:rPr>
              <w:t>停产检修</w:t>
            </w:r>
          </w:p>
        </w:tc>
      </w:tr>
      <w:tr w14:paraId="3A7425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866" w:type="dxa"/>
            <w:tcBorders>
              <w:tl2br w:val="nil"/>
              <w:tr2bl w:val="nil"/>
            </w:tcBorders>
            <w:noWrap w:val="0"/>
            <w:vAlign w:val="center"/>
          </w:tcPr>
          <w:p w14:paraId="1707917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DA002</w:t>
            </w:r>
          </w:p>
        </w:tc>
        <w:tc>
          <w:tcPr>
            <w:tcW w:w="1074" w:type="dxa"/>
            <w:vMerge w:val="continue"/>
            <w:tcBorders>
              <w:tl2br w:val="nil"/>
              <w:tr2bl w:val="nil"/>
            </w:tcBorders>
            <w:noWrap w:val="0"/>
            <w:vAlign w:val="center"/>
          </w:tcPr>
          <w:p w14:paraId="43DE40C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eastAsia"/>
                <w:color w:val="auto"/>
                <w:spacing w:val="0"/>
                <w:w w:val="100"/>
                <w:position w:val="0"/>
                <w:highlight w:val="none"/>
                <w:lang w:val="en-US" w:eastAsia="zh-CN"/>
              </w:rPr>
            </w:pPr>
          </w:p>
        </w:tc>
        <w:tc>
          <w:tcPr>
            <w:tcW w:w="1284" w:type="dxa"/>
            <w:tcBorders>
              <w:tl2br w:val="nil"/>
              <w:tr2bl w:val="nil"/>
            </w:tcBorders>
            <w:noWrap w:val="0"/>
            <w:vAlign w:val="center"/>
          </w:tcPr>
          <w:p w14:paraId="4E8D372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default"/>
                <w:color w:val="auto"/>
                <w:spacing w:val="0"/>
                <w:w w:val="100"/>
                <w:position w:val="0"/>
                <w:highlight w:val="none"/>
                <w:lang w:eastAsia="zh-CN"/>
              </w:rPr>
            </w:pPr>
            <w:r>
              <w:rPr>
                <w:rFonts w:hint="eastAsia"/>
                <w:color w:val="auto"/>
                <w:spacing w:val="0"/>
                <w:w w:val="100"/>
                <w:position w:val="0"/>
                <w:highlight w:val="none"/>
                <w:lang w:val="en-US" w:eastAsia="zh-CN"/>
              </w:rPr>
              <w:t>非甲烷总烃</w:t>
            </w:r>
          </w:p>
        </w:tc>
        <w:tc>
          <w:tcPr>
            <w:tcW w:w="1236" w:type="dxa"/>
            <w:tcBorders>
              <w:tl2br w:val="nil"/>
              <w:tr2bl w:val="nil"/>
            </w:tcBorders>
            <w:noWrap w:val="0"/>
            <w:vAlign w:val="center"/>
          </w:tcPr>
          <w:p w14:paraId="52732A5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default"/>
                <w:color w:val="auto"/>
                <w:spacing w:val="0"/>
                <w:w w:val="100"/>
                <w:position w:val="0"/>
                <w:highlight w:val="none"/>
                <w:lang w:val="en-US" w:eastAsia="zh-CN"/>
              </w:rPr>
            </w:pPr>
            <w:r>
              <w:rPr>
                <w:rFonts w:hint="eastAsia" w:cs="Times New Roman"/>
                <w:i w:val="0"/>
                <w:iCs w:val="0"/>
                <w:color w:val="auto"/>
                <w:spacing w:val="0"/>
                <w:w w:val="100"/>
                <w:kern w:val="0"/>
                <w:position w:val="0"/>
                <w:sz w:val="21"/>
                <w:szCs w:val="21"/>
                <w:highlight w:val="none"/>
                <w:u w:val="none"/>
                <w:lang w:val="en-US" w:eastAsia="zh-CN" w:bidi="ar"/>
              </w:rPr>
              <w:t>77</w:t>
            </w:r>
          </w:p>
        </w:tc>
        <w:tc>
          <w:tcPr>
            <w:tcW w:w="1077" w:type="dxa"/>
            <w:tcBorders>
              <w:tl2br w:val="nil"/>
              <w:tr2bl w:val="nil"/>
            </w:tcBorders>
            <w:noWrap w:val="0"/>
            <w:vAlign w:val="center"/>
          </w:tcPr>
          <w:p w14:paraId="4D0E500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default" w:ascii="Times New Roman" w:hAnsi="Times New Roman"/>
                <w:color w:val="auto"/>
                <w:spacing w:val="0"/>
                <w:w w:val="100"/>
                <w:position w:val="0"/>
                <w:highlight w:val="none"/>
                <w:lang w:val="en-US" w:eastAsia="zh-CN"/>
              </w:rPr>
            </w:pPr>
            <w:r>
              <w:rPr>
                <w:rFonts w:hint="eastAsia"/>
                <w:color w:val="auto"/>
                <w:spacing w:val="0"/>
                <w:w w:val="100"/>
                <w:position w:val="0"/>
                <w:highlight w:val="none"/>
                <w:lang w:val="en-US" w:eastAsia="zh-CN"/>
              </w:rPr>
              <w:t>1.155</w:t>
            </w:r>
          </w:p>
        </w:tc>
        <w:tc>
          <w:tcPr>
            <w:tcW w:w="877" w:type="dxa"/>
            <w:tcBorders>
              <w:tl2br w:val="nil"/>
              <w:tr2bl w:val="nil"/>
            </w:tcBorders>
            <w:shd w:val="clear" w:color="auto" w:fill="auto"/>
            <w:noWrap w:val="0"/>
            <w:vAlign w:val="center"/>
          </w:tcPr>
          <w:p w14:paraId="3235FA6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eastAsia" w:ascii="Times New Roman" w:hAnsi="Times New Roman" w:eastAsia="宋体" w:cstheme="minorBidi"/>
                <w:color w:val="auto"/>
                <w:spacing w:val="0"/>
                <w:w w:val="100"/>
                <w:kern w:val="0"/>
                <w:position w:val="0"/>
                <w:sz w:val="21"/>
                <w:szCs w:val="21"/>
                <w:highlight w:val="none"/>
                <w:lang w:val="en-US" w:eastAsia="zh-CN" w:bidi="ar-SA"/>
              </w:rPr>
            </w:pPr>
            <w:r>
              <w:rPr>
                <w:rFonts w:hint="eastAsia"/>
                <w:color w:val="auto"/>
                <w:spacing w:val="0"/>
                <w:w w:val="100"/>
                <w:position w:val="0"/>
                <w:highlight w:val="none"/>
                <w:lang w:val="en-US" w:eastAsia="zh-CN"/>
              </w:rPr>
              <w:t>1.155</w:t>
            </w:r>
          </w:p>
        </w:tc>
        <w:tc>
          <w:tcPr>
            <w:tcW w:w="975" w:type="dxa"/>
            <w:tcBorders>
              <w:tl2br w:val="nil"/>
              <w:tr2bl w:val="nil"/>
            </w:tcBorders>
            <w:noWrap w:val="0"/>
            <w:vAlign w:val="center"/>
          </w:tcPr>
          <w:p w14:paraId="0F1CD63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0.5</w:t>
            </w:r>
          </w:p>
        </w:tc>
        <w:tc>
          <w:tcPr>
            <w:tcW w:w="889" w:type="dxa"/>
            <w:tcBorders>
              <w:tl2br w:val="nil"/>
              <w:tr2bl w:val="nil"/>
            </w:tcBorders>
            <w:noWrap w:val="0"/>
            <w:vAlign w:val="center"/>
          </w:tcPr>
          <w:p w14:paraId="06153F3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default"/>
                <w:color w:val="auto"/>
                <w:spacing w:val="0"/>
                <w:w w:val="100"/>
                <w:position w:val="0"/>
                <w:highlight w:val="none"/>
                <w:lang w:val="en-US" w:eastAsia="zh-CN"/>
              </w:rPr>
            </w:pPr>
            <w:r>
              <w:rPr>
                <w:rFonts w:hint="eastAsia"/>
                <w:color w:val="auto"/>
                <w:spacing w:val="0"/>
                <w:w w:val="100"/>
                <w:position w:val="0"/>
                <w:highlight w:val="none"/>
                <w:lang w:val="en-US" w:eastAsia="zh-CN"/>
              </w:rPr>
              <w:t>2</w:t>
            </w:r>
          </w:p>
        </w:tc>
        <w:tc>
          <w:tcPr>
            <w:tcW w:w="1077" w:type="dxa"/>
            <w:vMerge w:val="continue"/>
            <w:tcBorders>
              <w:tl2br w:val="nil"/>
              <w:tr2bl w:val="nil"/>
            </w:tcBorders>
            <w:noWrap w:val="0"/>
            <w:vAlign w:val="center"/>
          </w:tcPr>
          <w:p w14:paraId="2A8F461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rPr>
                <w:rFonts w:hint="eastAsia"/>
                <w:color w:val="auto"/>
                <w:spacing w:val="0"/>
                <w:w w:val="100"/>
                <w:position w:val="0"/>
                <w:highlight w:val="none"/>
                <w:lang w:val="en-US" w:eastAsia="zh-CN"/>
              </w:rPr>
            </w:pPr>
          </w:p>
        </w:tc>
      </w:tr>
    </w:tbl>
    <w:p w14:paraId="4EA0CD5D">
      <w:pPr>
        <w:pStyle w:val="5"/>
        <w:keepNext w:val="0"/>
        <w:keepLines w:val="0"/>
        <w:pageBreakBefore w:val="0"/>
        <w:widowControl w:val="0"/>
        <w:kinsoku/>
        <w:wordWrap/>
        <w:overflowPunct/>
        <w:topLinePunct w:val="0"/>
        <w:autoSpaceDE/>
        <w:autoSpaceDN/>
        <w:bidi w:val="0"/>
        <w:adjustRightInd/>
        <w:snapToGrid/>
        <w:textAlignment w:val="auto"/>
        <w:outlineLvl w:val="3"/>
        <w:rPr>
          <w:rFonts w:hint="eastAsia" w:ascii="Times New Roman" w:hAnsi="Times New Roman" w:eastAsia="宋体"/>
          <w:color w:val="auto"/>
          <w:spacing w:val="0"/>
          <w:w w:val="100"/>
          <w:position w:val="0"/>
          <w:highlight w:val="none"/>
          <w:lang w:val="en-US" w:eastAsia="zh-CN"/>
        </w:rPr>
      </w:pPr>
      <w:r>
        <w:rPr>
          <w:rFonts w:hint="eastAsia" w:ascii="Times New Roman" w:hAnsi="Times New Roman" w:eastAsia="宋体"/>
          <w:color w:val="auto"/>
          <w:spacing w:val="0"/>
          <w:w w:val="100"/>
          <w:position w:val="0"/>
          <w:highlight w:val="none"/>
          <w:lang w:val="en-US" w:eastAsia="zh-CN"/>
        </w:rPr>
        <w:t>5.2.1.</w:t>
      </w:r>
      <w:r>
        <w:rPr>
          <w:rFonts w:hint="eastAsia"/>
          <w:color w:val="auto"/>
          <w:spacing w:val="0"/>
          <w:w w:val="100"/>
          <w:position w:val="0"/>
          <w:highlight w:val="none"/>
          <w:lang w:val="en-US" w:eastAsia="zh-CN"/>
        </w:rPr>
        <w:t>3</w:t>
      </w:r>
      <w:r>
        <w:rPr>
          <w:rFonts w:hint="eastAsia" w:ascii="Times New Roman" w:hAnsi="Times New Roman" w:eastAsia="宋体"/>
          <w:color w:val="auto"/>
          <w:spacing w:val="0"/>
          <w:w w:val="100"/>
          <w:position w:val="0"/>
          <w:highlight w:val="none"/>
          <w:lang w:val="en-US" w:eastAsia="zh-CN"/>
        </w:rPr>
        <w:t>大气环境防护距离</w:t>
      </w:r>
    </w:p>
    <w:p w14:paraId="154A02E5">
      <w:pPr>
        <w:keepNext w:val="0"/>
        <w:keepLines w:val="0"/>
        <w:pageBreakBefore w:val="0"/>
        <w:widowControl w:val="0"/>
        <w:kinsoku/>
        <w:wordWrap/>
        <w:overflowPunct/>
        <w:topLinePunct w:val="0"/>
        <w:autoSpaceDE/>
        <w:autoSpaceDN/>
        <w:bidi w:val="0"/>
        <w:ind w:firstLine="480"/>
        <w:rPr>
          <w:color w:val="auto"/>
          <w:spacing w:val="0"/>
          <w:w w:val="100"/>
          <w:kern w:val="21"/>
          <w:position w:val="0"/>
          <w:szCs w:val="24"/>
        </w:rPr>
      </w:pPr>
      <w:r>
        <w:rPr>
          <w:color w:val="auto"/>
          <w:spacing w:val="0"/>
          <w:w w:val="100"/>
          <w:kern w:val="21"/>
          <w:position w:val="0"/>
          <w:szCs w:val="24"/>
        </w:rPr>
        <w:t>大气环境防护距离指为保护人群健康，减少正常排放条件下大气污染物对居住区的环境影响，在污染源与居住区之间设置的环境防护区域。在大气环境防护距离内不应有长期居住的人群。</w:t>
      </w:r>
    </w:p>
    <w:p w14:paraId="227ABCAD">
      <w:pPr>
        <w:keepNext w:val="0"/>
        <w:keepLines w:val="0"/>
        <w:pageBreakBefore w:val="0"/>
        <w:widowControl w:val="0"/>
        <w:kinsoku/>
        <w:wordWrap/>
        <w:overflowPunct/>
        <w:topLinePunct w:val="0"/>
        <w:autoSpaceDE/>
        <w:autoSpaceDN/>
        <w:bidi w:val="0"/>
        <w:ind w:firstLine="480"/>
        <w:rPr>
          <w:rFonts w:hint="eastAsia" w:ascii="Times New Roman" w:hAnsi="Times New Roman" w:eastAsia="宋体"/>
          <w:color w:val="auto"/>
          <w:spacing w:val="0"/>
          <w:w w:val="100"/>
          <w:position w:val="0"/>
          <w:highlight w:val="none"/>
          <w:lang w:val="en-US" w:eastAsia="zh-CN"/>
        </w:rPr>
      </w:pPr>
      <w:r>
        <w:rPr>
          <w:color w:val="auto"/>
          <w:spacing w:val="0"/>
          <w:w w:val="100"/>
          <w:kern w:val="21"/>
          <w:position w:val="0"/>
        </w:rPr>
        <w:t>根据5.2.1.1章节预测，本项目厂界污染物排放浓度在厂界及最大落地点无超标点，根据《环境影响评价技术导则 大气环境》（HJ2.2-2018）</w:t>
      </w:r>
      <w:r>
        <w:rPr>
          <w:color w:val="auto"/>
          <w:spacing w:val="0"/>
          <w:w w:val="100"/>
          <w:kern w:val="21"/>
          <w:position w:val="0"/>
          <w:szCs w:val="24"/>
        </w:rPr>
        <w:t>，本项目无需设定大气环境防护距离。</w:t>
      </w:r>
    </w:p>
    <w:p w14:paraId="6CB91A4B">
      <w:pPr>
        <w:pStyle w:val="5"/>
        <w:keepNext w:val="0"/>
        <w:keepLines w:val="0"/>
        <w:pageBreakBefore w:val="0"/>
        <w:widowControl w:val="0"/>
        <w:kinsoku/>
        <w:wordWrap/>
        <w:overflowPunct/>
        <w:topLinePunct w:val="0"/>
        <w:autoSpaceDE/>
        <w:autoSpaceDN/>
        <w:bidi w:val="0"/>
        <w:adjustRightInd/>
        <w:snapToGrid/>
        <w:textAlignment w:val="auto"/>
        <w:outlineLvl w:val="3"/>
        <w:rPr>
          <w:rFonts w:hint="default" w:ascii="Times New Roman" w:hAnsi="Times New Roman" w:eastAsia="宋体"/>
          <w:color w:val="auto"/>
          <w:spacing w:val="0"/>
          <w:w w:val="100"/>
          <w:position w:val="0"/>
          <w:highlight w:val="none"/>
          <w:lang w:val="en-US" w:eastAsia="zh-CN"/>
        </w:rPr>
      </w:pPr>
      <w:r>
        <w:rPr>
          <w:rFonts w:hint="default" w:ascii="Times New Roman" w:hAnsi="Times New Roman" w:eastAsia="宋体"/>
          <w:color w:val="auto"/>
          <w:spacing w:val="0"/>
          <w:w w:val="100"/>
          <w:position w:val="0"/>
          <w:highlight w:val="none"/>
          <w:lang w:val="en-US" w:eastAsia="zh-CN"/>
        </w:rPr>
        <w:t>5.2.1.</w:t>
      </w:r>
      <w:r>
        <w:rPr>
          <w:rFonts w:hint="eastAsia"/>
          <w:color w:val="auto"/>
          <w:spacing w:val="0"/>
          <w:w w:val="100"/>
          <w:position w:val="0"/>
          <w:highlight w:val="none"/>
          <w:lang w:val="en-US" w:eastAsia="zh-CN"/>
        </w:rPr>
        <w:t>4</w:t>
      </w:r>
      <w:r>
        <w:rPr>
          <w:rFonts w:hint="default" w:ascii="Times New Roman" w:hAnsi="Times New Roman" w:eastAsia="宋体"/>
          <w:color w:val="auto"/>
          <w:spacing w:val="0"/>
          <w:w w:val="100"/>
          <w:position w:val="0"/>
          <w:highlight w:val="none"/>
          <w:lang w:val="en-US" w:eastAsia="zh-CN"/>
        </w:rPr>
        <w:t>大气环境影响评价自查表</w:t>
      </w:r>
    </w:p>
    <w:p w14:paraId="251BA203">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根据《环境影响评价技术导则 大气环境》（HJ2.2-2018）大气环境影响评价完成后，应对大气环境影响评价主要内容与结论进行自查。大气自查表见表</w:t>
      </w:r>
      <w:r>
        <w:rPr>
          <w:rFonts w:hint="default" w:ascii="Times New Roman" w:hAnsi="Times New Roman" w:eastAsia="宋体" w:cs="Times New Roman"/>
          <w:caps w:val="0"/>
          <w:snapToGrid/>
          <w:color w:val="auto"/>
          <w:spacing w:val="0"/>
          <w:w w:val="100"/>
          <w:kern w:val="0"/>
          <w:position w:val="0"/>
          <w:szCs w:val="24"/>
          <w:highlight w:val="none"/>
          <w:lang w:val="en-US" w:eastAsia="zh-CN"/>
        </w:rPr>
        <w:t>5</w:t>
      </w:r>
      <w:r>
        <w:rPr>
          <w:rFonts w:hint="default" w:ascii="Times New Roman" w:hAnsi="Times New Roman" w:eastAsia="宋体" w:cs="Times New Roman"/>
          <w:caps w:val="0"/>
          <w:snapToGrid/>
          <w:color w:val="auto"/>
          <w:spacing w:val="0"/>
          <w:w w:val="100"/>
          <w:kern w:val="0"/>
          <w:position w:val="0"/>
          <w:szCs w:val="24"/>
          <w:highlight w:val="none"/>
        </w:rPr>
        <w:t>.2</w:t>
      </w:r>
      <w:r>
        <w:rPr>
          <w:rFonts w:hint="eastAsia" w:cs="Times New Roman"/>
          <w:caps w:val="0"/>
          <w:snapToGrid/>
          <w:color w:val="auto"/>
          <w:spacing w:val="0"/>
          <w:w w:val="100"/>
          <w:kern w:val="0"/>
          <w:position w:val="0"/>
          <w:szCs w:val="24"/>
          <w:highlight w:val="none"/>
          <w:lang w:val="en-US" w:eastAsia="zh-CN"/>
        </w:rPr>
        <w:t>.1-11</w:t>
      </w:r>
      <w:r>
        <w:rPr>
          <w:rFonts w:hint="default" w:ascii="Times New Roman" w:hAnsi="Times New Roman" w:eastAsia="宋体" w:cs="Times New Roman"/>
          <w:caps w:val="0"/>
          <w:snapToGrid/>
          <w:color w:val="auto"/>
          <w:spacing w:val="0"/>
          <w:w w:val="100"/>
          <w:kern w:val="0"/>
          <w:position w:val="0"/>
          <w:szCs w:val="24"/>
          <w:highlight w:val="none"/>
        </w:rPr>
        <w:t>。</w:t>
      </w:r>
    </w:p>
    <w:p w14:paraId="7590A61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2" w:firstLineChars="200"/>
        <w:jc w:val="center"/>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表</w:t>
      </w:r>
      <w:r>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rPr>
        <w:t>5</w:t>
      </w:r>
      <w:r>
        <w:rPr>
          <w:rFonts w:hint="default" w:ascii="Times New Roman" w:hAnsi="Times New Roman" w:eastAsia="宋体" w:cs="Times New Roman"/>
          <w:b/>
          <w:bCs/>
          <w:caps w:val="0"/>
          <w:snapToGrid/>
          <w:color w:val="auto"/>
          <w:spacing w:val="0"/>
          <w:w w:val="100"/>
          <w:kern w:val="0"/>
          <w:position w:val="0"/>
          <w:sz w:val="21"/>
          <w:szCs w:val="21"/>
          <w:highlight w:val="none"/>
        </w:rPr>
        <w:t>.2</w:t>
      </w:r>
      <w:r>
        <w:rPr>
          <w:rFonts w:hint="eastAsia" w:cs="Times New Roman"/>
          <w:b/>
          <w:bCs/>
          <w:caps w:val="0"/>
          <w:snapToGrid/>
          <w:color w:val="auto"/>
          <w:spacing w:val="0"/>
          <w:w w:val="100"/>
          <w:kern w:val="0"/>
          <w:position w:val="0"/>
          <w:sz w:val="21"/>
          <w:szCs w:val="21"/>
          <w:highlight w:val="none"/>
          <w:lang w:val="en-US" w:eastAsia="zh-CN"/>
        </w:rPr>
        <w:t>.1-11</w:t>
      </w:r>
      <w:r>
        <w:rPr>
          <w:rFonts w:hint="default" w:ascii="Times New Roman" w:hAnsi="Times New Roman" w:eastAsia="宋体" w:cs="Times New Roman"/>
          <w:b/>
          <w:bCs/>
          <w:caps w:val="0"/>
          <w:snapToGrid/>
          <w:color w:val="auto"/>
          <w:spacing w:val="0"/>
          <w:w w:val="100"/>
          <w:kern w:val="0"/>
          <w:position w:val="0"/>
          <w:sz w:val="21"/>
          <w:szCs w:val="21"/>
          <w:highlight w:val="none"/>
        </w:rPr>
        <w:t xml:space="preserve">  本项目大气环境影响评价自查表</w:t>
      </w:r>
    </w:p>
    <w:tbl>
      <w:tblPr>
        <w:tblStyle w:val="25"/>
        <w:tblW w:w="4997"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57" w:type="dxa"/>
          <w:left w:w="57" w:type="dxa"/>
          <w:bottom w:w="57" w:type="dxa"/>
          <w:right w:w="57" w:type="dxa"/>
        </w:tblCellMar>
      </w:tblPr>
      <w:tblGrid>
        <w:gridCol w:w="535"/>
        <w:gridCol w:w="1185"/>
        <w:gridCol w:w="1031"/>
        <w:gridCol w:w="777"/>
        <w:gridCol w:w="91"/>
        <w:gridCol w:w="149"/>
        <w:gridCol w:w="14"/>
        <w:gridCol w:w="348"/>
        <w:gridCol w:w="198"/>
        <w:gridCol w:w="312"/>
        <w:gridCol w:w="174"/>
        <w:gridCol w:w="100"/>
        <w:gridCol w:w="422"/>
        <w:gridCol w:w="298"/>
        <w:gridCol w:w="211"/>
        <w:gridCol w:w="98"/>
        <w:gridCol w:w="449"/>
        <w:gridCol w:w="148"/>
        <w:gridCol w:w="187"/>
        <w:gridCol w:w="149"/>
        <w:gridCol w:w="268"/>
        <w:gridCol w:w="446"/>
        <w:gridCol w:w="138"/>
        <w:gridCol w:w="183"/>
        <w:gridCol w:w="172"/>
        <w:gridCol w:w="869"/>
      </w:tblGrid>
      <w:tr w14:paraId="1995297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960" w:type="pct"/>
            <w:gridSpan w:val="2"/>
            <w:tcBorders>
              <w:tl2br w:val="nil"/>
              <w:tr2bl w:val="nil"/>
            </w:tcBorders>
            <w:noWrap w:val="0"/>
            <w:vAlign w:val="center"/>
          </w:tcPr>
          <w:p w14:paraId="29E75E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工作内容</w:t>
            </w:r>
          </w:p>
        </w:tc>
        <w:tc>
          <w:tcPr>
            <w:tcW w:w="4039" w:type="pct"/>
            <w:gridSpan w:val="24"/>
            <w:tcBorders>
              <w:tl2br w:val="nil"/>
              <w:tr2bl w:val="nil"/>
            </w:tcBorders>
            <w:noWrap w:val="0"/>
            <w:vAlign w:val="center"/>
          </w:tcPr>
          <w:p w14:paraId="360BB0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自查项目</w:t>
            </w:r>
          </w:p>
        </w:tc>
      </w:tr>
      <w:tr w14:paraId="75DDFDE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298" w:type="pct"/>
            <w:vMerge w:val="restart"/>
            <w:tcBorders>
              <w:tl2br w:val="nil"/>
              <w:tr2bl w:val="nil"/>
            </w:tcBorders>
            <w:noWrap w:val="0"/>
            <w:vAlign w:val="center"/>
          </w:tcPr>
          <w:p w14:paraId="2FEE87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评价等级与范围</w:t>
            </w:r>
          </w:p>
        </w:tc>
        <w:tc>
          <w:tcPr>
            <w:tcW w:w="661" w:type="pct"/>
            <w:tcBorders>
              <w:tl2br w:val="nil"/>
              <w:tr2bl w:val="nil"/>
            </w:tcBorders>
            <w:noWrap w:val="0"/>
            <w:vAlign w:val="center"/>
          </w:tcPr>
          <w:p w14:paraId="4A2037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评价等级</w:t>
            </w:r>
          </w:p>
        </w:tc>
        <w:tc>
          <w:tcPr>
            <w:tcW w:w="1630" w:type="pct"/>
            <w:gridSpan w:val="8"/>
            <w:tcBorders>
              <w:tl2br w:val="nil"/>
              <w:tr2bl w:val="nil"/>
            </w:tcBorders>
            <w:noWrap w:val="0"/>
            <w:vAlign w:val="center"/>
          </w:tcPr>
          <w:p w14:paraId="42DBD7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一级</w:t>
            </w:r>
            <w:r>
              <w:rPr>
                <w:rFonts w:hint="default" w:ascii="Times New Roman" w:hAnsi="Times New Roman" w:eastAsia="宋体" w:cs="Times New Roman"/>
                <w:caps w:val="0"/>
                <w:snapToGrid/>
                <w:color w:val="auto"/>
                <w:spacing w:val="0"/>
                <w:w w:val="100"/>
                <w:kern w:val="0"/>
                <w:position w:val="0"/>
                <w:sz w:val="21"/>
                <w:szCs w:val="21"/>
                <w:highlight w:val="none"/>
              </w:rPr>
              <w:sym w:font="Wingdings 2" w:char="00A3"/>
            </w:r>
          </w:p>
        </w:tc>
        <w:tc>
          <w:tcPr>
            <w:tcW w:w="1826" w:type="pct"/>
            <w:gridSpan w:val="14"/>
            <w:tcBorders>
              <w:tl2br w:val="nil"/>
              <w:tr2bl w:val="nil"/>
            </w:tcBorders>
            <w:noWrap w:val="0"/>
            <w:vAlign w:val="center"/>
          </w:tcPr>
          <w:p w14:paraId="787E4A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rPr>
              <w:t>二级</w:t>
            </w:r>
            <w:r>
              <w:rPr>
                <w:rFonts w:hint="default" w:ascii="Times New Roman" w:hAnsi="Times New Roman" w:eastAsia="宋体" w:cs="Times New Roman"/>
                <w:caps w:val="0"/>
                <w:snapToGrid/>
                <w:color w:val="auto"/>
                <w:spacing w:val="0"/>
                <w:w w:val="100"/>
                <w:kern w:val="0"/>
                <w:position w:val="0"/>
                <w:sz w:val="21"/>
                <w:szCs w:val="21"/>
                <w:highlight w:val="none"/>
                <w:lang w:eastAsia="zh-CN"/>
              </w:rPr>
              <w:sym w:font="Wingdings 2" w:char="0052"/>
            </w:r>
          </w:p>
        </w:tc>
        <w:tc>
          <w:tcPr>
            <w:tcW w:w="581" w:type="pct"/>
            <w:gridSpan w:val="2"/>
            <w:tcBorders>
              <w:tl2br w:val="nil"/>
              <w:tr2bl w:val="nil"/>
            </w:tcBorders>
            <w:noWrap w:val="0"/>
            <w:vAlign w:val="center"/>
          </w:tcPr>
          <w:p w14:paraId="35F5B7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三级</w:t>
            </w: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p>
        </w:tc>
      </w:tr>
      <w:tr w14:paraId="68F0DBC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298" w:type="pct"/>
            <w:vMerge w:val="continue"/>
            <w:tcBorders>
              <w:tl2br w:val="nil"/>
              <w:tr2bl w:val="nil"/>
            </w:tcBorders>
            <w:noWrap w:val="0"/>
            <w:vAlign w:val="center"/>
          </w:tcPr>
          <w:p w14:paraId="0E366C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661" w:type="pct"/>
            <w:tcBorders>
              <w:tl2br w:val="nil"/>
              <w:tr2bl w:val="nil"/>
            </w:tcBorders>
            <w:noWrap w:val="0"/>
            <w:vAlign w:val="center"/>
          </w:tcPr>
          <w:p w14:paraId="485F2A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评价范围</w:t>
            </w:r>
          </w:p>
        </w:tc>
        <w:tc>
          <w:tcPr>
            <w:tcW w:w="1630" w:type="pct"/>
            <w:gridSpan w:val="8"/>
            <w:tcBorders>
              <w:tl2br w:val="nil"/>
              <w:tr2bl w:val="nil"/>
            </w:tcBorders>
            <w:noWrap w:val="0"/>
            <w:vAlign w:val="center"/>
          </w:tcPr>
          <w:p w14:paraId="61F164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边长=50km</w:t>
            </w:r>
          </w:p>
        </w:tc>
        <w:tc>
          <w:tcPr>
            <w:tcW w:w="1826" w:type="pct"/>
            <w:gridSpan w:val="14"/>
            <w:tcBorders>
              <w:tl2br w:val="nil"/>
              <w:tr2bl w:val="nil"/>
            </w:tcBorders>
            <w:noWrap w:val="0"/>
            <w:vAlign w:val="center"/>
          </w:tcPr>
          <w:p w14:paraId="7D9C82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边长5</w:t>
            </w: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r>
              <w:rPr>
                <w:rFonts w:hint="default" w:ascii="Times New Roman" w:hAnsi="Times New Roman" w:eastAsia="宋体" w:cs="Times New Roman"/>
                <w:caps w:val="0"/>
                <w:snapToGrid/>
                <w:color w:val="auto"/>
                <w:spacing w:val="0"/>
                <w:w w:val="100"/>
                <w:kern w:val="0"/>
                <w:position w:val="0"/>
                <w:sz w:val="21"/>
                <w:szCs w:val="21"/>
                <w:highlight w:val="none"/>
              </w:rPr>
              <w:t>50km</w:t>
            </w:r>
          </w:p>
        </w:tc>
        <w:tc>
          <w:tcPr>
            <w:tcW w:w="581" w:type="pct"/>
            <w:gridSpan w:val="2"/>
            <w:tcBorders>
              <w:tl2br w:val="nil"/>
              <w:tr2bl w:val="nil"/>
            </w:tcBorders>
            <w:noWrap w:val="0"/>
            <w:vAlign w:val="center"/>
          </w:tcPr>
          <w:p w14:paraId="74D1AF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rPr>
              <w:t>边长=5km</w:t>
            </w: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p>
        </w:tc>
      </w:tr>
      <w:tr w14:paraId="7D8C562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298" w:type="pct"/>
            <w:tcBorders>
              <w:tl2br w:val="nil"/>
              <w:tr2bl w:val="nil"/>
            </w:tcBorders>
            <w:noWrap w:val="0"/>
            <w:vAlign w:val="center"/>
          </w:tcPr>
          <w:p w14:paraId="4DBB07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评价因子</w:t>
            </w:r>
          </w:p>
        </w:tc>
        <w:tc>
          <w:tcPr>
            <w:tcW w:w="661" w:type="pct"/>
            <w:tcBorders>
              <w:tl2br w:val="nil"/>
              <w:tr2bl w:val="nil"/>
            </w:tcBorders>
            <w:noWrap w:val="0"/>
            <w:vAlign w:val="center"/>
          </w:tcPr>
          <w:p w14:paraId="177707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SO</w:t>
            </w:r>
            <w:r>
              <w:rPr>
                <w:rFonts w:hint="default" w:ascii="Times New Roman" w:hAnsi="Times New Roman" w:eastAsia="宋体" w:cs="Times New Roman"/>
                <w:caps w:val="0"/>
                <w:snapToGrid/>
                <w:color w:val="auto"/>
                <w:spacing w:val="0"/>
                <w:w w:val="100"/>
                <w:kern w:val="0"/>
                <w:position w:val="0"/>
                <w:sz w:val="21"/>
                <w:szCs w:val="21"/>
                <w:highlight w:val="none"/>
                <w:vertAlign w:val="subscript"/>
              </w:rPr>
              <w:t>2</w:t>
            </w:r>
            <w:r>
              <w:rPr>
                <w:rFonts w:hint="default" w:ascii="Times New Roman" w:hAnsi="Times New Roman" w:eastAsia="宋体" w:cs="Times New Roman"/>
                <w:caps w:val="0"/>
                <w:snapToGrid/>
                <w:color w:val="auto"/>
                <w:spacing w:val="0"/>
                <w:w w:val="100"/>
                <w:kern w:val="0"/>
                <w:position w:val="0"/>
                <w:sz w:val="21"/>
                <w:szCs w:val="21"/>
                <w:highlight w:val="none"/>
              </w:rPr>
              <w:t>+NO</w:t>
            </w:r>
            <w:r>
              <w:rPr>
                <w:rFonts w:hint="default" w:ascii="Times New Roman" w:hAnsi="Times New Roman" w:eastAsia="宋体" w:cs="Times New Roman"/>
                <w:caps w:val="0"/>
                <w:snapToGrid/>
                <w:color w:val="auto"/>
                <w:spacing w:val="0"/>
                <w:w w:val="100"/>
                <w:kern w:val="0"/>
                <w:position w:val="0"/>
                <w:sz w:val="21"/>
                <w:szCs w:val="21"/>
                <w:highlight w:val="none"/>
                <w:vertAlign w:val="subscript"/>
              </w:rPr>
              <w:t>X</w:t>
            </w:r>
            <w:r>
              <w:rPr>
                <w:rFonts w:hint="default" w:ascii="Times New Roman" w:hAnsi="Times New Roman" w:eastAsia="宋体" w:cs="Times New Roman"/>
                <w:caps w:val="0"/>
                <w:snapToGrid/>
                <w:color w:val="auto"/>
                <w:spacing w:val="0"/>
                <w:w w:val="100"/>
                <w:kern w:val="0"/>
                <w:position w:val="0"/>
                <w:sz w:val="21"/>
                <w:szCs w:val="21"/>
                <w:highlight w:val="none"/>
              </w:rPr>
              <w:t>排放量</w:t>
            </w:r>
          </w:p>
        </w:tc>
        <w:tc>
          <w:tcPr>
            <w:tcW w:w="1143" w:type="pct"/>
            <w:gridSpan w:val="4"/>
            <w:tcBorders>
              <w:tl2br w:val="nil"/>
              <w:tr2bl w:val="nil"/>
            </w:tcBorders>
            <w:noWrap w:val="0"/>
            <w:vAlign w:val="center"/>
          </w:tcPr>
          <w:p w14:paraId="0F9ED3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≥20000t/a□</w:t>
            </w:r>
          </w:p>
        </w:tc>
        <w:tc>
          <w:tcPr>
            <w:tcW w:w="1214" w:type="pct"/>
            <w:gridSpan w:val="10"/>
            <w:tcBorders>
              <w:tl2br w:val="nil"/>
              <w:tr2bl w:val="nil"/>
            </w:tcBorders>
            <w:noWrap w:val="0"/>
            <w:vAlign w:val="center"/>
          </w:tcPr>
          <w:p w14:paraId="2BFC84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500</w:t>
            </w: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r>
              <w:rPr>
                <w:rFonts w:hint="default" w:ascii="Times New Roman" w:hAnsi="Times New Roman" w:eastAsia="宋体" w:cs="Times New Roman"/>
                <w:caps w:val="0"/>
                <w:snapToGrid/>
                <w:color w:val="auto"/>
                <w:spacing w:val="0"/>
                <w:w w:val="100"/>
                <w:kern w:val="0"/>
                <w:position w:val="0"/>
                <w:sz w:val="21"/>
                <w:szCs w:val="21"/>
                <w:highlight w:val="none"/>
              </w:rPr>
              <w:t>2000t/a□</w:t>
            </w:r>
          </w:p>
        </w:tc>
        <w:tc>
          <w:tcPr>
            <w:tcW w:w="1680" w:type="pct"/>
            <w:gridSpan w:val="10"/>
            <w:tcBorders>
              <w:tl2br w:val="nil"/>
              <w:tr2bl w:val="nil"/>
            </w:tcBorders>
            <w:noWrap w:val="0"/>
            <w:vAlign w:val="center"/>
          </w:tcPr>
          <w:p w14:paraId="1D8CA6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rPr>
              <w:t>小于500t/a</w:t>
            </w:r>
            <w:r>
              <w:rPr>
                <w:rFonts w:hint="eastAsia" w:cs="Times New Roman"/>
                <w:caps w:val="0"/>
                <w:snapToGrid/>
                <w:color w:val="auto"/>
                <w:spacing w:val="0"/>
                <w:w w:val="100"/>
                <w:kern w:val="0"/>
                <w:position w:val="0"/>
                <w:sz w:val="21"/>
                <w:szCs w:val="21"/>
                <w:highlight w:val="none"/>
                <w:lang w:eastAsia="zh-CN"/>
              </w:rPr>
              <w:t>□</w:t>
            </w:r>
          </w:p>
        </w:tc>
      </w:tr>
      <w:tr w14:paraId="31F116D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298" w:type="pct"/>
            <w:tcBorders>
              <w:tl2br w:val="nil"/>
              <w:tr2bl w:val="nil"/>
            </w:tcBorders>
            <w:noWrap w:val="0"/>
            <w:vAlign w:val="center"/>
          </w:tcPr>
          <w:p w14:paraId="2701E7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评价标准</w:t>
            </w:r>
          </w:p>
        </w:tc>
        <w:tc>
          <w:tcPr>
            <w:tcW w:w="661" w:type="pct"/>
            <w:tcBorders>
              <w:tl2br w:val="nil"/>
              <w:tr2bl w:val="nil"/>
            </w:tcBorders>
            <w:noWrap w:val="0"/>
            <w:vAlign w:val="center"/>
          </w:tcPr>
          <w:p w14:paraId="02FBF4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评价标准</w:t>
            </w:r>
          </w:p>
        </w:tc>
        <w:tc>
          <w:tcPr>
            <w:tcW w:w="1143" w:type="pct"/>
            <w:gridSpan w:val="4"/>
            <w:tcBorders>
              <w:tl2br w:val="nil"/>
              <w:tr2bl w:val="nil"/>
            </w:tcBorders>
            <w:noWrap w:val="0"/>
            <w:vAlign w:val="center"/>
          </w:tcPr>
          <w:p w14:paraId="12EF7B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rPr>
              <w:t>国家标准</w:t>
            </w: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p>
        </w:tc>
        <w:tc>
          <w:tcPr>
            <w:tcW w:w="1214" w:type="pct"/>
            <w:gridSpan w:val="10"/>
            <w:tcBorders>
              <w:tl2br w:val="nil"/>
              <w:tr2bl w:val="nil"/>
            </w:tcBorders>
            <w:noWrap w:val="0"/>
            <w:vAlign w:val="center"/>
          </w:tcPr>
          <w:p w14:paraId="41A987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rPr>
              <w:t>地方标准</w:t>
            </w:r>
            <w:r>
              <w:rPr>
                <w:rFonts w:hint="eastAsia" w:cs="Times New Roman"/>
                <w:caps w:val="0"/>
                <w:snapToGrid/>
                <w:color w:val="auto"/>
                <w:spacing w:val="0"/>
                <w:w w:val="100"/>
                <w:kern w:val="0"/>
                <w:position w:val="0"/>
                <w:sz w:val="21"/>
                <w:szCs w:val="21"/>
                <w:highlight w:val="none"/>
                <w:lang w:eastAsia="zh-CN"/>
              </w:rPr>
              <w:t>□</w:t>
            </w:r>
          </w:p>
        </w:tc>
        <w:tc>
          <w:tcPr>
            <w:tcW w:w="919" w:type="pct"/>
            <w:gridSpan w:val="6"/>
            <w:tcBorders>
              <w:tl2br w:val="nil"/>
              <w:tr2bl w:val="nil"/>
            </w:tcBorders>
            <w:noWrap w:val="0"/>
            <w:vAlign w:val="center"/>
          </w:tcPr>
          <w:p w14:paraId="1B993A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附录D</w:t>
            </w:r>
            <w:r>
              <w:rPr>
                <w:rFonts w:hint="eastAsia" w:cs="Times New Roman"/>
                <w:caps w:val="0"/>
                <w:snapToGrid/>
                <w:color w:val="auto"/>
                <w:spacing w:val="0"/>
                <w:w w:val="100"/>
                <w:kern w:val="0"/>
                <w:position w:val="0"/>
                <w:sz w:val="21"/>
                <w:szCs w:val="21"/>
                <w:highlight w:val="none"/>
                <w:lang w:eastAsia="zh-CN"/>
              </w:rPr>
              <w:t>□</w:t>
            </w:r>
          </w:p>
        </w:tc>
        <w:tc>
          <w:tcPr>
            <w:tcW w:w="760" w:type="pct"/>
            <w:gridSpan w:val="4"/>
            <w:tcBorders>
              <w:tl2br w:val="nil"/>
              <w:tr2bl w:val="nil"/>
            </w:tcBorders>
            <w:noWrap w:val="0"/>
            <w:vAlign w:val="center"/>
          </w:tcPr>
          <w:p w14:paraId="1E8BBA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rPr>
              <w:t>其他标准</w:t>
            </w: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p>
        </w:tc>
      </w:tr>
      <w:tr w14:paraId="0AF080A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298" w:type="pct"/>
            <w:vMerge w:val="restart"/>
            <w:tcBorders>
              <w:tl2br w:val="nil"/>
              <w:tr2bl w:val="nil"/>
            </w:tcBorders>
            <w:noWrap w:val="0"/>
            <w:vAlign w:val="center"/>
          </w:tcPr>
          <w:p w14:paraId="7C896D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现状评价</w:t>
            </w:r>
          </w:p>
        </w:tc>
        <w:tc>
          <w:tcPr>
            <w:tcW w:w="661" w:type="pct"/>
            <w:tcBorders>
              <w:tl2br w:val="nil"/>
              <w:tr2bl w:val="nil"/>
            </w:tcBorders>
            <w:noWrap w:val="0"/>
            <w:vAlign w:val="center"/>
          </w:tcPr>
          <w:p w14:paraId="2B2E18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环境功能区</w:t>
            </w:r>
          </w:p>
        </w:tc>
        <w:tc>
          <w:tcPr>
            <w:tcW w:w="1143" w:type="pct"/>
            <w:gridSpan w:val="4"/>
            <w:tcBorders>
              <w:tl2br w:val="nil"/>
              <w:tr2bl w:val="nil"/>
            </w:tcBorders>
            <w:noWrap w:val="0"/>
            <w:vAlign w:val="center"/>
          </w:tcPr>
          <w:p w14:paraId="0DCAF9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一类区□</w:t>
            </w:r>
          </w:p>
        </w:tc>
        <w:tc>
          <w:tcPr>
            <w:tcW w:w="1214" w:type="pct"/>
            <w:gridSpan w:val="10"/>
            <w:tcBorders>
              <w:tl2br w:val="nil"/>
              <w:tr2bl w:val="nil"/>
            </w:tcBorders>
            <w:noWrap w:val="0"/>
            <w:vAlign w:val="center"/>
          </w:tcPr>
          <w:p w14:paraId="1E09F2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rPr>
              <w:t>二类区</w:t>
            </w: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p>
        </w:tc>
        <w:tc>
          <w:tcPr>
            <w:tcW w:w="1680" w:type="pct"/>
            <w:gridSpan w:val="10"/>
            <w:tcBorders>
              <w:tl2br w:val="nil"/>
              <w:tr2bl w:val="nil"/>
            </w:tcBorders>
            <w:noWrap w:val="0"/>
            <w:vAlign w:val="center"/>
          </w:tcPr>
          <w:p w14:paraId="1E76E0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一类区和二类区□</w:t>
            </w:r>
          </w:p>
        </w:tc>
      </w:tr>
      <w:tr w14:paraId="7AAC49C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298" w:type="pct"/>
            <w:vMerge w:val="continue"/>
            <w:tcBorders>
              <w:tl2br w:val="nil"/>
              <w:tr2bl w:val="nil"/>
            </w:tcBorders>
            <w:noWrap w:val="0"/>
            <w:vAlign w:val="center"/>
          </w:tcPr>
          <w:p w14:paraId="4FFBF6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661" w:type="pct"/>
            <w:tcBorders>
              <w:tl2br w:val="nil"/>
              <w:tr2bl w:val="nil"/>
            </w:tcBorders>
            <w:noWrap w:val="0"/>
            <w:vAlign w:val="center"/>
          </w:tcPr>
          <w:p w14:paraId="1B5544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评价基准年</w:t>
            </w:r>
          </w:p>
        </w:tc>
        <w:tc>
          <w:tcPr>
            <w:tcW w:w="4039" w:type="pct"/>
            <w:gridSpan w:val="24"/>
            <w:tcBorders>
              <w:tl2br w:val="nil"/>
              <w:tr2bl w:val="nil"/>
            </w:tcBorders>
            <w:noWrap w:val="0"/>
            <w:vAlign w:val="center"/>
          </w:tcPr>
          <w:p w14:paraId="642740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（20</w:t>
            </w:r>
            <w:r>
              <w:rPr>
                <w:rFonts w:hint="default" w:ascii="Times New Roman" w:hAnsi="Times New Roman" w:eastAsia="宋体" w:cs="Times New Roman"/>
                <w:caps w:val="0"/>
                <w:snapToGrid/>
                <w:color w:val="auto"/>
                <w:spacing w:val="0"/>
                <w:w w:val="100"/>
                <w:kern w:val="0"/>
                <w:position w:val="0"/>
                <w:sz w:val="21"/>
                <w:szCs w:val="21"/>
                <w:highlight w:val="none"/>
                <w:lang w:eastAsia="zh-CN"/>
              </w:rPr>
              <w:t>2</w:t>
            </w:r>
            <w:r>
              <w:rPr>
                <w:rFonts w:hint="eastAsia" w:cs="Times New Roman"/>
                <w:caps w:val="0"/>
                <w:snapToGrid/>
                <w:color w:val="auto"/>
                <w:spacing w:val="0"/>
                <w:w w:val="100"/>
                <w:kern w:val="0"/>
                <w:position w:val="0"/>
                <w:sz w:val="21"/>
                <w:szCs w:val="21"/>
                <w:highlight w:val="none"/>
                <w:lang w:val="en-US" w:eastAsia="zh-CN"/>
              </w:rPr>
              <w:t>5</w:t>
            </w:r>
            <w:r>
              <w:rPr>
                <w:rFonts w:hint="default" w:ascii="Times New Roman" w:hAnsi="Times New Roman" w:eastAsia="宋体" w:cs="Times New Roman"/>
                <w:caps w:val="0"/>
                <w:snapToGrid/>
                <w:color w:val="auto"/>
                <w:spacing w:val="0"/>
                <w:w w:val="100"/>
                <w:kern w:val="0"/>
                <w:position w:val="0"/>
                <w:sz w:val="21"/>
                <w:szCs w:val="21"/>
                <w:highlight w:val="none"/>
              </w:rPr>
              <w:t>）年</w:t>
            </w:r>
          </w:p>
        </w:tc>
      </w:tr>
      <w:tr w14:paraId="0D48DB2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298" w:type="pct"/>
            <w:vMerge w:val="continue"/>
            <w:tcBorders>
              <w:tl2br w:val="nil"/>
              <w:tr2bl w:val="nil"/>
            </w:tcBorders>
            <w:noWrap w:val="0"/>
            <w:vAlign w:val="center"/>
          </w:tcPr>
          <w:p w14:paraId="466D0B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661" w:type="pct"/>
            <w:tcBorders>
              <w:tl2br w:val="nil"/>
              <w:tr2bl w:val="nil"/>
            </w:tcBorders>
            <w:noWrap w:val="0"/>
            <w:vAlign w:val="center"/>
          </w:tcPr>
          <w:p w14:paraId="53824C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环境空气质量现状调查数据来源</w:t>
            </w:r>
          </w:p>
        </w:tc>
        <w:tc>
          <w:tcPr>
            <w:tcW w:w="2186" w:type="pct"/>
            <w:gridSpan w:val="12"/>
            <w:tcBorders>
              <w:tl2br w:val="nil"/>
              <w:tr2bl w:val="nil"/>
            </w:tcBorders>
            <w:noWrap w:val="0"/>
            <w:vAlign w:val="center"/>
          </w:tcPr>
          <w:p w14:paraId="6096EF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长期例行监测数据□</w:t>
            </w:r>
          </w:p>
        </w:tc>
        <w:tc>
          <w:tcPr>
            <w:tcW w:w="1271" w:type="pct"/>
            <w:gridSpan w:val="10"/>
            <w:tcBorders>
              <w:tl2br w:val="nil"/>
              <w:tr2bl w:val="nil"/>
            </w:tcBorders>
            <w:noWrap w:val="0"/>
            <w:vAlign w:val="center"/>
          </w:tcPr>
          <w:p w14:paraId="4BCFF0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rPr>
              <w:t>主管部门发布的数据</w:t>
            </w: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p>
        </w:tc>
        <w:tc>
          <w:tcPr>
            <w:tcW w:w="581" w:type="pct"/>
            <w:gridSpan w:val="2"/>
            <w:tcBorders>
              <w:tl2br w:val="nil"/>
              <w:tr2bl w:val="nil"/>
            </w:tcBorders>
            <w:noWrap w:val="0"/>
            <w:vAlign w:val="center"/>
          </w:tcPr>
          <w:p w14:paraId="4D42DA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rPr>
              <w:t>现状补充监测</w:t>
            </w:r>
            <w:r>
              <w:rPr>
                <w:rFonts w:hint="eastAsia" w:cs="Times New Roman"/>
                <w:caps w:val="0"/>
                <w:snapToGrid/>
                <w:color w:val="auto"/>
                <w:spacing w:val="0"/>
                <w:w w:val="100"/>
                <w:kern w:val="0"/>
                <w:position w:val="0"/>
                <w:sz w:val="21"/>
                <w:szCs w:val="21"/>
                <w:highlight w:val="none"/>
                <w:lang w:eastAsia="zh-CN"/>
              </w:rPr>
              <w:t>☑</w:t>
            </w:r>
          </w:p>
        </w:tc>
      </w:tr>
      <w:tr w14:paraId="517333B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298" w:type="pct"/>
            <w:vMerge w:val="continue"/>
            <w:tcBorders>
              <w:tl2br w:val="nil"/>
              <w:tr2bl w:val="nil"/>
            </w:tcBorders>
            <w:noWrap w:val="0"/>
            <w:vAlign w:val="center"/>
          </w:tcPr>
          <w:p w14:paraId="1074F4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661" w:type="pct"/>
            <w:tcBorders>
              <w:tl2br w:val="nil"/>
              <w:tr2bl w:val="nil"/>
            </w:tcBorders>
            <w:noWrap w:val="0"/>
            <w:vAlign w:val="center"/>
          </w:tcPr>
          <w:p w14:paraId="38B35E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现状评价</w:t>
            </w:r>
          </w:p>
        </w:tc>
        <w:tc>
          <w:tcPr>
            <w:tcW w:w="2186" w:type="pct"/>
            <w:gridSpan w:val="12"/>
            <w:tcBorders>
              <w:tl2br w:val="nil"/>
              <w:tr2bl w:val="nil"/>
            </w:tcBorders>
            <w:noWrap w:val="0"/>
            <w:vAlign w:val="center"/>
          </w:tcPr>
          <w:p w14:paraId="2E77D6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rPr>
              <w:t>达标区</w:t>
            </w: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p>
        </w:tc>
        <w:tc>
          <w:tcPr>
            <w:tcW w:w="1853" w:type="pct"/>
            <w:gridSpan w:val="12"/>
            <w:tcBorders>
              <w:tl2br w:val="nil"/>
              <w:tr2bl w:val="nil"/>
            </w:tcBorders>
            <w:noWrap w:val="0"/>
            <w:vAlign w:val="center"/>
          </w:tcPr>
          <w:p w14:paraId="382192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rPr>
              <w:t>不达标区</w:t>
            </w: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p>
        </w:tc>
      </w:tr>
      <w:tr w14:paraId="4A49BDF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298" w:type="pct"/>
            <w:tcBorders>
              <w:tl2br w:val="nil"/>
              <w:tr2bl w:val="nil"/>
            </w:tcBorders>
            <w:noWrap w:val="0"/>
            <w:vAlign w:val="center"/>
          </w:tcPr>
          <w:p w14:paraId="6123F4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污染源调查</w:t>
            </w:r>
          </w:p>
        </w:tc>
        <w:tc>
          <w:tcPr>
            <w:tcW w:w="661" w:type="pct"/>
            <w:tcBorders>
              <w:tl2br w:val="nil"/>
              <w:tr2bl w:val="nil"/>
            </w:tcBorders>
            <w:noWrap w:val="0"/>
            <w:vAlign w:val="center"/>
          </w:tcPr>
          <w:p w14:paraId="139746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调查内容</w:t>
            </w:r>
          </w:p>
        </w:tc>
        <w:tc>
          <w:tcPr>
            <w:tcW w:w="1456" w:type="pct"/>
            <w:gridSpan w:val="7"/>
            <w:tcBorders>
              <w:tl2br w:val="nil"/>
              <w:tr2bl w:val="nil"/>
            </w:tcBorders>
            <w:noWrap w:val="0"/>
            <w:vAlign w:val="center"/>
          </w:tcPr>
          <w:p w14:paraId="174B12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项目正常排放源☑</w:t>
            </w:r>
          </w:p>
          <w:p w14:paraId="752C0C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项目非正常排放源☑</w:t>
            </w:r>
          </w:p>
          <w:p w14:paraId="72D6C6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rPr>
              <w:t>现有污染源</w:t>
            </w:r>
            <w:r>
              <w:rPr>
                <w:rFonts w:hint="eastAsia" w:cs="Times New Roman"/>
                <w:caps w:val="0"/>
                <w:snapToGrid/>
                <w:color w:val="auto"/>
                <w:spacing w:val="0"/>
                <w:w w:val="100"/>
                <w:kern w:val="0"/>
                <w:position w:val="0"/>
                <w:sz w:val="21"/>
                <w:szCs w:val="21"/>
                <w:highlight w:val="none"/>
                <w:lang w:eastAsia="zh-CN"/>
              </w:rPr>
              <w:t>□</w:t>
            </w:r>
          </w:p>
        </w:tc>
        <w:tc>
          <w:tcPr>
            <w:tcW w:w="1152" w:type="pct"/>
            <w:gridSpan w:val="8"/>
            <w:tcBorders>
              <w:tl2br w:val="nil"/>
              <w:tr2bl w:val="nil"/>
            </w:tcBorders>
            <w:noWrap w:val="0"/>
            <w:vAlign w:val="center"/>
          </w:tcPr>
          <w:p w14:paraId="709A54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rPr>
              <w:t>拟替代的污染源</w:t>
            </w:r>
            <w:r>
              <w:rPr>
                <w:rFonts w:hint="eastAsia" w:cs="Times New Roman"/>
                <w:caps w:val="0"/>
                <w:snapToGrid/>
                <w:color w:val="auto"/>
                <w:spacing w:val="0"/>
                <w:w w:val="100"/>
                <w:kern w:val="0"/>
                <w:position w:val="0"/>
                <w:sz w:val="21"/>
                <w:szCs w:val="21"/>
                <w:highlight w:val="none"/>
                <w:lang w:eastAsia="zh-CN"/>
              </w:rPr>
              <w:t>□</w:t>
            </w:r>
          </w:p>
        </w:tc>
        <w:tc>
          <w:tcPr>
            <w:tcW w:w="944" w:type="pct"/>
            <w:gridSpan w:val="8"/>
            <w:tcBorders>
              <w:tl2br w:val="nil"/>
              <w:tr2bl w:val="nil"/>
            </w:tcBorders>
            <w:noWrap w:val="0"/>
            <w:vAlign w:val="center"/>
          </w:tcPr>
          <w:p w14:paraId="016016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其他在建、建设项目污染源□</w:t>
            </w:r>
          </w:p>
        </w:tc>
        <w:tc>
          <w:tcPr>
            <w:tcW w:w="485" w:type="pct"/>
            <w:tcBorders>
              <w:tl2br w:val="nil"/>
              <w:tr2bl w:val="nil"/>
            </w:tcBorders>
            <w:noWrap w:val="0"/>
            <w:vAlign w:val="center"/>
          </w:tcPr>
          <w:p w14:paraId="0C733C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rPr>
              <w:t>区域污染源</w:t>
            </w:r>
            <w:r>
              <w:rPr>
                <w:rFonts w:hint="eastAsia" w:cs="Times New Roman"/>
                <w:caps w:val="0"/>
                <w:snapToGrid/>
                <w:color w:val="auto"/>
                <w:spacing w:val="0"/>
                <w:w w:val="100"/>
                <w:kern w:val="0"/>
                <w:position w:val="0"/>
                <w:sz w:val="21"/>
                <w:szCs w:val="21"/>
                <w:highlight w:val="none"/>
                <w:lang w:eastAsia="zh-CN"/>
              </w:rPr>
              <w:t>□</w:t>
            </w:r>
          </w:p>
        </w:tc>
      </w:tr>
      <w:tr w14:paraId="756EDD1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298" w:type="pct"/>
            <w:vMerge w:val="restart"/>
            <w:tcBorders>
              <w:tl2br w:val="nil"/>
              <w:tr2bl w:val="nil"/>
            </w:tcBorders>
            <w:noWrap w:val="0"/>
            <w:vAlign w:val="center"/>
          </w:tcPr>
          <w:p w14:paraId="108B0F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大气环境影响预测与评价</w:t>
            </w:r>
          </w:p>
        </w:tc>
        <w:tc>
          <w:tcPr>
            <w:tcW w:w="661" w:type="pct"/>
            <w:tcBorders>
              <w:tl2br w:val="nil"/>
              <w:tr2bl w:val="nil"/>
            </w:tcBorders>
            <w:noWrap w:val="0"/>
            <w:vAlign w:val="center"/>
          </w:tcPr>
          <w:p w14:paraId="05B939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预测模型</w:t>
            </w:r>
          </w:p>
        </w:tc>
        <w:tc>
          <w:tcPr>
            <w:tcW w:w="1031" w:type="dxa"/>
            <w:tcBorders>
              <w:tl2br w:val="nil"/>
              <w:tr2bl w:val="nil"/>
            </w:tcBorders>
            <w:noWrap w:val="0"/>
            <w:vAlign w:val="center"/>
          </w:tcPr>
          <w:p w14:paraId="3B4B9A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highlight w:val="none"/>
              </w:rPr>
            </w:pPr>
            <w:r>
              <w:rPr>
                <w:rFonts w:hint="default" w:ascii="Times New Roman" w:hAnsi="Times New Roman" w:eastAsia="宋体" w:cs="Times New Roman"/>
                <w:caps w:val="0"/>
                <w:snapToGrid/>
                <w:color w:val="auto"/>
                <w:spacing w:val="0"/>
                <w:w w:val="100"/>
                <w:kern w:val="0"/>
                <w:position w:val="0"/>
                <w:sz w:val="21"/>
                <w:highlight w:val="none"/>
              </w:rPr>
              <w:t>AERMOD</w:t>
            </w:r>
          </w:p>
          <w:p w14:paraId="18E53B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eastAsia" w:ascii="Times New Roman" w:hAnsi="Times New Roman" w:eastAsia="宋体" w:cs="Times New Roman"/>
                <w:caps w:val="0"/>
                <w:snapToGrid/>
                <w:color w:val="auto"/>
                <w:spacing w:val="0"/>
                <w:w w:val="100"/>
                <w:kern w:val="0"/>
                <w:position w:val="0"/>
                <w:sz w:val="21"/>
                <w:szCs w:val="21"/>
                <w:highlight w:val="none"/>
                <w:lang w:eastAsia="zh-CN"/>
              </w:rPr>
            </w:pPr>
            <w:r>
              <w:rPr>
                <w:rFonts w:hint="eastAsia" w:cs="Times New Roman"/>
                <w:caps w:val="0"/>
                <w:snapToGrid/>
                <w:color w:val="auto"/>
                <w:spacing w:val="0"/>
                <w:w w:val="100"/>
                <w:kern w:val="0"/>
                <w:position w:val="0"/>
                <w:sz w:val="21"/>
                <w:highlight w:val="none"/>
                <w:lang w:eastAsia="zh-CN"/>
              </w:rPr>
              <w:t>□</w:t>
            </w:r>
          </w:p>
        </w:tc>
        <w:tc>
          <w:tcPr>
            <w:tcW w:w="1031" w:type="dxa"/>
            <w:gridSpan w:val="4"/>
            <w:tcBorders>
              <w:tl2br w:val="nil"/>
              <w:tr2bl w:val="nil"/>
            </w:tcBorders>
            <w:noWrap w:val="0"/>
            <w:vAlign w:val="center"/>
          </w:tcPr>
          <w:p w14:paraId="7DFBF1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highlight w:val="none"/>
              </w:rPr>
              <w:t>ADMS□</w:t>
            </w:r>
          </w:p>
        </w:tc>
        <w:tc>
          <w:tcPr>
            <w:tcW w:w="576" w:type="pct"/>
            <w:gridSpan w:val="4"/>
            <w:tcBorders>
              <w:tl2br w:val="nil"/>
              <w:tr2bl w:val="nil"/>
            </w:tcBorders>
            <w:noWrap w:val="0"/>
            <w:vAlign w:val="center"/>
          </w:tcPr>
          <w:p w14:paraId="5DAB1D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AUSTAL2000□</w:t>
            </w:r>
          </w:p>
        </w:tc>
        <w:tc>
          <w:tcPr>
            <w:tcW w:w="575" w:type="pct"/>
            <w:gridSpan w:val="4"/>
            <w:tcBorders>
              <w:tl2br w:val="nil"/>
              <w:tr2bl w:val="nil"/>
            </w:tcBorders>
            <w:noWrap w:val="0"/>
            <w:vAlign w:val="center"/>
          </w:tcPr>
          <w:p w14:paraId="3F3096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EDMS/AEDT□</w:t>
            </w:r>
          </w:p>
        </w:tc>
        <w:tc>
          <w:tcPr>
            <w:tcW w:w="575" w:type="pct"/>
            <w:gridSpan w:val="5"/>
            <w:tcBorders>
              <w:tl2br w:val="nil"/>
              <w:tr2bl w:val="nil"/>
            </w:tcBorders>
            <w:noWrap w:val="0"/>
            <w:vAlign w:val="center"/>
          </w:tcPr>
          <w:p w14:paraId="61B278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CALPUFF□</w:t>
            </w:r>
          </w:p>
        </w:tc>
        <w:tc>
          <w:tcPr>
            <w:tcW w:w="578" w:type="pct"/>
            <w:gridSpan w:val="4"/>
            <w:tcBorders>
              <w:tl2br w:val="nil"/>
              <w:tr2bl w:val="nil"/>
            </w:tcBorders>
            <w:noWrap w:val="0"/>
            <w:vAlign w:val="center"/>
          </w:tcPr>
          <w:p w14:paraId="78DF3D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网格模型□</w:t>
            </w:r>
          </w:p>
        </w:tc>
        <w:tc>
          <w:tcPr>
            <w:tcW w:w="581" w:type="pct"/>
            <w:gridSpan w:val="2"/>
            <w:tcBorders>
              <w:tl2br w:val="nil"/>
              <w:tr2bl w:val="nil"/>
            </w:tcBorders>
            <w:noWrap w:val="0"/>
            <w:vAlign w:val="center"/>
          </w:tcPr>
          <w:p w14:paraId="375B7B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rPr>
              <w:t>其他</w:t>
            </w:r>
            <w:r>
              <w:rPr>
                <w:rFonts w:hint="eastAsia" w:cs="Times New Roman"/>
                <w:caps w:val="0"/>
                <w:snapToGrid/>
                <w:color w:val="auto"/>
                <w:spacing w:val="0"/>
                <w:w w:val="100"/>
                <w:kern w:val="0"/>
                <w:position w:val="0"/>
                <w:sz w:val="21"/>
                <w:szCs w:val="21"/>
                <w:highlight w:val="none"/>
                <w:lang w:eastAsia="zh-CN"/>
              </w:rPr>
              <w:t>□</w:t>
            </w:r>
          </w:p>
        </w:tc>
      </w:tr>
      <w:tr w14:paraId="093B09C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298" w:type="pct"/>
            <w:vMerge w:val="continue"/>
            <w:tcBorders>
              <w:tl2br w:val="nil"/>
              <w:tr2bl w:val="nil"/>
            </w:tcBorders>
            <w:noWrap w:val="0"/>
            <w:vAlign w:val="center"/>
          </w:tcPr>
          <w:p w14:paraId="1FE5E9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661" w:type="pct"/>
            <w:tcBorders>
              <w:tl2br w:val="nil"/>
              <w:tr2bl w:val="nil"/>
            </w:tcBorders>
            <w:noWrap w:val="0"/>
            <w:vAlign w:val="center"/>
          </w:tcPr>
          <w:p w14:paraId="095506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预测范围</w:t>
            </w:r>
          </w:p>
        </w:tc>
        <w:tc>
          <w:tcPr>
            <w:tcW w:w="1346" w:type="pct"/>
            <w:gridSpan w:val="6"/>
            <w:tcBorders>
              <w:tl2br w:val="nil"/>
              <w:tr2bl w:val="nil"/>
            </w:tcBorders>
            <w:noWrap w:val="0"/>
            <w:vAlign w:val="center"/>
          </w:tcPr>
          <w:p w14:paraId="089BD3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边长≥50km□</w:t>
            </w:r>
          </w:p>
        </w:tc>
        <w:tc>
          <w:tcPr>
            <w:tcW w:w="1346" w:type="pct"/>
            <w:gridSpan w:val="10"/>
            <w:tcBorders>
              <w:tl2br w:val="nil"/>
              <w:tr2bl w:val="nil"/>
            </w:tcBorders>
            <w:noWrap w:val="0"/>
            <w:vAlign w:val="center"/>
          </w:tcPr>
          <w:p w14:paraId="391203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边长5</w:t>
            </w: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r>
              <w:rPr>
                <w:rFonts w:hint="default" w:ascii="Times New Roman" w:hAnsi="Times New Roman" w:eastAsia="宋体" w:cs="Times New Roman"/>
                <w:caps w:val="0"/>
                <w:snapToGrid/>
                <w:color w:val="auto"/>
                <w:spacing w:val="0"/>
                <w:w w:val="100"/>
                <w:kern w:val="0"/>
                <w:position w:val="0"/>
                <w:sz w:val="21"/>
                <w:szCs w:val="21"/>
                <w:highlight w:val="none"/>
              </w:rPr>
              <w:t>50km□</w:t>
            </w:r>
          </w:p>
        </w:tc>
        <w:tc>
          <w:tcPr>
            <w:tcW w:w="1347" w:type="pct"/>
            <w:gridSpan w:val="8"/>
            <w:tcBorders>
              <w:tl2br w:val="nil"/>
              <w:tr2bl w:val="nil"/>
            </w:tcBorders>
            <w:noWrap w:val="0"/>
            <w:vAlign w:val="center"/>
          </w:tcPr>
          <w:p w14:paraId="723B37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rPr>
              <w:t>边长=5km</w:t>
            </w:r>
            <w:r>
              <w:rPr>
                <w:rFonts w:hint="eastAsia" w:cs="Times New Roman"/>
                <w:caps w:val="0"/>
                <w:snapToGrid/>
                <w:color w:val="auto"/>
                <w:spacing w:val="0"/>
                <w:w w:val="100"/>
                <w:kern w:val="0"/>
                <w:position w:val="0"/>
                <w:sz w:val="21"/>
                <w:szCs w:val="21"/>
                <w:highlight w:val="none"/>
                <w:lang w:eastAsia="zh-CN"/>
              </w:rPr>
              <w:t>☑</w:t>
            </w:r>
          </w:p>
        </w:tc>
      </w:tr>
      <w:tr w14:paraId="214CDE4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298" w:type="pct"/>
            <w:vMerge w:val="continue"/>
            <w:tcBorders>
              <w:tl2br w:val="nil"/>
              <w:tr2bl w:val="nil"/>
            </w:tcBorders>
            <w:noWrap w:val="0"/>
            <w:vAlign w:val="center"/>
          </w:tcPr>
          <w:p w14:paraId="0126F8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661" w:type="pct"/>
            <w:tcBorders>
              <w:tl2br w:val="nil"/>
              <w:tr2bl w:val="nil"/>
            </w:tcBorders>
            <w:noWrap w:val="0"/>
            <w:vAlign w:val="center"/>
          </w:tcPr>
          <w:p w14:paraId="200719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预测因子</w:t>
            </w:r>
          </w:p>
        </w:tc>
        <w:tc>
          <w:tcPr>
            <w:tcW w:w="2796" w:type="pct"/>
            <w:gridSpan w:val="17"/>
            <w:tcBorders>
              <w:tl2br w:val="nil"/>
              <w:tr2bl w:val="nil"/>
            </w:tcBorders>
            <w:noWrap w:val="0"/>
            <w:vAlign w:val="center"/>
          </w:tcPr>
          <w:p w14:paraId="7C7C9F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olor w:val="auto"/>
                <w:spacing w:val="0"/>
                <w:w w:val="100"/>
                <w:kern w:val="21"/>
                <w:position w:val="0"/>
                <w:sz w:val="21"/>
              </w:rPr>
              <w:t>预测因子（ ）</w:t>
            </w:r>
          </w:p>
        </w:tc>
        <w:tc>
          <w:tcPr>
            <w:tcW w:w="1242" w:type="pct"/>
            <w:gridSpan w:val="7"/>
            <w:tcBorders>
              <w:tl2br w:val="nil"/>
              <w:tr2bl w:val="nil"/>
            </w:tcBorders>
            <w:noWrap w:val="0"/>
            <w:vAlign w:val="center"/>
          </w:tcPr>
          <w:p w14:paraId="45873F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包括二次PM</w:t>
            </w:r>
            <w:r>
              <w:rPr>
                <w:rFonts w:hint="default" w:ascii="Times New Roman" w:hAnsi="Times New Roman" w:eastAsia="宋体" w:cs="Times New Roman"/>
                <w:caps w:val="0"/>
                <w:snapToGrid/>
                <w:color w:val="auto"/>
                <w:spacing w:val="0"/>
                <w:w w:val="100"/>
                <w:kern w:val="0"/>
                <w:position w:val="0"/>
                <w:sz w:val="21"/>
                <w:szCs w:val="21"/>
                <w:highlight w:val="none"/>
                <w:vertAlign w:val="subscript"/>
              </w:rPr>
              <w:t>2.5</w:t>
            </w:r>
            <w:r>
              <w:rPr>
                <w:rFonts w:hint="default" w:ascii="Times New Roman" w:hAnsi="Times New Roman" w:eastAsia="宋体" w:cs="Times New Roman"/>
                <w:caps w:val="0"/>
                <w:snapToGrid/>
                <w:color w:val="auto"/>
                <w:spacing w:val="0"/>
                <w:w w:val="100"/>
                <w:kern w:val="0"/>
                <w:position w:val="0"/>
                <w:sz w:val="21"/>
                <w:szCs w:val="21"/>
                <w:highlight w:val="none"/>
              </w:rPr>
              <w:t>□</w:t>
            </w:r>
          </w:p>
          <w:p w14:paraId="2789D6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rPr>
              <w:t>不包括二次PM</w:t>
            </w:r>
            <w:r>
              <w:rPr>
                <w:rFonts w:hint="default" w:ascii="Times New Roman" w:hAnsi="Times New Roman" w:eastAsia="宋体" w:cs="Times New Roman"/>
                <w:caps w:val="0"/>
                <w:snapToGrid/>
                <w:color w:val="auto"/>
                <w:spacing w:val="0"/>
                <w:w w:val="100"/>
                <w:kern w:val="0"/>
                <w:position w:val="0"/>
                <w:sz w:val="21"/>
                <w:szCs w:val="21"/>
                <w:highlight w:val="none"/>
                <w:vertAlign w:val="subscript"/>
              </w:rPr>
              <w:t>2.5</w:t>
            </w:r>
            <w:r>
              <w:rPr>
                <w:rFonts w:hint="eastAsia" w:cs="Times New Roman"/>
                <w:caps w:val="0"/>
                <w:snapToGrid/>
                <w:color w:val="auto"/>
                <w:spacing w:val="0"/>
                <w:w w:val="100"/>
                <w:kern w:val="0"/>
                <w:position w:val="0"/>
                <w:sz w:val="21"/>
                <w:szCs w:val="21"/>
                <w:highlight w:val="none"/>
                <w:lang w:eastAsia="zh-CN"/>
              </w:rPr>
              <w:t>□</w:t>
            </w:r>
          </w:p>
        </w:tc>
      </w:tr>
      <w:tr w14:paraId="269EFED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298" w:type="pct"/>
            <w:vMerge w:val="continue"/>
            <w:tcBorders>
              <w:tl2br w:val="nil"/>
              <w:tr2bl w:val="nil"/>
            </w:tcBorders>
            <w:noWrap w:val="0"/>
            <w:vAlign w:val="center"/>
          </w:tcPr>
          <w:p w14:paraId="7B0AED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661" w:type="pct"/>
            <w:tcBorders>
              <w:tl2br w:val="nil"/>
              <w:tr2bl w:val="nil"/>
            </w:tcBorders>
            <w:noWrap w:val="0"/>
            <w:vAlign w:val="center"/>
          </w:tcPr>
          <w:p w14:paraId="43702D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正常排放短期浓度贡献值</w:t>
            </w:r>
          </w:p>
        </w:tc>
        <w:tc>
          <w:tcPr>
            <w:tcW w:w="2796" w:type="pct"/>
            <w:gridSpan w:val="17"/>
            <w:tcBorders>
              <w:tl2br w:val="nil"/>
              <w:tr2bl w:val="nil"/>
            </w:tcBorders>
            <w:noWrap w:val="0"/>
            <w:vAlign w:val="center"/>
          </w:tcPr>
          <w:p w14:paraId="2EB728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C</w:t>
            </w: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本</w:t>
            </w:r>
            <w:r>
              <w:rPr>
                <w:rFonts w:hint="default" w:ascii="Times New Roman" w:hAnsi="Times New Roman" w:eastAsia="宋体" w:cs="Times New Roman"/>
                <w:caps w:val="0"/>
                <w:snapToGrid/>
                <w:color w:val="auto"/>
                <w:spacing w:val="0"/>
                <w:w w:val="100"/>
                <w:kern w:val="0"/>
                <w:position w:val="0"/>
                <w:sz w:val="21"/>
                <w:szCs w:val="21"/>
                <w:highlight w:val="none"/>
                <w:vertAlign w:val="subscript"/>
                <w:lang w:eastAsia="zh-CN"/>
              </w:rPr>
              <w:t>项目</w:t>
            </w:r>
            <w:r>
              <w:rPr>
                <w:rFonts w:hint="default" w:ascii="Times New Roman" w:hAnsi="Times New Roman" w:eastAsia="宋体" w:cs="Times New Roman"/>
                <w:caps w:val="0"/>
                <w:snapToGrid/>
                <w:color w:val="auto"/>
                <w:spacing w:val="0"/>
                <w:w w:val="100"/>
                <w:kern w:val="0"/>
                <w:position w:val="0"/>
                <w:sz w:val="21"/>
                <w:szCs w:val="21"/>
                <w:highlight w:val="none"/>
                <w:lang w:eastAsia="zh-CN"/>
              </w:rPr>
              <w:t>最大占标率≤100%</w:t>
            </w:r>
            <w:r>
              <w:rPr>
                <w:rFonts w:hint="eastAsia" w:cs="Times New Roman"/>
                <w:caps w:val="0"/>
                <w:snapToGrid/>
                <w:color w:val="auto"/>
                <w:spacing w:val="0"/>
                <w:w w:val="100"/>
                <w:kern w:val="0"/>
                <w:position w:val="0"/>
                <w:sz w:val="21"/>
                <w:szCs w:val="21"/>
                <w:highlight w:val="none"/>
                <w:lang w:eastAsia="zh-CN"/>
              </w:rPr>
              <w:t>□</w:t>
            </w:r>
          </w:p>
        </w:tc>
        <w:tc>
          <w:tcPr>
            <w:tcW w:w="1242" w:type="pct"/>
            <w:gridSpan w:val="7"/>
            <w:tcBorders>
              <w:tl2br w:val="nil"/>
              <w:tr2bl w:val="nil"/>
            </w:tcBorders>
            <w:noWrap w:val="0"/>
            <w:vAlign w:val="center"/>
          </w:tcPr>
          <w:p w14:paraId="38C4E5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C</w:t>
            </w:r>
            <w:r>
              <w:rPr>
                <w:rFonts w:hint="default" w:ascii="Times New Roman" w:hAnsi="Times New Roman" w:eastAsia="宋体" w:cs="Times New Roman"/>
                <w:caps w:val="0"/>
                <w:snapToGrid/>
                <w:color w:val="auto"/>
                <w:spacing w:val="0"/>
                <w:w w:val="100"/>
                <w:kern w:val="0"/>
                <w:position w:val="0"/>
                <w:sz w:val="21"/>
                <w:szCs w:val="21"/>
                <w:highlight w:val="none"/>
                <w:vertAlign w:val="subscript"/>
                <w:lang w:val="en-US" w:eastAsia="zh-CN"/>
              </w:rPr>
              <w:t>本</w:t>
            </w:r>
            <w:r>
              <w:rPr>
                <w:rFonts w:hint="default" w:ascii="Times New Roman" w:hAnsi="Times New Roman" w:eastAsia="宋体" w:cs="Times New Roman"/>
                <w:caps w:val="0"/>
                <w:snapToGrid/>
                <w:color w:val="auto"/>
                <w:spacing w:val="0"/>
                <w:w w:val="100"/>
                <w:kern w:val="0"/>
                <w:position w:val="0"/>
                <w:sz w:val="21"/>
                <w:szCs w:val="21"/>
                <w:highlight w:val="none"/>
                <w:vertAlign w:val="subscript"/>
                <w:lang w:eastAsia="zh-CN"/>
              </w:rPr>
              <w:t>项目</w:t>
            </w:r>
            <w:r>
              <w:rPr>
                <w:rFonts w:hint="default" w:ascii="Times New Roman" w:hAnsi="Times New Roman" w:eastAsia="宋体" w:cs="Times New Roman"/>
                <w:caps w:val="0"/>
                <w:snapToGrid/>
                <w:color w:val="auto"/>
                <w:spacing w:val="0"/>
                <w:w w:val="100"/>
                <w:kern w:val="0"/>
                <w:position w:val="0"/>
                <w:sz w:val="21"/>
                <w:szCs w:val="21"/>
                <w:highlight w:val="none"/>
                <w:lang w:eastAsia="zh-CN"/>
              </w:rPr>
              <w:t>最大占标率＞100%□</w:t>
            </w:r>
          </w:p>
        </w:tc>
      </w:tr>
      <w:tr w14:paraId="341E5AD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298" w:type="pct"/>
            <w:vMerge w:val="continue"/>
            <w:tcBorders>
              <w:tl2br w:val="nil"/>
              <w:tr2bl w:val="nil"/>
            </w:tcBorders>
            <w:noWrap w:val="0"/>
            <w:vAlign w:val="center"/>
          </w:tcPr>
          <w:p w14:paraId="6D7F36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p>
        </w:tc>
        <w:tc>
          <w:tcPr>
            <w:tcW w:w="661" w:type="pct"/>
            <w:vMerge w:val="restart"/>
            <w:tcBorders>
              <w:tl2br w:val="nil"/>
              <w:tr2bl w:val="nil"/>
            </w:tcBorders>
            <w:noWrap w:val="0"/>
            <w:vAlign w:val="center"/>
          </w:tcPr>
          <w:p w14:paraId="3C4477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正常排放年均浓度贡献值</w:t>
            </w:r>
          </w:p>
        </w:tc>
        <w:tc>
          <w:tcPr>
            <w:tcW w:w="1060" w:type="pct"/>
            <w:gridSpan w:val="3"/>
            <w:tcBorders>
              <w:tl2br w:val="nil"/>
              <w:tr2bl w:val="nil"/>
            </w:tcBorders>
            <w:noWrap w:val="0"/>
            <w:vAlign w:val="center"/>
          </w:tcPr>
          <w:p w14:paraId="61350C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一类区</w:t>
            </w:r>
          </w:p>
        </w:tc>
        <w:tc>
          <w:tcPr>
            <w:tcW w:w="1735" w:type="pct"/>
            <w:gridSpan w:val="14"/>
            <w:tcBorders>
              <w:tl2br w:val="nil"/>
              <w:tr2bl w:val="nil"/>
            </w:tcBorders>
            <w:noWrap w:val="0"/>
            <w:vAlign w:val="center"/>
          </w:tcPr>
          <w:p w14:paraId="3F08C2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C</w:t>
            </w: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本</w:t>
            </w:r>
            <w:r>
              <w:rPr>
                <w:rFonts w:hint="default" w:ascii="Times New Roman" w:hAnsi="Times New Roman" w:eastAsia="宋体" w:cs="Times New Roman"/>
                <w:caps w:val="0"/>
                <w:snapToGrid/>
                <w:color w:val="auto"/>
                <w:spacing w:val="0"/>
                <w:w w:val="100"/>
                <w:kern w:val="0"/>
                <w:position w:val="0"/>
                <w:sz w:val="21"/>
                <w:szCs w:val="21"/>
                <w:highlight w:val="none"/>
                <w:vertAlign w:val="subscript"/>
                <w:lang w:eastAsia="zh-CN"/>
              </w:rPr>
              <w:t>项目</w:t>
            </w:r>
            <w:r>
              <w:rPr>
                <w:rFonts w:hint="default" w:ascii="Times New Roman" w:hAnsi="Times New Roman" w:eastAsia="宋体" w:cs="Times New Roman"/>
                <w:caps w:val="0"/>
                <w:snapToGrid/>
                <w:color w:val="auto"/>
                <w:spacing w:val="0"/>
                <w:w w:val="100"/>
                <w:kern w:val="0"/>
                <w:position w:val="0"/>
                <w:sz w:val="21"/>
                <w:szCs w:val="21"/>
                <w:highlight w:val="none"/>
                <w:lang w:eastAsia="zh-CN"/>
              </w:rPr>
              <w:t>最大占标率≤10%□</w:t>
            </w:r>
          </w:p>
        </w:tc>
        <w:tc>
          <w:tcPr>
            <w:tcW w:w="1242" w:type="pct"/>
            <w:gridSpan w:val="7"/>
            <w:tcBorders>
              <w:tl2br w:val="nil"/>
              <w:tr2bl w:val="nil"/>
            </w:tcBorders>
            <w:noWrap w:val="0"/>
            <w:vAlign w:val="center"/>
          </w:tcPr>
          <w:p w14:paraId="2B738E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C</w:t>
            </w:r>
            <w:r>
              <w:rPr>
                <w:rFonts w:hint="default" w:ascii="Times New Roman" w:hAnsi="Times New Roman" w:eastAsia="宋体" w:cs="Times New Roman"/>
                <w:caps w:val="0"/>
                <w:snapToGrid/>
                <w:color w:val="auto"/>
                <w:spacing w:val="0"/>
                <w:w w:val="100"/>
                <w:kern w:val="0"/>
                <w:position w:val="0"/>
                <w:sz w:val="21"/>
                <w:szCs w:val="21"/>
                <w:highlight w:val="none"/>
                <w:vertAlign w:val="subscript"/>
                <w:lang w:eastAsia="zh-CN"/>
              </w:rPr>
              <w:t>本项目</w:t>
            </w:r>
            <w:r>
              <w:rPr>
                <w:rFonts w:hint="default" w:ascii="Times New Roman" w:hAnsi="Times New Roman" w:eastAsia="宋体" w:cs="Times New Roman"/>
                <w:caps w:val="0"/>
                <w:snapToGrid/>
                <w:color w:val="auto"/>
                <w:spacing w:val="0"/>
                <w:w w:val="100"/>
                <w:kern w:val="0"/>
                <w:position w:val="0"/>
                <w:sz w:val="21"/>
                <w:szCs w:val="21"/>
                <w:highlight w:val="none"/>
                <w:lang w:eastAsia="zh-CN"/>
              </w:rPr>
              <w:t>最大占标率＞10%□</w:t>
            </w:r>
          </w:p>
        </w:tc>
      </w:tr>
      <w:tr w14:paraId="5EA31EE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298" w:type="pct"/>
            <w:vMerge w:val="continue"/>
            <w:tcBorders>
              <w:tl2br w:val="nil"/>
              <w:tr2bl w:val="nil"/>
            </w:tcBorders>
            <w:noWrap w:val="0"/>
            <w:vAlign w:val="center"/>
          </w:tcPr>
          <w:p w14:paraId="0336BC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p>
        </w:tc>
        <w:tc>
          <w:tcPr>
            <w:tcW w:w="661" w:type="pct"/>
            <w:vMerge w:val="continue"/>
            <w:tcBorders>
              <w:tl2br w:val="nil"/>
              <w:tr2bl w:val="nil"/>
            </w:tcBorders>
            <w:noWrap w:val="0"/>
            <w:vAlign w:val="center"/>
          </w:tcPr>
          <w:p w14:paraId="723D58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p>
        </w:tc>
        <w:tc>
          <w:tcPr>
            <w:tcW w:w="1060" w:type="pct"/>
            <w:gridSpan w:val="3"/>
            <w:tcBorders>
              <w:tl2br w:val="nil"/>
              <w:tr2bl w:val="nil"/>
            </w:tcBorders>
            <w:noWrap w:val="0"/>
            <w:vAlign w:val="center"/>
          </w:tcPr>
          <w:p w14:paraId="1049BA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二类区</w:t>
            </w:r>
          </w:p>
        </w:tc>
        <w:tc>
          <w:tcPr>
            <w:tcW w:w="1735" w:type="pct"/>
            <w:gridSpan w:val="14"/>
            <w:tcBorders>
              <w:tl2br w:val="nil"/>
              <w:tr2bl w:val="nil"/>
            </w:tcBorders>
            <w:noWrap w:val="0"/>
            <w:vAlign w:val="center"/>
          </w:tcPr>
          <w:p w14:paraId="31D2FE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C</w:t>
            </w: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本</w:t>
            </w:r>
            <w:r>
              <w:rPr>
                <w:rFonts w:hint="default" w:ascii="Times New Roman" w:hAnsi="Times New Roman" w:eastAsia="宋体" w:cs="Times New Roman"/>
                <w:caps w:val="0"/>
                <w:snapToGrid/>
                <w:color w:val="auto"/>
                <w:spacing w:val="0"/>
                <w:w w:val="100"/>
                <w:kern w:val="0"/>
                <w:position w:val="0"/>
                <w:sz w:val="21"/>
                <w:szCs w:val="21"/>
                <w:highlight w:val="none"/>
                <w:vertAlign w:val="subscript"/>
                <w:lang w:eastAsia="zh-CN"/>
              </w:rPr>
              <w:t>项目</w:t>
            </w:r>
            <w:r>
              <w:rPr>
                <w:rFonts w:hint="default" w:ascii="Times New Roman" w:hAnsi="Times New Roman" w:eastAsia="宋体" w:cs="Times New Roman"/>
                <w:caps w:val="0"/>
                <w:snapToGrid/>
                <w:color w:val="auto"/>
                <w:spacing w:val="0"/>
                <w:w w:val="100"/>
                <w:kern w:val="0"/>
                <w:position w:val="0"/>
                <w:sz w:val="21"/>
                <w:szCs w:val="21"/>
                <w:highlight w:val="none"/>
                <w:lang w:eastAsia="zh-CN"/>
              </w:rPr>
              <w:t>最大占标率≤30%</w:t>
            </w:r>
            <w:r>
              <w:rPr>
                <w:rFonts w:hint="eastAsia" w:cs="Times New Roman"/>
                <w:caps w:val="0"/>
                <w:snapToGrid/>
                <w:color w:val="auto"/>
                <w:spacing w:val="0"/>
                <w:w w:val="100"/>
                <w:kern w:val="0"/>
                <w:position w:val="0"/>
                <w:sz w:val="21"/>
                <w:szCs w:val="21"/>
                <w:highlight w:val="none"/>
                <w:lang w:eastAsia="zh-CN"/>
              </w:rPr>
              <w:t>□</w:t>
            </w:r>
          </w:p>
        </w:tc>
        <w:tc>
          <w:tcPr>
            <w:tcW w:w="1242" w:type="pct"/>
            <w:gridSpan w:val="7"/>
            <w:tcBorders>
              <w:tl2br w:val="nil"/>
              <w:tr2bl w:val="nil"/>
            </w:tcBorders>
            <w:noWrap w:val="0"/>
            <w:vAlign w:val="center"/>
          </w:tcPr>
          <w:p w14:paraId="3141CF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C</w:t>
            </w:r>
            <w:r>
              <w:rPr>
                <w:rFonts w:hint="default" w:ascii="Times New Roman" w:hAnsi="Times New Roman" w:eastAsia="宋体" w:cs="Times New Roman"/>
                <w:caps w:val="0"/>
                <w:snapToGrid/>
                <w:color w:val="auto"/>
                <w:spacing w:val="0"/>
                <w:w w:val="100"/>
                <w:kern w:val="0"/>
                <w:position w:val="0"/>
                <w:sz w:val="21"/>
                <w:szCs w:val="21"/>
                <w:highlight w:val="none"/>
                <w:vertAlign w:val="subscript"/>
                <w:lang w:eastAsia="zh-CN"/>
              </w:rPr>
              <w:t>本项目</w:t>
            </w:r>
            <w:r>
              <w:rPr>
                <w:rFonts w:hint="default" w:ascii="Times New Roman" w:hAnsi="Times New Roman" w:eastAsia="宋体" w:cs="Times New Roman"/>
                <w:caps w:val="0"/>
                <w:snapToGrid/>
                <w:color w:val="auto"/>
                <w:spacing w:val="0"/>
                <w:w w:val="100"/>
                <w:kern w:val="0"/>
                <w:position w:val="0"/>
                <w:sz w:val="21"/>
                <w:szCs w:val="21"/>
                <w:highlight w:val="none"/>
                <w:lang w:eastAsia="zh-CN"/>
              </w:rPr>
              <w:t>最大占标率＞30%□</w:t>
            </w:r>
          </w:p>
        </w:tc>
      </w:tr>
      <w:tr w14:paraId="38C418B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298" w:type="pct"/>
            <w:vMerge w:val="continue"/>
            <w:tcBorders>
              <w:tl2br w:val="nil"/>
              <w:tr2bl w:val="nil"/>
            </w:tcBorders>
            <w:noWrap w:val="0"/>
            <w:vAlign w:val="center"/>
          </w:tcPr>
          <w:p w14:paraId="64FEB8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p>
        </w:tc>
        <w:tc>
          <w:tcPr>
            <w:tcW w:w="661" w:type="pct"/>
            <w:tcBorders>
              <w:tl2br w:val="nil"/>
              <w:tr2bl w:val="nil"/>
            </w:tcBorders>
            <w:noWrap w:val="0"/>
            <w:vAlign w:val="center"/>
          </w:tcPr>
          <w:p w14:paraId="414017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非正常排放1h浓度贡献值</w:t>
            </w:r>
          </w:p>
        </w:tc>
        <w:tc>
          <w:tcPr>
            <w:tcW w:w="1060" w:type="pct"/>
            <w:gridSpan w:val="3"/>
            <w:tcBorders>
              <w:tl2br w:val="nil"/>
              <w:tr2bl w:val="nil"/>
            </w:tcBorders>
            <w:noWrap w:val="0"/>
            <w:vAlign w:val="center"/>
          </w:tcPr>
          <w:p w14:paraId="1938CF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非正常持续时长（</w:t>
            </w:r>
            <w:r>
              <w:rPr>
                <w:rFonts w:hint="eastAsia" w:cs="Times New Roman"/>
                <w:caps w:val="0"/>
                <w:snapToGrid/>
                <w:color w:val="auto"/>
                <w:spacing w:val="0"/>
                <w:w w:val="100"/>
                <w:kern w:val="0"/>
                <w:position w:val="0"/>
                <w:sz w:val="21"/>
                <w:szCs w:val="21"/>
                <w:highlight w:val="none"/>
                <w:lang w:val="en-US" w:eastAsia="zh-CN"/>
              </w:rPr>
              <w:t xml:space="preserve"> </w:t>
            </w:r>
            <w:r>
              <w:rPr>
                <w:rFonts w:hint="default" w:ascii="Times New Roman" w:hAnsi="Times New Roman" w:eastAsia="宋体" w:cs="Times New Roman"/>
                <w:caps w:val="0"/>
                <w:snapToGrid/>
                <w:color w:val="auto"/>
                <w:spacing w:val="0"/>
                <w:w w:val="100"/>
                <w:kern w:val="0"/>
                <w:position w:val="0"/>
                <w:sz w:val="21"/>
                <w:szCs w:val="21"/>
                <w:highlight w:val="none"/>
                <w:lang w:eastAsia="zh-CN"/>
              </w:rPr>
              <w:t>）h</w:t>
            </w:r>
          </w:p>
        </w:tc>
        <w:tc>
          <w:tcPr>
            <w:tcW w:w="1735" w:type="pct"/>
            <w:gridSpan w:val="14"/>
            <w:tcBorders>
              <w:tl2br w:val="nil"/>
              <w:tr2bl w:val="nil"/>
            </w:tcBorders>
            <w:noWrap w:val="0"/>
            <w:vAlign w:val="center"/>
          </w:tcPr>
          <w:p w14:paraId="57F4CB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rPr>
              <w:t>C</w:t>
            </w:r>
            <w:r>
              <w:rPr>
                <w:rFonts w:hint="default" w:ascii="Times New Roman" w:hAnsi="Times New Roman" w:eastAsia="宋体" w:cs="Times New Roman"/>
                <w:caps w:val="0"/>
                <w:snapToGrid/>
                <w:color w:val="auto"/>
                <w:spacing w:val="0"/>
                <w:w w:val="100"/>
                <w:kern w:val="0"/>
                <w:position w:val="0"/>
                <w:sz w:val="21"/>
                <w:szCs w:val="21"/>
                <w:highlight w:val="none"/>
                <w:vertAlign w:val="subscript"/>
              </w:rPr>
              <w:t>非正常</w:t>
            </w:r>
            <w:r>
              <w:rPr>
                <w:rFonts w:hint="default" w:ascii="Times New Roman" w:hAnsi="Times New Roman" w:eastAsia="宋体" w:cs="Times New Roman"/>
                <w:caps w:val="0"/>
                <w:snapToGrid/>
                <w:color w:val="auto"/>
                <w:spacing w:val="0"/>
                <w:w w:val="100"/>
                <w:kern w:val="0"/>
                <w:position w:val="0"/>
                <w:sz w:val="21"/>
                <w:szCs w:val="21"/>
                <w:highlight w:val="none"/>
              </w:rPr>
              <w:t>占标率≤100%</w:t>
            </w:r>
            <w:r>
              <w:rPr>
                <w:rFonts w:hint="eastAsia" w:cs="Times New Roman"/>
                <w:caps w:val="0"/>
                <w:snapToGrid/>
                <w:color w:val="auto"/>
                <w:spacing w:val="0"/>
                <w:w w:val="100"/>
                <w:kern w:val="0"/>
                <w:position w:val="0"/>
                <w:sz w:val="21"/>
                <w:szCs w:val="21"/>
                <w:highlight w:val="none"/>
                <w:lang w:eastAsia="zh-CN"/>
              </w:rPr>
              <w:t>□</w:t>
            </w:r>
          </w:p>
        </w:tc>
        <w:tc>
          <w:tcPr>
            <w:tcW w:w="1242" w:type="pct"/>
            <w:gridSpan w:val="7"/>
            <w:tcBorders>
              <w:tl2br w:val="nil"/>
              <w:tr2bl w:val="nil"/>
            </w:tcBorders>
            <w:noWrap w:val="0"/>
            <w:vAlign w:val="center"/>
          </w:tcPr>
          <w:p w14:paraId="39CF17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rPr>
              <w:t>C</w:t>
            </w:r>
            <w:r>
              <w:rPr>
                <w:rFonts w:hint="default" w:ascii="Times New Roman" w:hAnsi="Times New Roman" w:eastAsia="宋体" w:cs="Times New Roman"/>
                <w:caps w:val="0"/>
                <w:snapToGrid/>
                <w:color w:val="auto"/>
                <w:spacing w:val="0"/>
                <w:w w:val="100"/>
                <w:kern w:val="0"/>
                <w:position w:val="0"/>
                <w:sz w:val="21"/>
                <w:szCs w:val="21"/>
                <w:highlight w:val="none"/>
                <w:vertAlign w:val="subscript"/>
              </w:rPr>
              <w:t>非正常</w:t>
            </w:r>
            <w:r>
              <w:rPr>
                <w:rFonts w:hint="default" w:ascii="Times New Roman" w:hAnsi="Times New Roman" w:eastAsia="宋体" w:cs="Times New Roman"/>
                <w:caps w:val="0"/>
                <w:snapToGrid/>
                <w:color w:val="auto"/>
                <w:spacing w:val="0"/>
                <w:w w:val="100"/>
                <w:kern w:val="0"/>
                <w:position w:val="0"/>
                <w:sz w:val="21"/>
                <w:szCs w:val="21"/>
                <w:highlight w:val="none"/>
              </w:rPr>
              <w:t>占标率＞100%</w:t>
            </w: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p>
        </w:tc>
      </w:tr>
      <w:tr w14:paraId="142D82E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298" w:type="pct"/>
            <w:vMerge w:val="continue"/>
            <w:tcBorders>
              <w:tl2br w:val="nil"/>
              <w:tr2bl w:val="nil"/>
            </w:tcBorders>
            <w:noWrap w:val="0"/>
            <w:vAlign w:val="center"/>
          </w:tcPr>
          <w:p w14:paraId="3471A1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661" w:type="pct"/>
            <w:tcBorders>
              <w:tl2br w:val="nil"/>
              <w:tr2bl w:val="nil"/>
            </w:tcBorders>
            <w:noWrap w:val="0"/>
            <w:vAlign w:val="center"/>
          </w:tcPr>
          <w:p w14:paraId="1AEA28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保证率日平均浓度和年平均浓度叠加值</w:t>
            </w:r>
          </w:p>
        </w:tc>
        <w:tc>
          <w:tcPr>
            <w:tcW w:w="2358" w:type="pct"/>
            <w:gridSpan w:val="14"/>
            <w:tcBorders>
              <w:tl2br w:val="nil"/>
              <w:tr2bl w:val="nil"/>
            </w:tcBorders>
            <w:noWrap w:val="0"/>
            <w:vAlign w:val="center"/>
          </w:tcPr>
          <w:p w14:paraId="55C641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rPr>
              <w:t>C</w:t>
            </w:r>
            <w:r>
              <w:rPr>
                <w:rFonts w:hint="default" w:ascii="Times New Roman" w:hAnsi="Times New Roman" w:eastAsia="宋体" w:cs="Times New Roman"/>
                <w:caps w:val="0"/>
                <w:snapToGrid/>
                <w:color w:val="auto"/>
                <w:spacing w:val="0"/>
                <w:w w:val="100"/>
                <w:kern w:val="0"/>
                <w:position w:val="0"/>
                <w:sz w:val="21"/>
                <w:szCs w:val="21"/>
                <w:highlight w:val="none"/>
                <w:vertAlign w:val="subscript"/>
              </w:rPr>
              <w:t>叠加</w:t>
            </w:r>
            <w:r>
              <w:rPr>
                <w:rFonts w:hint="default" w:ascii="Times New Roman" w:hAnsi="Times New Roman" w:eastAsia="宋体" w:cs="Times New Roman"/>
                <w:caps w:val="0"/>
                <w:snapToGrid/>
                <w:color w:val="auto"/>
                <w:spacing w:val="0"/>
                <w:w w:val="100"/>
                <w:kern w:val="0"/>
                <w:position w:val="0"/>
                <w:sz w:val="21"/>
                <w:szCs w:val="21"/>
                <w:highlight w:val="none"/>
              </w:rPr>
              <w:t>达标</w:t>
            </w:r>
            <w:r>
              <w:rPr>
                <w:rFonts w:hint="eastAsia" w:cs="Times New Roman"/>
                <w:caps w:val="0"/>
                <w:snapToGrid/>
                <w:color w:val="auto"/>
                <w:spacing w:val="0"/>
                <w:w w:val="100"/>
                <w:kern w:val="0"/>
                <w:position w:val="0"/>
                <w:sz w:val="21"/>
                <w:szCs w:val="21"/>
                <w:highlight w:val="none"/>
                <w:lang w:eastAsia="zh-CN"/>
              </w:rPr>
              <w:t>□</w:t>
            </w:r>
          </w:p>
        </w:tc>
        <w:tc>
          <w:tcPr>
            <w:tcW w:w="1680" w:type="pct"/>
            <w:gridSpan w:val="10"/>
            <w:tcBorders>
              <w:tl2br w:val="nil"/>
              <w:tr2bl w:val="nil"/>
            </w:tcBorders>
            <w:noWrap w:val="0"/>
            <w:vAlign w:val="center"/>
          </w:tcPr>
          <w:p w14:paraId="190117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C</w:t>
            </w:r>
            <w:r>
              <w:rPr>
                <w:rFonts w:hint="default" w:ascii="Times New Roman" w:hAnsi="Times New Roman" w:eastAsia="宋体" w:cs="Times New Roman"/>
                <w:caps w:val="0"/>
                <w:snapToGrid/>
                <w:color w:val="auto"/>
                <w:spacing w:val="0"/>
                <w:w w:val="100"/>
                <w:kern w:val="0"/>
                <w:position w:val="0"/>
                <w:sz w:val="21"/>
                <w:szCs w:val="21"/>
                <w:highlight w:val="none"/>
                <w:vertAlign w:val="subscript"/>
              </w:rPr>
              <w:t>叠加</w:t>
            </w:r>
            <w:r>
              <w:rPr>
                <w:rFonts w:hint="default" w:ascii="Times New Roman" w:hAnsi="Times New Roman" w:eastAsia="宋体" w:cs="Times New Roman"/>
                <w:caps w:val="0"/>
                <w:snapToGrid/>
                <w:color w:val="auto"/>
                <w:spacing w:val="0"/>
                <w:w w:val="100"/>
                <w:kern w:val="0"/>
                <w:position w:val="0"/>
                <w:sz w:val="21"/>
                <w:szCs w:val="21"/>
                <w:highlight w:val="none"/>
              </w:rPr>
              <w:t>不达标□</w:t>
            </w:r>
          </w:p>
        </w:tc>
      </w:tr>
      <w:tr w14:paraId="0AF5790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298" w:type="pct"/>
            <w:vMerge w:val="continue"/>
            <w:tcBorders>
              <w:tl2br w:val="nil"/>
              <w:tr2bl w:val="nil"/>
            </w:tcBorders>
            <w:noWrap w:val="0"/>
            <w:vAlign w:val="center"/>
          </w:tcPr>
          <w:p w14:paraId="417AA4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661" w:type="pct"/>
            <w:tcBorders>
              <w:tl2br w:val="nil"/>
              <w:tr2bl w:val="nil"/>
            </w:tcBorders>
            <w:noWrap w:val="0"/>
            <w:vAlign w:val="center"/>
          </w:tcPr>
          <w:p w14:paraId="4242DC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区域环境质量的整体变化情况</w:t>
            </w:r>
          </w:p>
        </w:tc>
        <w:tc>
          <w:tcPr>
            <w:tcW w:w="2358" w:type="pct"/>
            <w:gridSpan w:val="14"/>
            <w:tcBorders>
              <w:tl2br w:val="nil"/>
              <w:tr2bl w:val="nil"/>
            </w:tcBorders>
            <w:noWrap w:val="0"/>
            <w:vAlign w:val="center"/>
          </w:tcPr>
          <w:p w14:paraId="02ED42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k≤-20%□</w:t>
            </w:r>
          </w:p>
        </w:tc>
        <w:tc>
          <w:tcPr>
            <w:tcW w:w="1680" w:type="pct"/>
            <w:gridSpan w:val="10"/>
            <w:tcBorders>
              <w:tl2br w:val="nil"/>
              <w:tr2bl w:val="nil"/>
            </w:tcBorders>
            <w:noWrap w:val="0"/>
            <w:vAlign w:val="center"/>
          </w:tcPr>
          <w:p w14:paraId="3CF50E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k＞-20%</w:t>
            </w:r>
          </w:p>
        </w:tc>
      </w:tr>
      <w:tr w14:paraId="7B8FD5C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298" w:type="pct"/>
            <w:vMerge w:val="restart"/>
            <w:tcBorders>
              <w:tl2br w:val="nil"/>
              <w:tr2bl w:val="nil"/>
            </w:tcBorders>
            <w:noWrap w:val="0"/>
            <w:vAlign w:val="center"/>
          </w:tcPr>
          <w:p w14:paraId="33151B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环境监测计划</w:t>
            </w:r>
          </w:p>
        </w:tc>
        <w:tc>
          <w:tcPr>
            <w:tcW w:w="661" w:type="pct"/>
            <w:tcBorders>
              <w:tl2br w:val="nil"/>
              <w:tr2bl w:val="nil"/>
            </w:tcBorders>
            <w:noWrap w:val="0"/>
            <w:vAlign w:val="center"/>
          </w:tcPr>
          <w:p w14:paraId="0DF374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污染源监测</w:t>
            </w:r>
          </w:p>
        </w:tc>
        <w:tc>
          <w:tcPr>
            <w:tcW w:w="1783" w:type="pct"/>
            <w:gridSpan w:val="10"/>
            <w:tcBorders>
              <w:tl2br w:val="nil"/>
              <w:tr2bl w:val="nil"/>
            </w:tcBorders>
            <w:noWrap w:val="0"/>
            <w:vAlign w:val="center"/>
          </w:tcPr>
          <w:p w14:paraId="503D16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rPr>
              <w:t>监测因子：TSP</w:t>
            </w: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、非甲烷总烃</w:t>
            </w:r>
          </w:p>
        </w:tc>
        <w:tc>
          <w:tcPr>
            <w:tcW w:w="1571" w:type="pct"/>
            <w:gridSpan w:val="11"/>
            <w:tcBorders>
              <w:tl2br w:val="nil"/>
              <w:tr2bl w:val="nil"/>
            </w:tcBorders>
            <w:noWrap w:val="0"/>
            <w:vAlign w:val="center"/>
          </w:tcPr>
          <w:p w14:paraId="4E01E0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有组织废气监测☑</w:t>
            </w:r>
          </w:p>
          <w:p w14:paraId="481E65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无组织废气监测☑</w:t>
            </w:r>
          </w:p>
        </w:tc>
        <w:tc>
          <w:tcPr>
            <w:tcW w:w="683" w:type="pct"/>
            <w:gridSpan w:val="3"/>
            <w:tcBorders>
              <w:tl2br w:val="nil"/>
              <w:tr2bl w:val="nil"/>
            </w:tcBorders>
            <w:noWrap w:val="0"/>
            <w:vAlign w:val="center"/>
          </w:tcPr>
          <w:p w14:paraId="5B1DAD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无监测□</w:t>
            </w:r>
          </w:p>
        </w:tc>
      </w:tr>
      <w:tr w14:paraId="211D2DC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298" w:type="pct"/>
            <w:vMerge w:val="continue"/>
            <w:tcBorders>
              <w:tl2br w:val="nil"/>
              <w:tr2bl w:val="nil"/>
            </w:tcBorders>
            <w:noWrap w:val="0"/>
            <w:vAlign w:val="center"/>
          </w:tcPr>
          <w:p w14:paraId="690A34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661" w:type="pct"/>
            <w:tcBorders>
              <w:tl2br w:val="nil"/>
              <w:tr2bl w:val="nil"/>
            </w:tcBorders>
            <w:noWrap w:val="0"/>
            <w:vAlign w:val="center"/>
          </w:tcPr>
          <w:p w14:paraId="5A2154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环境质量</w:t>
            </w: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监</w:t>
            </w:r>
            <w:r>
              <w:rPr>
                <w:rFonts w:hint="default" w:ascii="Times New Roman" w:hAnsi="Times New Roman" w:eastAsia="宋体" w:cs="Times New Roman"/>
                <w:caps w:val="0"/>
                <w:snapToGrid/>
                <w:color w:val="auto"/>
                <w:spacing w:val="0"/>
                <w:w w:val="100"/>
                <w:kern w:val="0"/>
                <w:position w:val="0"/>
                <w:sz w:val="21"/>
                <w:szCs w:val="21"/>
                <w:highlight w:val="none"/>
              </w:rPr>
              <w:t>测</w:t>
            </w:r>
          </w:p>
        </w:tc>
        <w:tc>
          <w:tcPr>
            <w:tcW w:w="1783" w:type="pct"/>
            <w:gridSpan w:val="10"/>
            <w:tcBorders>
              <w:tl2br w:val="nil"/>
              <w:tr2bl w:val="nil"/>
            </w:tcBorders>
            <w:noWrap w:val="0"/>
            <w:vAlign w:val="center"/>
          </w:tcPr>
          <w:p w14:paraId="4C9751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监测因子：（</w:t>
            </w:r>
            <w:r>
              <w:rPr>
                <w:rFonts w:hint="eastAsia" w:cs="Times New Roman"/>
                <w:caps w:val="0"/>
                <w:snapToGrid/>
                <w:color w:val="auto"/>
                <w:spacing w:val="0"/>
                <w:w w:val="100"/>
                <w:kern w:val="0"/>
                <w:position w:val="0"/>
                <w:sz w:val="21"/>
                <w:szCs w:val="21"/>
                <w:highlight w:val="none"/>
                <w:lang w:val="en-US" w:eastAsia="zh-CN"/>
              </w:rPr>
              <w:t xml:space="preserve">  </w:t>
            </w: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p>
        </w:tc>
        <w:tc>
          <w:tcPr>
            <w:tcW w:w="1571" w:type="pct"/>
            <w:gridSpan w:val="11"/>
            <w:tcBorders>
              <w:tl2br w:val="nil"/>
              <w:tr2bl w:val="nil"/>
            </w:tcBorders>
            <w:noWrap w:val="0"/>
            <w:vAlign w:val="center"/>
          </w:tcPr>
          <w:p w14:paraId="72DC56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监测点位数（</w:t>
            </w:r>
            <w:r>
              <w:rPr>
                <w:rFonts w:hint="eastAsia" w:cs="Times New Roman"/>
                <w:caps w:val="0"/>
                <w:snapToGrid/>
                <w:color w:val="auto"/>
                <w:spacing w:val="0"/>
                <w:w w:val="100"/>
                <w:kern w:val="0"/>
                <w:position w:val="0"/>
                <w:sz w:val="21"/>
                <w:szCs w:val="21"/>
                <w:highlight w:val="none"/>
                <w:lang w:val="en-US" w:eastAsia="zh-CN"/>
              </w:rPr>
              <w:t xml:space="preserve">    </w:t>
            </w:r>
            <w:r>
              <w:rPr>
                <w:rFonts w:hint="default" w:ascii="Times New Roman" w:hAnsi="Times New Roman" w:eastAsia="宋体" w:cs="Times New Roman"/>
                <w:caps w:val="0"/>
                <w:snapToGrid/>
                <w:color w:val="auto"/>
                <w:spacing w:val="0"/>
                <w:w w:val="100"/>
                <w:kern w:val="0"/>
                <w:position w:val="0"/>
                <w:sz w:val="21"/>
                <w:szCs w:val="21"/>
                <w:highlight w:val="none"/>
              </w:rPr>
              <w:t>）</w:t>
            </w:r>
          </w:p>
        </w:tc>
        <w:tc>
          <w:tcPr>
            <w:tcW w:w="683" w:type="pct"/>
            <w:gridSpan w:val="3"/>
            <w:tcBorders>
              <w:tl2br w:val="nil"/>
              <w:tr2bl w:val="nil"/>
            </w:tcBorders>
            <w:noWrap w:val="0"/>
            <w:vAlign w:val="center"/>
          </w:tcPr>
          <w:p w14:paraId="21BBA8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无监测□</w:t>
            </w:r>
          </w:p>
        </w:tc>
      </w:tr>
      <w:tr w14:paraId="282066C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298" w:type="pct"/>
            <w:vMerge w:val="restart"/>
            <w:tcBorders>
              <w:tl2br w:val="nil"/>
              <w:tr2bl w:val="nil"/>
            </w:tcBorders>
            <w:noWrap w:val="0"/>
            <w:vAlign w:val="center"/>
          </w:tcPr>
          <w:p w14:paraId="2FD095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评价</w:t>
            </w:r>
          </w:p>
          <w:p w14:paraId="75FC62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结论</w:t>
            </w:r>
          </w:p>
        </w:tc>
        <w:tc>
          <w:tcPr>
            <w:tcW w:w="661" w:type="pct"/>
            <w:tcBorders>
              <w:tl2br w:val="nil"/>
              <w:tr2bl w:val="nil"/>
            </w:tcBorders>
            <w:noWrap w:val="0"/>
            <w:vAlign w:val="center"/>
          </w:tcPr>
          <w:p w14:paraId="0E76F2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环境影响</w:t>
            </w:r>
          </w:p>
        </w:tc>
        <w:tc>
          <w:tcPr>
            <w:tcW w:w="4039" w:type="pct"/>
            <w:gridSpan w:val="24"/>
            <w:tcBorders>
              <w:tl2br w:val="nil"/>
              <w:tr2bl w:val="nil"/>
            </w:tcBorders>
            <w:noWrap w:val="0"/>
            <w:vAlign w:val="center"/>
          </w:tcPr>
          <w:p w14:paraId="5F5553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可以接受</w:t>
            </w: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r>
              <w:rPr>
                <w:rFonts w:hint="default" w:ascii="Times New Roman" w:hAnsi="Times New Roman" w:eastAsia="宋体" w:cs="Times New Roman"/>
                <w:caps w:val="0"/>
                <w:snapToGrid/>
                <w:color w:val="auto"/>
                <w:spacing w:val="0"/>
                <w:w w:val="100"/>
                <w:kern w:val="0"/>
                <w:position w:val="0"/>
                <w:sz w:val="21"/>
                <w:szCs w:val="21"/>
                <w:highlight w:val="none"/>
              </w:rPr>
              <w:t xml:space="preserve">             不可接受□</w:t>
            </w:r>
          </w:p>
        </w:tc>
      </w:tr>
      <w:tr w14:paraId="666CF4B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298" w:type="pct"/>
            <w:vMerge w:val="continue"/>
            <w:tcBorders>
              <w:tl2br w:val="nil"/>
              <w:tr2bl w:val="nil"/>
            </w:tcBorders>
            <w:noWrap w:val="0"/>
            <w:vAlign w:val="center"/>
          </w:tcPr>
          <w:p w14:paraId="411B7D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661" w:type="pct"/>
            <w:tcBorders>
              <w:tl2br w:val="nil"/>
              <w:tr2bl w:val="nil"/>
            </w:tcBorders>
            <w:noWrap w:val="0"/>
            <w:vAlign w:val="center"/>
          </w:tcPr>
          <w:p w14:paraId="552320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大气环境防护距离</w:t>
            </w:r>
          </w:p>
        </w:tc>
        <w:tc>
          <w:tcPr>
            <w:tcW w:w="4039" w:type="pct"/>
            <w:gridSpan w:val="24"/>
            <w:tcBorders>
              <w:tl2br w:val="nil"/>
              <w:tr2bl w:val="nil"/>
            </w:tcBorders>
            <w:noWrap w:val="0"/>
            <w:vAlign w:val="center"/>
          </w:tcPr>
          <w:p w14:paraId="6FD5DA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无</w:t>
            </w:r>
          </w:p>
        </w:tc>
      </w:tr>
      <w:tr w14:paraId="4D5EB0D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298" w:type="pct"/>
            <w:vMerge w:val="continue"/>
            <w:tcBorders>
              <w:tl2br w:val="nil"/>
              <w:tr2bl w:val="nil"/>
            </w:tcBorders>
            <w:noWrap w:val="0"/>
            <w:vAlign w:val="center"/>
          </w:tcPr>
          <w:p w14:paraId="17D68D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661" w:type="pct"/>
            <w:tcBorders>
              <w:tl2br w:val="nil"/>
              <w:tr2bl w:val="nil"/>
            </w:tcBorders>
            <w:noWrap w:val="0"/>
            <w:vAlign w:val="center"/>
          </w:tcPr>
          <w:p w14:paraId="13721D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污染源年排放量</w:t>
            </w:r>
          </w:p>
        </w:tc>
        <w:tc>
          <w:tcPr>
            <w:tcW w:w="1009" w:type="pct"/>
            <w:gridSpan w:val="2"/>
            <w:tcBorders>
              <w:tl2br w:val="nil"/>
              <w:tr2bl w:val="nil"/>
            </w:tcBorders>
            <w:noWrap w:val="0"/>
            <w:vAlign w:val="center"/>
          </w:tcPr>
          <w:p w14:paraId="19EECF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SO</w:t>
            </w:r>
            <w:r>
              <w:rPr>
                <w:rFonts w:hint="default" w:ascii="Times New Roman" w:hAnsi="Times New Roman" w:eastAsia="宋体" w:cs="Times New Roman"/>
                <w:caps w:val="0"/>
                <w:snapToGrid/>
                <w:color w:val="auto"/>
                <w:spacing w:val="0"/>
                <w:w w:val="100"/>
                <w:kern w:val="0"/>
                <w:position w:val="0"/>
                <w:sz w:val="21"/>
                <w:szCs w:val="21"/>
                <w:highlight w:val="none"/>
                <w:vertAlign w:val="subscript"/>
              </w:rPr>
              <w:t>2</w:t>
            </w:r>
            <w:r>
              <w:rPr>
                <w:rFonts w:hint="default" w:ascii="Times New Roman" w:hAnsi="Times New Roman" w:eastAsia="宋体" w:cs="Times New Roman"/>
                <w:caps w:val="0"/>
                <w:snapToGrid/>
                <w:color w:val="auto"/>
                <w:spacing w:val="0"/>
                <w:w w:val="100"/>
                <w:kern w:val="0"/>
                <w:position w:val="0"/>
                <w:sz w:val="21"/>
                <w:szCs w:val="21"/>
                <w:highlight w:val="none"/>
              </w:rPr>
              <w:t>：（</w:t>
            </w:r>
            <w:r>
              <w:rPr>
                <w:rFonts w:hint="eastAsia" w:cs="Times New Roman"/>
                <w:caps w:val="0"/>
                <w:snapToGrid/>
                <w:color w:val="auto"/>
                <w:spacing w:val="0"/>
                <w:w w:val="100"/>
                <w:kern w:val="0"/>
                <w:position w:val="0"/>
                <w:sz w:val="21"/>
                <w:szCs w:val="21"/>
                <w:highlight w:val="none"/>
                <w:lang w:val="en-US" w:eastAsia="zh-CN"/>
              </w:rPr>
              <w:t xml:space="preserve">  </w:t>
            </w:r>
            <w:r>
              <w:rPr>
                <w:rFonts w:hint="default" w:ascii="Times New Roman" w:hAnsi="Times New Roman" w:eastAsia="宋体" w:cs="Times New Roman"/>
                <w:caps w:val="0"/>
                <w:snapToGrid/>
                <w:color w:val="auto"/>
                <w:spacing w:val="0"/>
                <w:w w:val="100"/>
                <w:kern w:val="0"/>
                <w:position w:val="0"/>
                <w:sz w:val="21"/>
                <w:szCs w:val="21"/>
                <w:highlight w:val="none"/>
              </w:rPr>
              <w:t>）t/a</w:t>
            </w:r>
          </w:p>
        </w:tc>
        <w:tc>
          <w:tcPr>
            <w:tcW w:w="1009" w:type="pct"/>
            <w:gridSpan w:val="9"/>
            <w:tcBorders>
              <w:tl2br w:val="nil"/>
              <w:tr2bl w:val="nil"/>
            </w:tcBorders>
            <w:noWrap w:val="0"/>
            <w:vAlign w:val="center"/>
          </w:tcPr>
          <w:p w14:paraId="50F7C9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NO</w:t>
            </w:r>
            <w:r>
              <w:rPr>
                <w:rFonts w:hint="default" w:ascii="Times New Roman" w:hAnsi="Times New Roman" w:eastAsia="宋体" w:cs="Times New Roman"/>
                <w:caps w:val="0"/>
                <w:snapToGrid/>
                <w:color w:val="auto"/>
                <w:spacing w:val="0"/>
                <w:w w:val="100"/>
                <w:kern w:val="0"/>
                <w:position w:val="0"/>
                <w:sz w:val="21"/>
                <w:szCs w:val="21"/>
                <w:highlight w:val="none"/>
                <w:vertAlign w:val="subscript"/>
              </w:rPr>
              <w:t>X</w:t>
            </w:r>
            <w:r>
              <w:rPr>
                <w:rFonts w:hint="default" w:ascii="Times New Roman" w:hAnsi="Times New Roman" w:eastAsia="宋体" w:cs="Times New Roman"/>
                <w:caps w:val="0"/>
                <w:snapToGrid/>
                <w:color w:val="auto"/>
                <w:spacing w:val="0"/>
                <w:w w:val="100"/>
                <w:kern w:val="0"/>
                <w:position w:val="0"/>
                <w:sz w:val="21"/>
                <w:szCs w:val="21"/>
                <w:highlight w:val="none"/>
              </w:rPr>
              <w:t>：（</w:t>
            </w:r>
            <w:r>
              <w:rPr>
                <w:rFonts w:hint="eastAsia" w:cs="Times New Roman"/>
                <w:caps w:val="0"/>
                <w:snapToGrid/>
                <w:color w:val="auto"/>
                <w:spacing w:val="0"/>
                <w:w w:val="100"/>
                <w:kern w:val="0"/>
                <w:position w:val="0"/>
                <w:sz w:val="21"/>
                <w:szCs w:val="21"/>
                <w:highlight w:val="none"/>
                <w:lang w:val="en-US" w:eastAsia="zh-CN"/>
              </w:rPr>
              <w:t xml:space="preserve">  </w:t>
            </w:r>
            <w:r>
              <w:rPr>
                <w:rFonts w:hint="default" w:ascii="Times New Roman" w:hAnsi="Times New Roman" w:eastAsia="宋体" w:cs="Times New Roman"/>
                <w:caps w:val="0"/>
                <w:snapToGrid/>
                <w:color w:val="auto"/>
                <w:spacing w:val="0"/>
                <w:w w:val="100"/>
                <w:kern w:val="0"/>
                <w:position w:val="0"/>
                <w:sz w:val="21"/>
                <w:szCs w:val="21"/>
                <w:highlight w:val="none"/>
              </w:rPr>
              <w:t>）t/a</w:t>
            </w:r>
          </w:p>
        </w:tc>
        <w:tc>
          <w:tcPr>
            <w:tcW w:w="1009" w:type="pct"/>
            <w:gridSpan w:val="8"/>
            <w:tcBorders>
              <w:tl2br w:val="nil"/>
              <w:tr2bl w:val="nil"/>
            </w:tcBorders>
            <w:noWrap w:val="0"/>
            <w:vAlign w:val="center"/>
          </w:tcPr>
          <w:p w14:paraId="6833C5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颗粒物（</w:t>
            </w:r>
            <w:r>
              <w:rPr>
                <w:rFonts w:hint="eastAsia" w:cs="Times New Roman"/>
                <w:caps w:val="0"/>
                <w:snapToGrid/>
                <w:color w:val="auto"/>
                <w:spacing w:val="0"/>
                <w:w w:val="100"/>
                <w:kern w:val="0"/>
                <w:position w:val="0"/>
                <w:sz w:val="21"/>
                <w:szCs w:val="21"/>
                <w:highlight w:val="none"/>
                <w:lang w:val="en-US" w:eastAsia="zh-CN"/>
              </w:rPr>
              <w:t>1.734</w:t>
            </w:r>
            <w:r>
              <w:rPr>
                <w:rFonts w:hint="default" w:ascii="Times New Roman" w:hAnsi="Times New Roman" w:eastAsia="宋体" w:cs="Times New Roman"/>
                <w:caps w:val="0"/>
                <w:snapToGrid/>
                <w:color w:val="auto"/>
                <w:spacing w:val="0"/>
                <w:w w:val="100"/>
                <w:kern w:val="0"/>
                <w:position w:val="0"/>
                <w:sz w:val="21"/>
                <w:szCs w:val="21"/>
                <w:highlight w:val="none"/>
              </w:rPr>
              <w:t>）t/a</w:t>
            </w:r>
          </w:p>
        </w:tc>
        <w:tc>
          <w:tcPr>
            <w:tcW w:w="1009" w:type="pct"/>
            <w:gridSpan w:val="5"/>
            <w:tcBorders>
              <w:tl2br w:val="nil"/>
              <w:tr2bl w:val="nil"/>
            </w:tcBorders>
            <w:noWrap w:val="0"/>
            <w:vAlign w:val="center"/>
          </w:tcPr>
          <w:p w14:paraId="432445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VOCs（</w:t>
            </w:r>
            <w:r>
              <w:rPr>
                <w:rFonts w:hint="eastAsia" w:cs="Times New Roman"/>
                <w:caps w:val="0"/>
                <w:snapToGrid/>
                <w:color w:val="auto"/>
                <w:spacing w:val="0"/>
                <w:w w:val="100"/>
                <w:kern w:val="0"/>
                <w:position w:val="0"/>
                <w:sz w:val="21"/>
                <w:szCs w:val="21"/>
                <w:highlight w:val="none"/>
                <w:lang w:val="en-US" w:eastAsia="zh-CN"/>
              </w:rPr>
              <w:t>2.772</w:t>
            </w: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）t/a</w:t>
            </w:r>
          </w:p>
        </w:tc>
      </w:tr>
      <w:tr w14:paraId="3010EA5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7" w:type="dxa"/>
            <w:left w:w="57" w:type="dxa"/>
            <w:bottom w:w="57" w:type="dxa"/>
            <w:right w:w="57" w:type="dxa"/>
          </w:tblCellMar>
        </w:tblPrEx>
        <w:trPr>
          <w:trHeight w:val="0" w:hRule="atLeast"/>
          <w:jc w:val="center"/>
        </w:trPr>
        <w:tc>
          <w:tcPr>
            <w:tcW w:w="5000" w:type="pct"/>
            <w:gridSpan w:val="26"/>
            <w:tcBorders>
              <w:tl2br w:val="nil"/>
              <w:tr2bl w:val="nil"/>
            </w:tcBorders>
            <w:noWrap w:val="0"/>
            <w:vAlign w:val="center"/>
          </w:tcPr>
          <w:p w14:paraId="04FE6A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b/>
                <w:bCs/>
                <w:caps w:val="0"/>
                <w:snapToGrid/>
                <w:color w:val="auto"/>
                <w:spacing w:val="0"/>
                <w:w w:val="100"/>
                <w:kern w:val="0"/>
                <w:position w:val="0"/>
                <w:sz w:val="18"/>
                <w:szCs w:val="18"/>
                <w:highlight w:val="none"/>
                <w:lang w:eastAsia="zh-CN"/>
              </w:rPr>
              <w:t>注：“□”为勾选项，填“√”；“（    ）”为内容填写项</w:t>
            </w:r>
          </w:p>
        </w:tc>
      </w:tr>
    </w:tbl>
    <w:p w14:paraId="2FEA0514">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5.2.2水环境影响分析</w:t>
      </w:r>
    </w:p>
    <w:p w14:paraId="657F1E93">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5.2.2.1地表水环境影响分析</w:t>
      </w:r>
    </w:p>
    <w:p w14:paraId="50390874">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b w:val="0"/>
          <w:bCs w:val="0"/>
          <w:caps w:val="0"/>
          <w:snapToGrid/>
          <w:color w:val="auto"/>
          <w:spacing w:val="0"/>
          <w:w w:val="100"/>
          <w:kern w:val="0"/>
          <w:position w:val="0"/>
          <w:highlight w:val="none"/>
          <w:lang w:val="en-US" w:eastAsia="zh-CN"/>
        </w:rPr>
      </w:pPr>
      <w:r>
        <w:rPr>
          <w:rFonts w:hint="default" w:ascii="Times New Roman" w:hAnsi="Times New Roman" w:eastAsia="宋体" w:cs="Times New Roman"/>
          <w:b w:val="0"/>
          <w:bCs w:val="0"/>
          <w:caps w:val="0"/>
          <w:snapToGrid/>
          <w:color w:val="auto"/>
          <w:spacing w:val="0"/>
          <w:w w:val="100"/>
          <w:kern w:val="0"/>
          <w:position w:val="0"/>
          <w:highlight w:val="none"/>
          <w:lang w:val="en-US" w:eastAsia="zh-CN"/>
        </w:rPr>
        <w:t>根据《环境影响评价技术导则 地表水环境》（HJ2.3-2018），本项目评价等级为三级B，只需简要说明所排放的污染物类型和数量、排水状况、排水去向等，并进行一些简单的环境影响分析。</w:t>
      </w:r>
      <w:r>
        <w:rPr>
          <w:rFonts w:hint="default" w:ascii="Times New Roman" w:hAnsi="Times New Roman" w:eastAsia="宋体" w:cs="Times New Roman"/>
          <w:caps w:val="0"/>
          <w:snapToGrid/>
          <w:color w:val="auto"/>
          <w:spacing w:val="0"/>
          <w:w w:val="100"/>
          <w:kern w:val="0"/>
          <w:position w:val="0"/>
          <w:szCs w:val="24"/>
          <w:highlight w:val="none"/>
        </w:rPr>
        <w:t>本项目外排废水主要是生活污水。</w:t>
      </w:r>
    </w:p>
    <w:p w14:paraId="4C77B120">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生活总用水量为</w:t>
      </w:r>
      <w:r>
        <w:rPr>
          <w:rFonts w:hint="eastAsia" w:ascii="Times New Roman" w:hAnsi="Times New Roman" w:cs="Times New Roman"/>
          <w:snapToGrid w:val="0"/>
          <w:color w:val="auto"/>
          <w:spacing w:val="0"/>
          <w:w w:val="100"/>
          <w:kern w:val="0"/>
          <w:position w:val="0"/>
          <w:sz w:val="24"/>
          <w:szCs w:val="22"/>
          <w:highlight w:val="none"/>
          <w:lang w:val="en-US" w:eastAsia="zh-CN"/>
        </w:rPr>
        <w:t>1.375</w:t>
      </w:r>
      <w:r>
        <w:rPr>
          <w:rFonts w:hint="default" w:ascii="Times New Roman" w:hAnsi="Times New Roman" w:cs="Times New Roman"/>
          <w:snapToGrid w:val="0"/>
          <w:color w:val="auto"/>
          <w:spacing w:val="0"/>
          <w:w w:val="100"/>
          <w:kern w:val="0"/>
          <w:position w:val="0"/>
          <w:sz w:val="24"/>
          <w:szCs w:val="22"/>
          <w:highlight w:val="none"/>
        </w:rPr>
        <w:t>m</w:t>
      </w:r>
      <w:r>
        <w:rPr>
          <w:rFonts w:hint="default" w:ascii="Times New Roman" w:hAnsi="Times New Roman" w:cs="Times New Roman"/>
          <w:snapToGrid w:val="0"/>
          <w:color w:val="auto"/>
          <w:spacing w:val="0"/>
          <w:w w:val="100"/>
          <w:kern w:val="0"/>
          <w:position w:val="0"/>
          <w:sz w:val="24"/>
          <w:szCs w:val="22"/>
          <w:highlight w:val="none"/>
          <w:vertAlign w:val="superscript"/>
        </w:rPr>
        <w:t>3</w:t>
      </w:r>
      <w:r>
        <w:rPr>
          <w:rFonts w:hint="default" w:ascii="Times New Roman" w:hAnsi="Times New Roman" w:cs="Times New Roman"/>
          <w:snapToGrid w:val="0"/>
          <w:color w:val="auto"/>
          <w:spacing w:val="0"/>
          <w:w w:val="100"/>
          <w:kern w:val="0"/>
          <w:position w:val="0"/>
          <w:sz w:val="24"/>
          <w:szCs w:val="22"/>
          <w:highlight w:val="none"/>
        </w:rPr>
        <w:t>/d（</w:t>
      </w:r>
      <w:r>
        <w:rPr>
          <w:rFonts w:hint="eastAsia" w:ascii="Times New Roman" w:hAnsi="Times New Roman" w:cs="Times New Roman"/>
          <w:snapToGrid w:val="0"/>
          <w:color w:val="auto"/>
          <w:spacing w:val="0"/>
          <w:w w:val="100"/>
          <w:kern w:val="0"/>
          <w:position w:val="0"/>
          <w:sz w:val="24"/>
          <w:szCs w:val="22"/>
          <w:highlight w:val="none"/>
          <w:lang w:val="en-US" w:eastAsia="zh-CN"/>
        </w:rPr>
        <w:t>412.5</w:t>
      </w:r>
      <w:r>
        <w:rPr>
          <w:rFonts w:hint="default" w:ascii="Times New Roman" w:hAnsi="Times New Roman" w:cs="Times New Roman"/>
          <w:snapToGrid w:val="0"/>
          <w:color w:val="auto"/>
          <w:spacing w:val="0"/>
          <w:w w:val="100"/>
          <w:kern w:val="0"/>
          <w:position w:val="0"/>
          <w:sz w:val="24"/>
          <w:szCs w:val="22"/>
          <w:highlight w:val="none"/>
        </w:rPr>
        <w:t>m</w:t>
      </w:r>
      <w:r>
        <w:rPr>
          <w:rFonts w:hint="default" w:ascii="Times New Roman" w:hAnsi="Times New Roman" w:cs="Times New Roman"/>
          <w:snapToGrid w:val="0"/>
          <w:color w:val="auto"/>
          <w:spacing w:val="0"/>
          <w:w w:val="100"/>
          <w:kern w:val="0"/>
          <w:position w:val="0"/>
          <w:sz w:val="24"/>
          <w:szCs w:val="22"/>
          <w:highlight w:val="none"/>
          <w:vertAlign w:val="superscript"/>
        </w:rPr>
        <w:t>3</w:t>
      </w:r>
      <w:r>
        <w:rPr>
          <w:rFonts w:hint="default" w:ascii="Times New Roman" w:hAnsi="Times New Roman" w:cs="Times New Roman"/>
          <w:snapToGrid w:val="0"/>
          <w:color w:val="auto"/>
          <w:spacing w:val="0"/>
          <w:w w:val="100"/>
          <w:kern w:val="0"/>
          <w:position w:val="0"/>
          <w:sz w:val="24"/>
          <w:szCs w:val="22"/>
          <w:highlight w:val="none"/>
        </w:rPr>
        <w:t>/a）</w:t>
      </w:r>
      <w:r>
        <w:rPr>
          <w:rFonts w:hint="default" w:ascii="Times New Roman" w:hAnsi="Times New Roman" w:eastAsia="宋体" w:cs="Times New Roman"/>
          <w:caps w:val="0"/>
          <w:snapToGrid/>
          <w:color w:val="auto"/>
          <w:spacing w:val="0"/>
          <w:w w:val="100"/>
          <w:kern w:val="0"/>
          <w:position w:val="0"/>
          <w:sz w:val="24"/>
          <w:szCs w:val="24"/>
          <w:highlight w:val="none"/>
        </w:rPr>
        <w:t>，排放系数按照0.8计，排水量为</w:t>
      </w:r>
      <w:r>
        <w:rPr>
          <w:rFonts w:hint="eastAsia"/>
          <w:color w:val="auto"/>
          <w:spacing w:val="0"/>
          <w:w w:val="100"/>
          <w:position w:val="0"/>
          <w:highlight w:val="none"/>
          <w:lang w:val="en-US" w:eastAsia="zh-CN"/>
        </w:rPr>
        <w:t>1.1m</w:t>
      </w:r>
      <w:r>
        <w:rPr>
          <w:rFonts w:hint="eastAsia"/>
          <w:color w:val="auto"/>
          <w:spacing w:val="0"/>
          <w:w w:val="100"/>
          <w:position w:val="0"/>
          <w:highlight w:val="none"/>
          <w:vertAlign w:val="superscript"/>
          <w:lang w:val="en-US" w:eastAsia="zh-CN"/>
        </w:rPr>
        <w:t>3</w:t>
      </w:r>
      <w:r>
        <w:rPr>
          <w:rFonts w:hint="eastAsia"/>
          <w:color w:val="auto"/>
          <w:spacing w:val="0"/>
          <w:w w:val="100"/>
          <w:position w:val="0"/>
          <w:highlight w:val="none"/>
          <w:lang w:val="en-US" w:eastAsia="zh-CN"/>
        </w:rPr>
        <w:t>/d（330m</w:t>
      </w:r>
      <w:r>
        <w:rPr>
          <w:rFonts w:hint="eastAsia"/>
          <w:color w:val="auto"/>
          <w:spacing w:val="0"/>
          <w:w w:val="100"/>
          <w:position w:val="0"/>
          <w:highlight w:val="none"/>
          <w:vertAlign w:val="superscript"/>
          <w:lang w:val="en-US" w:eastAsia="zh-CN"/>
        </w:rPr>
        <w:t>3</w:t>
      </w:r>
      <w:r>
        <w:rPr>
          <w:rFonts w:hint="eastAsia"/>
          <w:color w:val="auto"/>
          <w:spacing w:val="0"/>
          <w:w w:val="100"/>
          <w:position w:val="0"/>
          <w:highlight w:val="none"/>
          <w:lang w:val="en-US" w:eastAsia="zh-CN"/>
        </w:rPr>
        <w:t>/a）</w:t>
      </w:r>
      <w:r>
        <w:rPr>
          <w:rFonts w:hint="default" w:ascii="Times New Roman" w:hAnsi="Times New Roman" w:eastAsia="宋体" w:cs="Times New Roman"/>
          <w:caps w:val="0"/>
          <w:snapToGrid/>
          <w:color w:val="auto"/>
          <w:spacing w:val="0"/>
          <w:w w:val="100"/>
          <w:kern w:val="0"/>
          <w:position w:val="0"/>
          <w:sz w:val="24"/>
          <w:szCs w:val="24"/>
          <w:highlight w:val="none"/>
        </w:rPr>
        <w:t>。本项目生活污水</w:t>
      </w:r>
      <w:r>
        <w:rPr>
          <w:rFonts w:hint="default" w:ascii="Times New Roman" w:hAnsi="Times New Roman" w:eastAsia="宋体" w:cs="Times New Roman"/>
          <w:caps w:val="0"/>
          <w:snapToGrid/>
          <w:color w:val="auto"/>
          <w:spacing w:val="0"/>
          <w:w w:val="100"/>
          <w:kern w:val="0"/>
          <w:position w:val="0"/>
          <w:sz w:val="24"/>
          <w:szCs w:val="24"/>
          <w:highlight w:val="none"/>
          <w:lang w:eastAsia="zh-CN"/>
        </w:rPr>
        <w:t>满足《污水综合排放标准》（GB8978-1996）</w:t>
      </w:r>
      <w:r>
        <w:rPr>
          <w:rFonts w:hint="default" w:ascii="Times New Roman" w:hAnsi="Times New Roman" w:eastAsia="宋体" w:cs="Times New Roman"/>
          <w:caps w:val="0"/>
          <w:snapToGrid/>
          <w:color w:val="auto"/>
          <w:spacing w:val="0"/>
          <w:w w:val="100"/>
          <w:kern w:val="0"/>
          <w:position w:val="0"/>
          <w:highlight w:val="none"/>
          <w:lang w:val="en-US" w:eastAsia="zh-CN"/>
        </w:rPr>
        <w:t>表4</w:t>
      </w:r>
      <w:r>
        <w:rPr>
          <w:rFonts w:hint="default" w:ascii="Times New Roman" w:hAnsi="Times New Roman" w:eastAsia="宋体" w:cs="Times New Roman"/>
          <w:caps w:val="0"/>
          <w:snapToGrid/>
          <w:color w:val="auto"/>
          <w:spacing w:val="0"/>
          <w:w w:val="100"/>
          <w:kern w:val="0"/>
          <w:position w:val="0"/>
          <w:sz w:val="24"/>
          <w:szCs w:val="24"/>
          <w:highlight w:val="none"/>
          <w:lang w:eastAsia="zh-CN"/>
        </w:rPr>
        <w:t>中三级标准</w:t>
      </w:r>
      <w:r>
        <w:rPr>
          <w:rFonts w:hint="default" w:ascii="Times New Roman" w:hAnsi="Times New Roman" w:eastAsia="宋体" w:cs="Times New Roman"/>
          <w:caps w:val="0"/>
          <w:snapToGrid/>
          <w:color w:val="auto"/>
          <w:spacing w:val="0"/>
          <w:w w:val="100"/>
          <w:kern w:val="0"/>
          <w:position w:val="0"/>
          <w:sz w:val="24"/>
          <w:szCs w:val="24"/>
          <w:highlight w:val="none"/>
        </w:rPr>
        <w:t>，</w:t>
      </w:r>
      <w:r>
        <w:rPr>
          <w:rFonts w:hint="default" w:ascii="Times New Roman" w:hAnsi="Times New Roman" w:eastAsia="宋体" w:cs="Times New Roman"/>
          <w:b w:val="0"/>
          <w:bCs w:val="0"/>
          <w:caps w:val="0"/>
          <w:snapToGrid/>
          <w:color w:val="auto"/>
          <w:spacing w:val="0"/>
          <w:w w:val="100"/>
          <w:kern w:val="0"/>
          <w:position w:val="0"/>
          <w:sz w:val="24"/>
          <w:szCs w:val="24"/>
          <w:highlight w:val="none"/>
        </w:rPr>
        <w:t>排入</w:t>
      </w:r>
      <w:r>
        <w:rPr>
          <w:rFonts w:hint="eastAsia" w:cs="Times New Roman"/>
          <w:b w:val="0"/>
          <w:bCs w:val="0"/>
          <w:caps w:val="0"/>
          <w:snapToGrid/>
          <w:color w:val="auto"/>
          <w:spacing w:val="0"/>
          <w:w w:val="100"/>
          <w:kern w:val="0"/>
          <w:position w:val="0"/>
          <w:sz w:val="24"/>
          <w:szCs w:val="24"/>
          <w:highlight w:val="none"/>
          <w:lang w:eastAsia="zh-CN"/>
        </w:rPr>
        <w:t>阜西区污水处理厂</w:t>
      </w:r>
      <w:r>
        <w:rPr>
          <w:rFonts w:hint="default" w:ascii="Times New Roman" w:hAnsi="Times New Roman" w:eastAsia="宋体" w:cs="Times New Roman"/>
          <w:b w:val="0"/>
          <w:bCs w:val="0"/>
          <w:caps w:val="0"/>
          <w:snapToGrid/>
          <w:color w:val="auto"/>
          <w:spacing w:val="0"/>
          <w:w w:val="100"/>
          <w:kern w:val="0"/>
          <w:position w:val="0"/>
          <w:sz w:val="24"/>
          <w:szCs w:val="24"/>
          <w:highlight w:val="none"/>
        </w:rPr>
        <w:t>处理</w:t>
      </w:r>
      <w:r>
        <w:rPr>
          <w:rFonts w:hint="default" w:ascii="Times New Roman" w:hAnsi="Times New Roman" w:eastAsia="宋体" w:cs="Times New Roman"/>
          <w:caps w:val="0"/>
          <w:snapToGrid/>
          <w:color w:val="auto"/>
          <w:spacing w:val="0"/>
          <w:w w:val="100"/>
          <w:kern w:val="0"/>
          <w:position w:val="0"/>
          <w:sz w:val="24"/>
          <w:szCs w:val="24"/>
          <w:highlight w:val="none"/>
        </w:rPr>
        <w:t>。</w:t>
      </w:r>
      <w:r>
        <w:rPr>
          <w:rFonts w:hint="default" w:ascii="Times New Roman" w:hAnsi="Times New Roman" w:eastAsia="宋体" w:cs="Times New Roman"/>
          <w:caps w:val="0"/>
          <w:snapToGrid/>
          <w:color w:val="auto"/>
          <w:spacing w:val="0"/>
          <w:w w:val="100"/>
          <w:kern w:val="0"/>
          <w:position w:val="0"/>
          <w:szCs w:val="24"/>
          <w:highlight w:val="none"/>
        </w:rPr>
        <w:t>本项目产生的污水对周围地表水环境影响较小。</w:t>
      </w:r>
    </w:p>
    <w:p w14:paraId="4FC0E615">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eastAsia" w:ascii="Times New Roman" w:hAnsi="Times New Roman" w:eastAsia="宋体" w:cs="Times New Roman"/>
          <w:caps w:val="0"/>
          <w:snapToGrid/>
          <w:color w:val="auto"/>
          <w:spacing w:val="0"/>
          <w:w w:val="100"/>
          <w:kern w:val="0"/>
          <w:position w:val="0"/>
          <w:highlight w:val="none"/>
          <w:lang w:val="en-US" w:eastAsia="zh-CN"/>
        </w:rPr>
      </w:pPr>
      <w:r>
        <w:rPr>
          <w:rFonts w:hint="default" w:ascii="Times New Roman" w:hAnsi="Times New Roman" w:eastAsia="宋体" w:cs="Times New Roman"/>
          <w:color w:val="auto"/>
          <w:spacing w:val="0"/>
          <w:w w:val="100"/>
          <w:position w:val="0"/>
          <w:sz w:val="24"/>
          <w:highlight w:val="none"/>
        </w:rPr>
        <w:t>本项目</w:t>
      </w:r>
      <w:r>
        <w:rPr>
          <w:rFonts w:hint="eastAsia" w:cs="Times New Roman"/>
          <w:color w:val="auto"/>
          <w:spacing w:val="0"/>
          <w:w w:val="100"/>
          <w:position w:val="0"/>
          <w:sz w:val="24"/>
          <w:highlight w:val="none"/>
          <w:lang w:eastAsia="zh-CN"/>
        </w:rPr>
        <w:t>位于</w:t>
      </w:r>
      <w:r>
        <w:rPr>
          <w:rFonts w:hint="eastAsia" w:cs="Times New Roman"/>
          <w:color w:val="auto"/>
          <w:spacing w:val="0"/>
          <w:w w:val="100"/>
          <w:position w:val="0"/>
          <w:sz w:val="24"/>
          <w:highlight w:val="none"/>
          <w:lang w:val="en-US" w:eastAsia="zh-CN"/>
        </w:rPr>
        <w:t>甘泉堡工业园区中小微企业创新区</w:t>
      </w:r>
      <w:r>
        <w:rPr>
          <w:rFonts w:hint="default" w:ascii="Times New Roman" w:hAnsi="Times New Roman" w:eastAsia="宋体" w:cs="Times New Roman"/>
          <w:color w:val="auto"/>
          <w:spacing w:val="0"/>
          <w:w w:val="100"/>
          <w:position w:val="0"/>
          <w:sz w:val="24"/>
          <w:highlight w:val="none"/>
        </w:rPr>
        <w:t>，根据现场调查，本工程最近水系为</w:t>
      </w:r>
      <w:r>
        <w:rPr>
          <w:rFonts w:hint="eastAsia" w:cs="Times New Roman"/>
          <w:color w:val="auto"/>
          <w:spacing w:val="0"/>
          <w:w w:val="100"/>
          <w:position w:val="0"/>
          <w:sz w:val="24"/>
          <w:highlight w:val="none"/>
          <w:lang w:val="en-US" w:eastAsia="zh-CN"/>
        </w:rPr>
        <w:t>北侧3</w:t>
      </w:r>
      <w:r>
        <w:rPr>
          <w:rFonts w:hint="default" w:ascii="Times New Roman" w:hAnsi="Times New Roman" w:eastAsia="宋体" w:cs="Times New Roman"/>
          <w:color w:val="auto"/>
          <w:spacing w:val="0"/>
          <w:w w:val="100"/>
          <w:position w:val="0"/>
          <w:sz w:val="24"/>
          <w:highlight w:val="none"/>
        </w:rPr>
        <w:t>km处的</w:t>
      </w:r>
      <w:r>
        <w:rPr>
          <w:rFonts w:hint="eastAsia" w:cs="Times New Roman"/>
          <w:color w:val="auto"/>
          <w:spacing w:val="0"/>
          <w:w w:val="100"/>
          <w:position w:val="0"/>
          <w:sz w:val="24"/>
          <w:highlight w:val="none"/>
          <w:lang w:eastAsia="zh-CN"/>
        </w:rPr>
        <w:t>“</w:t>
      </w:r>
      <w:r>
        <w:rPr>
          <w:rFonts w:hint="eastAsia" w:cs="Times New Roman"/>
          <w:color w:val="auto"/>
          <w:spacing w:val="0"/>
          <w:w w:val="100"/>
          <w:position w:val="0"/>
          <w:sz w:val="24"/>
          <w:highlight w:val="none"/>
          <w:lang w:val="en-US" w:eastAsia="zh-CN"/>
        </w:rPr>
        <w:t>500</w:t>
      </w:r>
      <w:r>
        <w:rPr>
          <w:rFonts w:hint="eastAsia" w:cs="Times New Roman"/>
          <w:color w:val="auto"/>
          <w:spacing w:val="0"/>
          <w:w w:val="100"/>
          <w:position w:val="0"/>
          <w:sz w:val="24"/>
          <w:highlight w:val="none"/>
          <w:lang w:eastAsia="zh-CN"/>
        </w:rPr>
        <w:t>”</w:t>
      </w:r>
      <w:r>
        <w:rPr>
          <w:rFonts w:hint="eastAsia" w:cs="Times New Roman"/>
          <w:color w:val="auto"/>
          <w:spacing w:val="0"/>
          <w:w w:val="100"/>
          <w:position w:val="0"/>
          <w:sz w:val="24"/>
          <w:highlight w:val="none"/>
          <w:lang w:val="en-US" w:eastAsia="zh-CN"/>
        </w:rPr>
        <w:t>水库</w:t>
      </w:r>
      <w:r>
        <w:rPr>
          <w:rFonts w:hint="default" w:ascii="Times New Roman" w:hAnsi="Times New Roman" w:eastAsia="宋体" w:cs="Times New Roman"/>
          <w:color w:val="auto"/>
          <w:spacing w:val="0"/>
          <w:w w:val="100"/>
          <w:position w:val="0"/>
          <w:sz w:val="24"/>
          <w:highlight w:val="none"/>
        </w:rPr>
        <w:t>，</w:t>
      </w:r>
      <w:r>
        <w:rPr>
          <w:rFonts w:hint="default" w:ascii="Times New Roman" w:hAnsi="Times New Roman" w:eastAsia="宋体" w:cs="Times New Roman"/>
          <w:color w:val="auto"/>
          <w:spacing w:val="0"/>
          <w:w w:val="100"/>
          <w:position w:val="0"/>
          <w:sz w:val="24"/>
          <w:highlight w:val="none"/>
          <w:lang w:eastAsia="zh-CN"/>
        </w:rPr>
        <w:t>项目运营期无废水</w:t>
      </w:r>
      <w:r>
        <w:rPr>
          <w:rFonts w:hint="default" w:ascii="Times New Roman" w:hAnsi="Times New Roman" w:eastAsia="宋体" w:cs="Times New Roman"/>
          <w:color w:val="auto"/>
          <w:spacing w:val="0"/>
          <w:w w:val="100"/>
          <w:position w:val="0"/>
          <w:sz w:val="24"/>
          <w:highlight w:val="none"/>
        </w:rPr>
        <w:t>排入地表水体，不会对地表水产生影响</w:t>
      </w:r>
      <w:r>
        <w:rPr>
          <w:rFonts w:hint="eastAsia" w:ascii="Times New Roman" w:hAnsi="Times New Roman" w:eastAsia="宋体" w:cs="Times New Roman"/>
          <w:color w:val="auto"/>
          <w:spacing w:val="0"/>
          <w:w w:val="100"/>
          <w:position w:val="0"/>
          <w:sz w:val="24"/>
          <w:highlight w:val="none"/>
          <w:lang w:eastAsia="zh-CN"/>
        </w:rPr>
        <w:t>。</w:t>
      </w:r>
    </w:p>
    <w:p w14:paraId="3B349021">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5.2.2.2地下水环境影响预测与评价</w:t>
      </w:r>
    </w:p>
    <w:p w14:paraId="6E098FCE">
      <w:pPr>
        <w:pStyle w:val="2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lang w:val="en-US" w:eastAsia="zh-CN"/>
        </w:rPr>
      </w:pP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1.地下水污染途径</w:t>
      </w:r>
    </w:p>
    <w:p w14:paraId="1549B91B">
      <w:pPr>
        <w:pStyle w:val="2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outlineLvl w:val="9"/>
        <w:rPr>
          <w:rFonts w:hint="eastAsia" w:ascii="Times New Roman" w:hAnsi="Times New Roman" w:eastAsia="宋体" w:cs="Times New Roman"/>
          <w:color w:val="auto"/>
          <w:spacing w:val="0"/>
          <w:w w:val="100"/>
          <w:position w:val="0"/>
          <w:sz w:val="24"/>
          <w:szCs w:val="24"/>
          <w:highlight w:val="none"/>
          <w:lang w:eastAsia="zh-CN"/>
        </w:rPr>
      </w:pPr>
      <w:r>
        <w:rPr>
          <w:rFonts w:hint="default" w:ascii="Times New Roman" w:hAnsi="Times New Roman" w:eastAsia="宋体" w:cs="Times New Roman"/>
          <w:caps w:val="0"/>
          <w:snapToGrid/>
          <w:color w:val="auto"/>
          <w:spacing w:val="0"/>
          <w:w w:val="100"/>
          <w:kern w:val="0"/>
          <w:position w:val="0"/>
          <w:sz w:val="24"/>
          <w:szCs w:val="24"/>
          <w:highlight w:val="none"/>
        </w:rPr>
        <w:t>本项目可能对地下水的影响</w:t>
      </w:r>
      <w:r>
        <w:rPr>
          <w:rFonts w:hint="default" w:ascii="Times New Roman" w:hAnsi="Times New Roman" w:eastAsia="宋体" w:cs="Times New Roman"/>
          <w:color w:val="auto"/>
          <w:spacing w:val="0"/>
          <w:w w:val="100"/>
          <w:position w:val="0"/>
          <w:sz w:val="24"/>
          <w:szCs w:val="24"/>
          <w:highlight w:val="none"/>
        </w:rPr>
        <w:t>主要包</w:t>
      </w:r>
      <w:r>
        <w:rPr>
          <w:rFonts w:hint="eastAsia" w:ascii="Times New Roman" w:hAnsi="Times New Roman" w:cs="Times New Roman"/>
          <w:color w:val="auto"/>
          <w:spacing w:val="0"/>
          <w:w w:val="100"/>
          <w:position w:val="0"/>
          <w:sz w:val="24"/>
          <w:szCs w:val="24"/>
          <w:highlight w:val="none"/>
          <w:lang w:val="en-US" w:eastAsia="zh-CN"/>
        </w:rPr>
        <w:t>为</w:t>
      </w:r>
      <w:r>
        <w:rPr>
          <w:rFonts w:hint="default" w:ascii="Times New Roman" w:hAnsi="Times New Roman" w:eastAsia="宋体" w:cs="Times New Roman"/>
          <w:color w:val="auto"/>
          <w:spacing w:val="0"/>
          <w:w w:val="100"/>
          <w:position w:val="0"/>
          <w:sz w:val="24"/>
          <w:szCs w:val="24"/>
          <w:highlight w:val="none"/>
        </w:rPr>
        <w:t>生活污水管道破裂导致生活污水</w:t>
      </w:r>
      <w:r>
        <w:rPr>
          <w:rFonts w:hint="eastAsia" w:ascii="Times New Roman" w:hAnsi="Times New Roman" w:cs="Times New Roman"/>
          <w:color w:val="auto"/>
          <w:spacing w:val="0"/>
          <w:w w:val="100"/>
          <w:position w:val="0"/>
          <w:sz w:val="24"/>
          <w:szCs w:val="24"/>
          <w:highlight w:val="none"/>
          <w:lang w:eastAsia="zh-CN"/>
        </w:rPr>
        <w:t>泄漏</w:t>
      </w:r>
      <w:r>
        <w:rPr>
          <w:rFonts w:hint="default" w:ascii="Times New Roman" w:hAnsi="Times New Roman" w:eastAsia="宋体" w:cs="Times New Roman"/>
          <w:color w:val="auto"/>
          <w:spacing w:val="0"/>
          <w:w w:val="100"/>
          <w:position w:val="0"/>
          <w:sz w:val="24"/>
          <w:szCs w:val="24"/>
          <w:highlight w:val="none"/>
        </w:rPr>
        <w:t>进入进入表层土壤、进而迁移入深层的地下水层</w:t>
      </w:r>
      <w:r>
        <w:rPr>
          <w:rFonts w:hint="eastAsia" w:ascii="Times New Roman" w:hAnsi="Times New Roman" w:eastAsia="宋体" w:cs="Times New Roman"/>
          <w:color w:val="auto"/>
          <w:spacing w:val="0"/>
          <w:w w:val="100"/>
          <w:position w:val="0"/>
          <w:sz w:val="24"/>
          <w:szCs w:val="24"/>
          <w:highlight w:val="none"/>
          <w:lang w:eastAsia="zh-CN"/>
        </w:rPr>
        <w:t>。</w:t>
      </w:r>
    </w:p>
    <w:p w14:paraId="1B63BD4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pacing w:val="0"/>
          <w:w w:val="100"/>
          <w:position w:val="0"/>
          <w:sz w:val="24"/>
          <w:highlight w:val="none"/>
          <w:lang w:val="en-US" w:eastAsia="zh-CN"/>
        </w:rPr>
      </w:pPr>
      <w:r>
        <w:rPr>
          <w:rFonts w:hint="eastAsia" w:ascii="Times New Roman" w:hAnsi="Times New Roman" w:eastAsia="宋体" w:cs="Times New Roman"/>
          <w:color w:val="auto"/>
          <w:spacing w:val="0"/>
          <w:w w:val="100"/>
          <w:position w:val="0"/>
          <w:sz w:val="24"/>
          <w:highlight w:val="none"/>
          <w:lang w:val="en-US" w:eastAsia="zh-CN"/>
        </w:rPr>
        <w:t>2.地下水影响分析</w:t>
      </w:r>
    </w:p>
    <w:p w14:paraId="6BBB44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本项目地下水影响评价为</w:t>
      </w:r>
      <w:r>
        <w:rPr>
          <w:rFonts w:hint="eastAsia" w:ascii="Times New Roman" w:hAnsi="Times New Roman" w:eastAsia="宋体" w:cs="Times New Roman"/>
          <w:color w:val="auto"/>
          <w:spacing w:val="0"/>
          <w:w w:val="100"/>
          <w:position w:val="0"/>
          <w:sz w:val="24"/>
          <w:highlight w:val="none"/>
          <w:lang w:val="en-US" w:eastAsia="zh-CN"/>
        </w:rPr>
        <w:t>三</w:t>
      </w:r>
      <w:r>
        <w:rPr>
          <w:rFonts w:hint="default" w:ascii="Times New Roman" w:hAnsi="Times New Roman" w:eastAsia="宋体" w:cs="Times New Roman"/>
          <w:color w:val="auto"/>
          <w:spacing w:val="0"/>
          <w:w w:val="100"/>
          <w:position w:val="0"/>
          <w:sz w:val="24"/>
          <w:highlight w:val="none"/>
        </w:rPr>
        <w:t>级评价，根据《环境影响评价技术导则 地下水环境》（HJ610-2016），地下水</w:t>
      </w:r>
      <w:r>
        <w:rPr>
          <w:rFonts w:hint="eastAsia" w:ascii="Times New Roman" w:hAnsi="Times New Roman" w:eastAsia="宋体" w:cs="Times New Roman"/>
          <w:color w:val="auto"/>
          <w:spacing w:val="0"/>
          <w:w w:val="100"/>
          <w:position w:val="0"/>
          <w:sz w:val="24"/>
          <w:highlight w:val="none"/>
          <w:lang w:val="en-US" w:eastAsia="zh-CN"/>
        </w:rPr>
        <w:t>三</w:t>
      </w:r>
      <w:r>
        <w:rPr>
          <w:rFonts w:hint="default" w:ascii="Times New Roman" w:hAnsi="Times New Roman" w:eastAsia="宋体" w:cs="Times New Roman"/>
          <w:color w:val="auto"/>
          <w:spacing w:val="0"/>
          <w:w w:val="100"/>
          <w:position w:val="0"/>
          <w:sz w:val="24"/>
          <w:highlight w:val="none"/>
        </w:rPr>
        <w:t>级评价要求根据建设项目特征、水文地质条件及资料掌握情况，采用解析法或类比分析法进行地下水环境影响分析与评价。本</w:t>
      </w:r>
      <w:r>
        <w:rPr>
          <w:rFonts w:hint="eastAsia" w:cs="Times New Roman"/>
          <w:color w:val="auto"/>
          <w:spacing w:val="0"/>
          <w:w w:val="100"/>
          <w:position w:val="0"/>
          <w:sz w:val="24"/>
          <w:highlight w:val="none"/>
          <w:lang w:eastAsia="zh-CN"/>
        </w:rPr>
        <w:t>项目</w:t>
      </w:r>
      <w:r>
        <w:rPr>
          <w:rFonts w:hint="default" w:ascii="Times New Roman" w:hAnsi="Times New Roman" w:eastAsia="宋体" w:cs="Times New Roman"/>
          <w:color w:val="auto"/>
          <w:spacing w:val="0"/>
          <w:w w:val="100"/>
          <w:position w:val="0"/>
          <w:sz w:val="24"/>
          <w:highlight w:val="none"/>
        </w:rPr>
        <w:t>区水文地质条件较简单，本次采用</w:t>
      </w:r>
      <w:r>
        <w:rPr>
          <w:rFonts w:hint="eastAsia" w:cs="Times New Roman"/>
          <w:color w:val="auto"/>
          <w:spacing w:val="0"/>
          <w:w w:val="100"/>
          <w:position w:val="0"/>
          <w:sz w:val="24"/>
          <w:highlight w:val="none"/>
          <w:lang w:val="en-US" w:eastAsia="zh-CN"/>
        </w:rPr>
        <w:t>类比</w:t>
      </w:r>
      <w:r>
        <w:rPr>
          <w:rFonts w:hint="default" w:ascii="Times New Roman" w:hAnsi="Times New Roman" w:eastAsia="宋体" w:cs="Times New Roman"/>
          <w:color w:val="auto"/>
          <w:spacing w:val="0"/>
          <w:w w:val="100"/>
          <w:position w:val="0"/>
          <w:sz w:val="24"/>
          <w:highlight w:val="none"/>
        </w:rPr>
        <w:t>法对场地污染物的迁移规律进行预测。</w:t>
      </w:r>
    </w:p>
    <w:p w14:paraId="097DB21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outlineLvl w:val="9"/>
        <w:rPr>
          <w:rFonts w:hint="default"/>
          <w:color w:val="auto"/>
          <w:highlight w:val="none"/>
          <w:lang w:val="en-US" w:eastAsia="zh-CN"/>
        </w:rPr>
      </w:pPr>
      <w:r>
        <w:rPr>
          <w:rFonts w:hint="default"/>
          <w:color w:val="auto"/>
          <w:highlight w:val="none"/>
          <w:lang w:val="en-US" w:eastAsia="zh-CN"/>
        </w:rPr>
        <w:t>类比《</w:t>
      </w:r>
      <w:r>
        <w:rPr>
          <w:rFonts w:hint="eastAsia"/>
          <w:color w:val="auto"/>
          <w:highlight w:val="none"/>
          <w:lang w:val="en-US" w:eastAsia="zh-CN"/>
        </w:rPr>
        <w:t>年产12万平方米铝塑复合板生产线建设项目</w:t>
      </w:r>
      <w:r>
        <w:rPr>
          <w:rFonts w:hint="default"/>
          <w:color w:val="auto"/>
          <w:highlight w:val="none"/>
          <w:lang w:val="en-US" w:eastAsia="zh-CN"/>
        </w:rPr>
        <w:t>》</w:t>
      </w:r>
      <w:r>
        <w:rPr>
          <w:rFonts w:hint="eastAsia"/>
          <w:color w:val="auto"/>
          <w:highlight w:val="none"/>
          <w:lang w:val="en-US" w:eastAsia="zh-CN"/>
        </w:rPr>
        <w:t>，该</w:t>
      </w:r>
      <w:r>
        <w:rPr>
          <w:rFonts w:hint="default"/>
          <w:color w:val="auto"/>
          <w:highlight w:val="none"/>
          <w:lang w:val="en-US" w:eastAsia="zh-CN"/>
        </w:rPr>
        <w:t>项目生产工艺、原辅材料</w:t>
      </w:r>
      <w:r>
        <w:rPr>
          <w:rFonts w:hint="eastAsia"/>
          <w:color w:val="auto"/>
          <w:highlight w:val="none"/>
          <w:lang w:val="en-US" w:eastAsia="zh-CN"/>
        </w:rPr>
        <w:t>均</w:t>
      </w:r>
      <w:r>
        <w:rPr>
          <w:rFonts w:hint="default"/>
          <w:color w:val="auto"/>
          <w:highlight w:val="none"/>
          <w:lang w:val="en-US" w:eastAsia="zh-CN"/>
        </w:rPr>
        <w:t>与本项目</w:t>
      </w:r>
      <w:r>
        <w:rPr>
          <w:rFonts w:hint="eastAsia"/>
          <w:color w:val="auto"/>
          <w:highlight w:val="none"/>
          <w:lang w:val="en-US" w:eastAsia="zh-CN"/>
        </w:rPr>
        <w:t>相同，</w:t>
      </w:r>
      <w:r>
        <w:rPr>
          <w:rFonts w:hint="default"/>
          <w:color w:val="auto"/>
          <w:highlight w:val="none"/>
          <w:lang w:val="en-US" w:eastAsia="zh-CN"/>
        </w:rPr>
        <w:t>治理措施</w:t>
      </w:r>
      <w:r>
        <w:rPr>
          <w:rFonts w:hint="eastAsia"/>
          <w:color w:val="auto"/>
          <w:highlight w:val="none"/>
          <w:lang w:val="en-US" w:eastAsia="zh-CN"/>
        </w:rPr>
        <w:t>本项目优于类比项目，类比项目冷却水循环使用不外排，生活污水经化粪池收集后清运至污水处理厂处理</w:t>
      </w:r>
      <w:r>
        <w:rPr>
          <w:rFonts w:hint="default"/>
          <w:color w:val="auto"/>
          <w:highlight w:val="none"/>
          <w:lang w:val="en-US" w:eastAsia="zh-CN"/>
        </w:rPr>
        <w:t>。根据</w:t>
      </w:r>
      <w:r>
        <w:rPr>
          <w:rFonts w:hint="eastAsia"/>
          <w:color w:val="auto"/>
          <w:highlight w:val="none"/>
          <w:lang w:val="en-US" w:eastAsia="zh-CN"/>
        </w:rPr>
        <w:t>已掌握</w:t>
      </w:r>
      <w:r>
        <w:rPr>
          <w:rFonts w:hint="default"/>
          <w:color w:val="auto"/>
          <w:highlight w:val="none"/>
          <w:lang w:val="en-US" w:eastAsia="zh-CN"/>
        </w:rPr>
        <w:t>周边其他项目环评时对区域内</w:t>
      </w:r>
      <w:r>
        <w:rPr>
          <w:rFonts w:hint="eastAsia"/>
          <w:color w:val="auto"/>
          <w:highlight w:val="none"/>
          <w:lang w:val="en-US" w:eastAsia="zh-CN"/>
        </w:rPr>
        <w:t>地下水</w:t>
      </w:r>
      <w:r>
        <w:rPr>
          <w:rFonts w:hint="default"/>
          <w:color w:val="auto"/>
          <w:highlight w:val="none"/>
          <w:lang w:val="en-US" w:eastAsia="zh-CN"/>
        </w:rPr>
        <w:t>环境的调查</w:t>
      </w:r>
      <w:r>
        <w:rPr>
          <w:rFonts w:hint="eastAsia"/>
          <w:color w:val="auto"/>
          <w:highlight w:val="none"/>
          <w:lang w:val="en-US" w:eastAsia="zh-CN"/>
        </w:rPr>
        <w:t>监</w:t>
      </w:r>
      <w:r>
        <w:rPr>
          <w:rFonts w:hint="default"/>
          <w:color w:val="auto"/>
          <w:highlight w:val="none"/>
          <w:lang w:val="en-US" w:eastAsia="zh-CN"/>
        </w:rPr>
        <w:t>测，</w:t>
      </w:r>
      <w:r>
        <w:rPr>
          <w:rFonts w:hint="eastAsia"/>
          <w:color w:val="auto"/>
          <w:highlight w:val="none"/>
          <w:lang w:val="en-US" w:eastAsia="zh-CN"/>
        </w:rPr>
        <w:t>周边</w:t>
      </w:r>
      <w:r>
        <w:rPr>
          <w:rFonts w:hint="default"/>
          <w:color w:val="auto"/>
          <w:highlight w:val="none"/>
          <w:lang w:val="en-US" w:eastAsia="zh-CN"/>
        </w:rPr>
        <w:t>未发现</w:t>
      </w:r>
      <w:r>
        <w:rPr>
          <w:rFonts w:hint="eastAsia"/>
          <w:color w:val="auto"/>
          <w:highlight w:val="none"/>
          <w:lang w:val="en-US" w:eastAsia="zh-CN"/>
        </w:rPr>
        <w:t>因类比项目造成地下水</w:t>
      </w:r>
      <w:r>
        <w:rPr>
          <w:rFonts w:hint="default"/>
          <w:color w:val="auto"/>
          <w:highlight w:val="none"/>
          <w:lang w:val="en-US" w:eastAsia="zh-CN"/>
        </w:rPr>
        <w:t>污染物超标的现象。</w:t>
      </w:r>
    </w:p>
    <w:p w14:paraId="2E1373F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outlineLvl w:val="9"/>
        <w:rPr>
          <w:rFonts w:hint="default" w:ascii="Times New Roman" w:hAnsi="Times New Roman" w:eastAsia="宋体" w:cs="Times New Roman"/>
          <w:color w:val="auto"/>
          <w:spacing w:val="0"/>
          <w:w w:val="100"/>
          <w:position w:val="0"/>
          <w:sz w:val="24"/>
          <w:highlight w:val="none"/>
        </w:rPr>
      </w:pPr>
      <w:r>
        <w:rPr>
          <w:rFonts w:hint="default"/>
          <w:color w:val="auto"/>
          <w:highlight w:val="none"/>
          <w:lang w:val="en-US" w:eastAsia="zh-CN"/>
        </w:rPr>
        <w:t>经</w:t>
      </w:r>
      <w:r>
        <w:rPr>
          <w:rFonts w:hint="eastAsia"/>
          <w:color w:val="auto"/>
          <w:highlight w:val="none"/>
          <w:lang w:val="en-US" w:eastAsia="zh-CN"/>
        </w:rPr>
        <w:t>类比分析，</w:t>
      </w:r>
      <w:r>
        <w:rPr>
          <w:rFonts w:hint="default" w:ascii="Times New Roman" w:hAnsi="Times New Roman" w:eastAsia="宋体" w:cs="Times New Roman"/>
          <w:color w:val="auto"/>
          <w:spacing w:val="0"/>
          <w:w w:val="100"/>
          <w:position w:val="0"/>
          <w:sz w:val="24"/>
          <w:highlight w:val="none"/>
        </w:rPr>
        <w:t>本项目正常运行对地下水不会产生明显的污染。非正常工况下通过预测显示废水中主要污染物</w:t>
      </w:r>
      <w:r>
        <w:rPr>
          <w:rFonts w:hint="eastAsia" w:cs="Times New Roman"/>
          <w:color w:val="auto"/>
          <w:spacing w:val="0"/>
          <w:w w:val="100"/>
          <w:position w:val="0"/>
          <w:sz w:val="24"/>
          <w:highlight w:val="none"/>
          <w:lang w:eastAsia="zh-CN"/>
        </w:rPr>
        <w:t>CODcr</w:t>
      </w:r>
      <w:r>
        <w:rPr>
          <w:rFonts w:hint="default" w:ascii="Times New Roman" w:hAnsi="Times New Roman" w:eastAsia="宋体" w:cs="Times New Roman"/>
          <w:color w:val="auto"/>
          <w:spacing w:val="0"/>
          <w:w w:val="100"/>
          <w:position w:val="0"/>
          <w:sz w:val="24"/>
          <w:highlight w:val="none"/>
        </w:rPr>
        <w:t>和NH</w:t>
      </w:r>
      <w:r>
        <w:rPr>
          <w:rFonts w:hint="default" w:ascii="Times New Roman" w:hAnsi="Times New Roman" w:eastAsia="宋体" w:cs="Times New Roman"/>
          <w:color w:val="auto"/>
          <w:spacing w:val="0"/>
          <w:w w:val="100"/>
          <w:position w:val="0"/>
          <w:sz w:val="24"/>
          <w:highlight w:val="none"/>
          <w:vertAlign w:val="subscript"/>
        </w:rPr>
        <w:t>3</w:t>
      </w:r>
      <w:r>
        <w:rPr>
          <w:rFonts w:hint="default" w:ascii="Times New Roman" w:hAnsi="Times New Roman" w:eastAsia="宋体" w:cs="Times New Roman"/>
          <w:color w:val="auto"/>
          <w:spacing w:val="0"/>
          <w:w w:val="100"/>
          <w:position w:val="0"/>
          <w:sz w:val="24"/>
          <w:highlight w:val="none"/>
        </w:rPr>
        <w:t>-N等污染物在下渗过程中，虽然通过包气带对污染物的吸附、截留及降解作用，可使污染物浓度进一步得到净化，但当形成稳定的污染源，经长时间入渗作用下，对地下水有可能产生潜在影响。因此，项目不但应对厂区采取分区防渗措施，在施工期应做好对构筑物池体防渗措施的施工监理和施工质量监督工作，加强重点防治区防渗措施，将事故状况下废水渗漏对地下水环境的影响降至最低。</w:t>
      </w:r>
    </w:p>
    <w:p w14:paraId="43A6537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shd w:val="clear" w:color="auto" w:fill="auto"/>
          <w:lang w:val="en-US" w:eastAsia="zh-CN"/>
        </w:rPr>
      </w:pPr>
      <w:r>
        <w:rPr>
          <w:rFonts w:hint="eastAsia" w:cs="Times New Roman"/>
          <w:caps w:val="0"/>
          <w:snapToGrid/>
          <w:color w:val="auto"/>
          <w:spacing w:val="0"/>
          <w:w w:val="100"/>
          <w:kern w:val="0"/>
          <w:position w:val="0"/>
          <w:sz w:val="24"/>
          <w:szCs w:val="24"/>
          <w:highlight w:val="none"/>
          <w:shd w:val="clear" w:color="auto" w:fill="auto"/>
          <w:lang w:val="en-US" w:eastAsia="zh-CN"/>
        </w:rPr>
        <w:t>3</w:t>
      </w:r>
      <w:r>
        <w:rPr>
          <w:rFonts w:hint="default" w:ascii="Times New Roman" w:hAnsi="Times New Roman" w:eastAsia="宋体" w:cs="Times New Roman"/>
          <w:caps w:val="0"/>
          <w:snapToGrid/>
          <w:color w:val="auto"/>
          <w:spacing w:val="0"/>
          <w:w w:val="100"/>
          <w:kern w:val="0"/>
          <w:position w:val="0"/>
          <w:sz w:val="24"/>
          <w:szCs w:val="24"/>
          <w:highlight w:val="none"/>
          <w:shd w:val="clear" w:color="auto" w:fill="auto"/>
          <w:lang w:val="en-US" w:eastAsia="zh-CN"/>
        </w:rPr>
        <w:t>.小结</w:t>
      </w:r>
    </w:p>
    <w:p w14:paraId="518F91D7">
      <w:pPr>
        <w:pStyle w:val="2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outlineLvl w:val="9"/>
        <w:rPr>
          <w:rFonts w:hint="default" w:ascii="Times New Roman" w:hAnsi="Times New Roman" w:eastAsia="宋体" w:cs="Times New Roman"/>
          <w:caps w:val="0"/>
          <w:snapToGrid/>
          <w:color w:val="auto"/>
          <w:spacing w:val="0"/>
          <w:w w:val="100"/>
          <w:kern w:val="0"/>
          <w:position w:val="0"/>
          <w:highlight w:val="none"/>
          <w:lang w:eastAsia="zh-CN" w:bidi="ar"/>
        </w:rPr>
      </w:pPr>
      <w:r>
        <w:rPr>
          <w:rFonts w:hint="default" w:ascii="Times New Roman" w:hAnsi="Times New Roman" w:eastAsia="宋体" w:cs="Times New Roman"/>
          <w:caps w:val="0"/>
          <w:snapToGrid/>
          <w:color w:val="auto"/>
          <w:spacing w:val="0"/>
          <w:w w:val="100"/>
          <w:kern w:val="0"/>
          <w:position w:val="0"/>
          <w:highlight w:val="none"/>
          <w:lang w:eastAsia="zh-CN" w:bidi="ar"/>
        </w:rPr>
        <w:t>拟建项目</w:t>
      </w:r>
      <w:r>
        <w:rPr>
          <w:rFonts w:hint="eastAsia" w:ascii="Times New Roman" w:hAnsi="Times New Roman" w:cs="Times New Roman"/>
          <w:caps w:val="0"/>
          <w:snapToGrid/>
          <w:color w:val="auto"/>
          <w:spacing w:val="0"/>
          <w:w w:val="100"/>
          <w:kern w:val="0"/>
          <w:position w:val="0"/>
          <w:highlight w:val="none"/>
          <w:lang w:val="en-US" w:eastAsia="zh-CN" w:bidi="ar"/>
        </w:rPr>
        <w:t>无生产废水外排，</w:t>
      </w:r>
      <w:r>
        <w:rPr>
          <w:rFonts w:hint="default" w:ascii="Times New Roman" w:hAnsi="Times New Roman" w:eastAsia="宋体" w:cs="Times New Roman"/>
          <w:caps w:val="0"/>
          <w:snapToGrid/>
          <w:color w:val="auto"/>
          <w:spacing w:val="0"/>
          <w:w w:val="100"/>
          <w:kern w:val="0"/>
          <w:position w:val="0"/>
          <w:highlight w:val="none"/>
          <w:lang w:eastAsia="zh-CN" w:bidi="ar"/>
        </w:rPr>
        <w:t>生活污水排入园区污水管网最终进入污水处理厂处理，在厂区防渗系统正常情况下，不会对地下水产生影响。厂区污水管道老化导致污水跑、冒、滴、漏等非正常情况下，污染物进入地下水后会对区域地下水环境造成一定污染，但影响是较小的、可控的。</w:t>
      </w:r>
    </w:p>
    <w:p w14:paraId="294209BD">
      <w:pPr>
        <w:pStyle w:val="2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outlineLvl w:val="9"/>
        <w:rPr>
          <w:rFonts w:hint="default" w:ascii="Times New Roman" w:hAnsi="Times New Roman" w:eastAsia="宋体" w:cs="Times New Roman"/>
          <w:caps w:val="0"/>
          <w:snapToGrid/>
          <w:color w:val="auto"/>
          <w:spacing w:val="0"/>
          <w:w w:val="100"/>
          <w:kern w:val="0"/>
          <w:position w:val="0"/>
          <w:highlight w:val="none"/>
          <w:lang w:val="en-US" w:eastAsia="zh-CN" w:bidi="ar"/>
        </w:rPr>
      </w:pPr>
      <w:r>
        <w:rPr>
          <w:rFonts w:hint="default" w:ascii="Times New Roman" w:hAnsi="Times New Roman" w:eastAsia="宋体" w:cs="Times New Roman"/>
          <w:caps w:val="0"/>
          <w:snapToGrid/>
          <w:color w:val="auto"/>
          <w:spacing w:val="0"/>
          <w:w w:val="100"/>
          <w:kern w:val="0"/>
          <w:position w:val="0"/>
          <w:highlight w:val="none"/>
          <w:lang w:eastAsia="zh-CN" w:bidi="ar"/>
        </w:rPr>
        <w:t>为有效减轻项目对区域地下水环境的影响，必须做好地下水污染预防措施，应按照“源头控制、分区控制、污染监控、应急响应”的主动与被动防渗相结合的防渗原则，并对厂区污水收集、处理设施定期检修，确保在非正常状况下污水渗漏能够被及时发现，并采取应急响应措施，减少项目实施对地下水环境的影响。</w:t>
      </w:r>
    </w:p>
    <w:p w14:paraId="41B4DFBA">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5.2.3声环境影响预测与评价</w:t>
      </w:r>
    </w:p>
    <w:p w14:paraId="1C6808D1">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5.2.3.1预测范围和预测内容</w:t>
      </w:r>
    </w:p>
    <w:p w14:paraId="7B38A8E3">
      <w:pPr>
        <w:pStyle w:val="2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outlineLvl w:val="9"/>
        <w:rPr>
          <w:rFonts w:hint="default" w:ascii="Times New Roman" w:hAnsi="Times New Roman" w:eastAsia="宋体" w:cs="Times New Roman"/>
          <w:caps w:val="0"/>
          <w:snapToGrid/>
          <w:color w:val="auto"/>
          <w:spacing w:val="0"/>
          <w:w w:val="100"/>
          <w:kern w:val="0"/>
          <w:position w:val="0"/>
          <w:highlight w:val="none"/>
          <w:lang w:bidi="ar"/>
        </w:rPr>
      </w:pPr>
      <w:r>
        <w:rPr>
          <w:rFonts w:hint="default" w:ascii="Times New Roman" w:hAnsi="Times New Roman" w:eastAsia="宋体" w:cs="Times New Roman"/>
          <w:caps w:val="0"/>
          <w:snapToGrid/>
          <w:color w:val="auto"/>
          <w:spacing w:val="0"/>
          <w:w w:val="100"/>
          <w:kern w:val="0"/>
          <w:position w:val="0"/>
          <w:highlight w:val="none"/>
          <w:lang w:bidi="ar"/>
        </w:rPr>
        <w:t>预测范围为厂界外1m的范围，预测内容为项目运行后主要声源对东、西、南、北厂界的噪声贡献值，评价项目</w:t>
      </w:r>
      <w:r>
        <w:rPr>
          <w:rFonts w:hint="default" w:ascii="Times New Roman" w:hAnsi="Times New Roman" w:eastAsia="宋体" w:cs="Times New Roman"/>
          <w:caps w:val="0"/>
          <w:snapToGrid/>
          <w:color w:val="auto"/>
          <w:spacing w:val="0"/>
          <w:w w:val="100"/>
          <w:kern w:val="0"/>
          <w:position w:val="0"/>
          <w:highlight w:val="none"/>
          <w:lang w:val="en-US" w:eastAsia="zh-CN" w:bidi="ar"/>
        </w:rPr>
        <w:t>运行后</w:t>
      </w:r>
      <w:r>
        <w:rPr>
          <w:rFonts w:hint="default" w:ascii="Times New Roman" w:hAnsi="Times New Roman" w:eastAsia="宋体" w:cs="Times New Roman"/>
          <w:caps w:val="0"/>
          <w:snapToGrid/>
          <w:color w:val="auto"/>
          <w:spacing w:val="0"/>
          <w:w w:val="100"/>
          <w:kern w:val="0"/>
          <w:position w:val="0"/>
          <w:highlight w:val="none"/>
          <w:lang w:bidi="ar"/>
        </w:rPr>
        <w:t>厂界昼、夜间噪声的达标情况。</w:t>
      </w:r>
    </w:p>
    <w:p w14:paraId="295348DD">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5.2.3.2预测时段及预测点</w:t>
      </w:r>
    </w:p>
    <w:p w14:paraId="1EC8FE80">
      <w:pPr>
        <w:pStyle w:val="2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outlineLvl w:val="9"/>
        <w:rPr>
          <w:rFonts w:hint="default" w:ascii="Times New Roman" w:hAnsi="Times New Roman" w:eastAsia="宋体" w:cs="Times New Roman"/>
          <w:caps w:val="0"/>
          <w:snapToGrid/>
          <w:color w:val="auto"/>
          <w:spacing w:val="0"/>
          <w:w w:val="100"/>
          <w:kern w:val="0"/>
          <w:position w:val="0"/>
          <w:highlight w:val="none"/>
          <w:lang w:bidi="ar"/>
        </w:rPr>
      </w:pPr>
      <w:r>
        <w:rPr>
          <w:rFonts w:hint="default" w:ascii="Times New Roman" w:hAnsi="Times New Roman" w:eastAsia="宋体" w:cs="Times New Roman"/>
          <w:caps w:val="0"/>
          <w:snapToGrid/>
          <w:color w:val="auto"/>
          <w:spacing w:val="0"/>
          <w:w w:val="100"/>
          <w:kern w:val="0"/>
          <w:position w:val="0"/>
          <w:highlight w:val="none"/>
          <w:lang w:bidi="ar"/>
        </w:rPr>
        <w:t>本次评价主要预测厂界外1m处</w:t>
      </w:r>
      <w:r>
        <w:rPr>
          <w:rFonts w:hint="default" w:ascii="Times New Roman" w:hAnsi="Times New Roman" w:eastAsia="宋体" w:cs="Times New Roman"/>
          <w:caps w:val="0"/>
          <w:snapToGrid/>
          <w:color w:val="auto"/>
          <w:spacing w:val="0"/>
          <w:w w:val="100"/>
          <w:kern w:val="0"/>
          <w:position w:val="0"/>
          <w:highlight w:val="none"/>
          <w:lang w:val="en-US" w:eastAsia="zh-CN" w:bidi="ar"/>
        </w:rPr>
        <w:t>的</w:t>
      </w:r>
      <w:r>
        <w:rPr>
          <w:rFonts w:hint="default" w:ascii="Times New Roman" w:hAnsi="Times New Roman" w:eastAsia="宋体" w:cs="Times New Roman"/>
          <w:caps w:val="0"/>
          <w:snapToGrid/>
          <w:color w:val="auto"/>
          <w:spacing w:val="0"/>
          <w:w w:val="100"/>
          <w:kern w:val="0"/>
          <w:position w:val="0"/>
          <w:highlight w:val="none"/>
          <w:lang w:bidi="ar"/>
        </w:rPr>
        <w:t>噪声贡献值，预测时段为昼间和夜间。</w:t>
      </w:r>
    </w:p>
    <w:p w14:paraId="357151AC">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5.2.3.3评价标准</w:t>
      </w:r>
    </w:p>
    <w:p w14:paraId="2CEF5BDA">
      <w:pPr>
        <w:pStyle w:val="2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outlineLvl w:val="9"/>
        <w:rPr>
          <w:rFonts w:hint="default" w:ascii="Times New Roman" w:hAnsi="Times New Roman" w:eastAsia="宋体" w:cs="Times New Roman"/>
          <w:caps w:val="0"/>
          <w:snapToGrid/>
          <w:color w:val="auto"/>
          <w:spacing w:val="0"/>
          <w:w w:val="100"/>
          <w:kern w:val="0"/>
          <w:position w:val="0"/>
          <w:highlight w:val="none"/>
          <w:lang w:bidi="ar"/>
        </w:rPr>
      </w:pPr>
      <w:r>
        <w:rPr>
          <w:rFonts w:hint="default" w:ascii="Times New Roman" w:hAnsi="Times New Roman" w:eastAsia="宋体" w:cs="Times New Roman"/>
          <w:caps w:val="0"/>
          <w:snapToGrid/>
          <w:color w:val="auto"/>
          <w:spacing w:val="0"/>
          <w:w w:val="100"/>
          <w:kern w:val="0"/>
          <w:position w:val="0"/>
          <w:highlight w:val="none"/>
          <w:lang w:bidi="ar"/>
        </w:rPr>
        <w:t>本项目厂区声功能区划属于《声环境质量标准》（GB3096-2008）的</w:t>
      </w:r>
      <w:r>
        <w:rPr>
          <w:rFonts w:hint="default" w:ascii="Times New Roman" w:hAnsi="Times New Roman" w:eastAsia="宋体" w:cs="Times New Roman"/>
          <w:caps w:val="0"/>
          <w:snapToGrid/>
          <w:color w:val="auto"/>
          <w:spacing w:val="0"/>
          <w:w w:val="100"/>
          <w:kern w:val="0"/>
          <w:position w:val="0"/>
          <w:highlight w:val="none"/>
          <w:lang w:eastAsia="zh-CN" w:bidi="ar"/>
        </w:rPr>
        <w:t>“</w:t>
      </w:r>
      <w:r>
        <w:rPr>
          <w:rFonts w:hint="default" w:ascii="Times New Roman" w:hAnsi="Times New Roman" w:eastAsia="宋体" w:cs="Times New Roman"/>
          <w:caps w:val="0"/>
          <w:snapToGrid/>
          <w:color w:val="auto"/>
          <w:spacing w:val="0"/>
          <w:w w:val="100"/>
          <w:kern w:val="0"/>
          <w:position w:val="0"/>
          <w:highlight w:val="none"/>
          <w:lang w:bidi="ar"/>
        </w:rPr>
        <w:t>3类区</w:t>
      </w:r>
      <w:r>
        <w:rPr>
          <w:rFonts w:hint="default" w:ascii="Times New Roman" w:hAnsi="Times New Roman" w:eastAsia="宋体" w:cs="Times New Roman"/>
          <w:caps w:val="0"/>
          <w:snapToGrid/>
          <w:color w:val="auto"/>
          <w:spacing w:val="0"/>
          <w:w w:val="100"/>
          <w:kern w:val="0"/>
          <w:position w:val="0"/>
          <w:highlight w:val="none"/>
          <w:lang w:eastAsia="zh-CN" w:bidi="ar"/>
        </w:rPr>
        <w:t>”</w:t>
      </w:r>
      <w:r>
        <w:rPr>
          <w:rFonts w:hint="default" w:ascii="Times New Roman" w:hAnsi="Times New Roman" w:eastAsia="宋体" w:cs="Times New Roman"/>
          <w:caps w:val="0"/>
          <w:snapToGrid/>
          <w:color w:val="auto"/>
          <w:spacing w:val="0"/>
          <w:w w:val="100"/>
          <w:kern w:val="0"/>
          <w:position w:val="0"/>
          <w:highlight w:val="none"/>
          <w:lang w:bidi="ar"/>
        </w:rPr>
        <w:t>，厂界各侧噪声排放标准应执行《工业企业厂界环境噪声排放标准》（GB12348-2008）中的3类标准限值的要求，即昼间65dB</w:t>
      </w:r>
      <w:r>
        <w:rPr>
          <w:rFonts w:hint="default" w:ascii="Times New Roman" w:hAnsi="Times New Roman" w:eastAsia="宋体" w:cs="Times New Roman"/>
          <w:caps w:val="0"/>
          <w:snapToGrid/>
          <w:color w:val="auto"/>
          <w:spacing w:val="0"/>
          <w:w w:val="100"/>
          <w:kern w:val="0"/>
          <w:position w:val="0"/>
          <w:highlight w:val="none"/>
          <w:lang w:eastAsia="zh-CN" w:bidi="ar"/>
        </w:rPr>
        <w:t>（</w:t>
      </w:r>
      <w:r>
        <w:rPr>
          <w:rFonts w:hint="default" w:ascii="Times New Roman" w:hAnsi="Times New Roman" w:eastAsia="宋体" w:cs="Times New Roman"/>
          <w:caps w:val="0"/>
          <w:snapToGrid/>
          <w:color w:val="auto"/>
          <w:spacing w:val="0"/>
          <w:w w:val="100"/>
          <w:kern w:val="0"/>
          <w:position w:val="0"/>
          <w:highlight w:val="none"/>
          <w:lang w:bidi="ar"/>
        </w:rPr>
        <w:t>A</w:t>
      </w:r>
      <w:r>
        <w:rPr>
          <w:rFonts w:hint="default" w:ascii="Times New Roman" w:hAnsi="Times New Roman" w:eastAsia="宋体" w:cs="Times New Roman"/>
          <w:caps w:val="0"/>
          <w:snapToGrid/>
          <w:color w:val="auto"/>
          <w:spacing w:val="0"/>
          <w:w w:val="100"/>
          <w:kern w:val="0"/>
          <w:position w:val="0"/>
          <w:highlight w:val="none"/>
          <w:lang w:eastAsia="zh-CN" w:bidi="ar"/>
        </w:rPr>
        <w:t>）</w:t>
      </w:r>
      <w:r>
        <w:rPr>
          <w:rFonts w:hint="default" w:ascii="Times New Roman" w:hAnsi="Times New Roman" w:eastAsia="宋体" w:cs="Times New Roman"/>
          <w:caps w:val="0"/>
          <w:snapToGrid/>
          <w:color w:val="auto"/>
          <w:spacing w:val="0"/>
          <w:w w:val="100"/>
          <w:kern w:val="0"/>
          <w:position w:val="0"/>
          <w:highlight w:val="none"/>
          <w:lang w:bidi="ar"/>
        </w:rPr>
        <w:t>，夜间55dB</w:t>
      </w:r>
      <w:r>
        <w:rPr>
          <w:rFonts w:hint="default" w:ascii="Times New Roman" w:hAnsi="Times New Roman" w:eastAsia="宋体" w:cs="Times New Roman"/>
          <w:caps w:val="0"/>
          <w:snapToGrid/>
          <w:color w:val="auto"/>
          <w:spacing w:val="0"/>
          <w:w w:val="100"/>
          <w:kern w:val="0"/>
          <w:position w:val="0"/>
          <w:highlight w:val="none"/>
          <w:lang w:eastAsia="zh-CN" w:bidi="ar"/>
        </w:rPr>
        <w:t>（</w:t>
      </w:r>
      <w:r>
        <w:rPr>
          <w:rFonts w:hint="default" w:ascii="Times New Roman" w:hAnsi="Times New Roman" w:eastAsia="宋体" w:cs="Times New Roman"/>
          <w:caps w:val="0"/>
          <w:snapToGrid/>
          <w:color w:val="auto"/>
          <w:spacing w:val="0"/>
          <w:w w:val="100"/>
          <w:kern w:val="0"/>
          <w:position w:val="0"/>
          <w:highlight w:val="none"/>
          <w:lang w:bidi="ar"/>
        </w:rPr>
        <w:t>A</w:t>
      </w:r>
      <w:r>
        <w:rPr>
          <w:rFonts w:hint="default" w:ascii="Times New Roman" w:hAnsi="Times New Roman" w:eastAsia="宋体" w:cs="Times New Roman"/>
          <w:caps w:val="0"/>
          <w:snapToGrid/>
          <w:color w:val="auto"/>
          <w:spacing w:val="0"/>
          <w:w w:val="100"/>
          <w:kern w:val="0"/>
          <w:position w:val="0"/>
          <w:highlight w:val="none"/>
          <w:lang w:eastAsia="zh-CN" w:bidi="ar"/>
        </w:rPr>
        <w:t>）</w:t>
      </w:r>
      <w:r>
        <w:rPr>
          <w:rFonts w:hint="default" w:ascii="Times New Roman" w:hAnsi="Times New Roman" w:eastAsia="宋体" w:cs="Times New Roman"/>
          <w:caps w:val="0"/>
          <w:snapToGrid/>
          <w:color w:val="auto"/>
          <w:spacing w:val="0"/>
          <w:w w:val="100"/>
          <w:kern w:val="0"/>
          <w:position w:val="0"/>
          <w:highlight w:val="none"/>
          <w:lang w:bidi="ar"/>
        </w:rPr>
        <w:t>。</w:t>
      </w:r>
    </w:p>
    <w:p w14:paraId="598E72CC">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5.2.3.4预测模型及评价方法</w:t>
      </w:r>
    </w:p>
    <w:p w14:paraId="5C6DC2C1">
      <w:pPr>
        <w:pStyle w:val="2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outlineLvl w:val="9"/>
        <w:rPr>
          <w:rFonts w:hint="default" w:ascii="Times New Roman" w:hAnsi="Times New Roman" w:eastAsia="宋体" w:cs="Times New Roman"/>
          <w:caps w:val="0"/>
          <w:snapToGrid/>
          <w:color w:val="auto"/>
          <w:spacing w:val="0"/>
          <w:w w:val="100"/>
          <w:kern w:val="0"/>
          <w:position w:val="0"/>
          <w:highlight w:val="none"/>
          <w:lang w:bidi="ar"/>
        </w:rPr>
      </w:pPr>
      <w:r>
        <w:rPr>
          <w:rFonts w:hint="default" w:ascii="Times New Roman" w:hAnsi="Times New Roman" w:eastAsia="宋体" w:cs="Times New Roman"/>
          <w:caps w:val="0"/>
          <w:snapToGrid/>
          <w:color w:val="auto"/>
          <w:spacing w:val="0"/>
          <w:w w:val="100"/>
          <w:kern w:val="0"/>
          <w:position w:val="0"/>
          <w:highlight w:val="none"/>
          <w:lang w:bidi="ar"/>
        </w:rPr>
        <w:t>根据工程分析提供的噪声源参数，采用点声源等距离衰减预测模型，参照气象条件修正值进行计算，并考虑多声源</w:t>
      </w:r>
      <w:r>
        <w:rPr>
          <w:rFonts w:hint="default" w:ascii="Times New Roman" w:hAnsi="Times New Roman" w:eastAsia="宋体" w:cs="Times New Roman"/>
          <w:caps w:val="0"/>
          <w:snapToGrid/>
          <w:color w:val="auto"/>
          <w:spacing w:val="0"/>
          <w:w w:val="100"/>
          <w:kern w:val="0"/>
          <w:position w:val="0"/>
          <w:highlight w:val="none"/>
          <w:lang w:eastAsia="zh-CN" w:bidi="ar"/>
        </w:rPr>
        <w:t>叠加</w:t>
      </w:r>
      <w:r>
        <w:rPr>
          <w:rFonts w:hint="default" w:ascii="Times New Roman" w:hAnsi="Times New Roman" w:eastAsia="宋体" w:cs="Times New Roman"/>
          <w:caps w:val="0"/>
          <w:snapToGrid/>
          <w:color w:val="auto"/>
          <w:spacing w:val="0"/>
          <w:w w:val="100"/>
          <w:kern w:val="0"/>
          <w:position w:val="0"/>
          <w:highlight w:val="none"/>
          <w:lang w:bidi="ar"/>
        </w:rPr>
        <w:t>。噪声预测模型及方法使用《环境影响评价技术导则声环境》（HJ2.4-2021）提供的方法，选用点源模式，根据噪声衰减特性，分别预测其在评价范围内产生的噪声声级。</w:t>
      </w:r>
    </w:p>
    <w:p w14:paraId="6087E74C">
      <w:pPr>
        <w:pStyle w:val="2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outlineLvl w:val="9"/>
        <w:rPr>
          <w:rFonts w:hint="default" w:ascii="Times New Roman" w:hAnsi="Times New Roman" w:eastAsia="宋体" w:cs="Times New Roman"/>
          <w:caps w:val="0"/>
          <w:snapToGrid/>
          <w:color w:val="auto"/>
          <w:spacing w:val="0"/>
          <w:w w:val="100"/>
          <w:kern w:val="0"/>
          <w:position w:val="0"/>
          <w:highlight w:val="none"/>
          <w:lang w:bidi="ar"/>
        </w:rPr>
      </w:pPr>
      <w:r>
        <w:rPr>
          <w:rFonts w:hint="default" w:ascii="Times New Roman" w:hAnsi="Times New Roman" w:eastAsia="宋体" w:cs="Times New Roman"/>
          <w:caps w:val="0"/>
          <w:snapToGrid/>
          <w:color w:val="auto"/>
          <w:spacing w:val="0"/>
          <w:w w:val="100"/>
          <w:kern w:val="0"/>
          <w:position w:val="0"/>
          <w:highlight w:val="none"/>
          <w:lang w:bidi="ar"/>
        </w:rPr>
        <w:t>（1）室内声源等效室外声源的计算</w:t>
      </w:r>
    </w:p>
    <w:p w14:paraId="37183A29">
      <w:pPr>
        <w:pStyle w:val="2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outlineLvl w:val="9"/>
        <w:rPr>
          <w:rFonts w:hint="default" w:ascii="Times New Roman" w:hAnsi="Times New Roman" w:eastAsia="宋体" w:cs="Times New Roman"/>
          <w:caps w:val="0"/>
          <w:snapToGrid/>
          <w:color w:val="auto"/>
          <w:spacing w:val="0"/>
          <w:w w:val="100"/>
          <w:kern w:val="0"/>
          <w:position w:val="0"/>
          <w:highlight w:val="none"/>
          <w:lang w:bidi="ar"/>
        </w:rPr>
      </w:pPr>
      <w:r>
        <w:rPr>
          <w:rFonts w:hint="default" w:ascii="Times New Roman" w:hAnsi="Times New Roman" w:eastAsia="宋体" w:cs="Times New Roman"/>
          <w:caps w:val="0"/>
          <w:snapToGrid/>
          <w:color w:val="auto"/>
          <w:spacing w:val="0"/>
          <w:w w:val="100"/>
          <w:kern w:val="0"/>
          <w:position w:val="0"/>
          <w:highlight w:val="none"/>
          <w:lang w:bidi="ar"/>
        </w:rPr>
        <w:t>声源位于室内，室内声源可采用等效室外声源声功率级法进行计算。设靠近开口处（或窗户）室内、室外某倍频带的声压级分别为Lp1和Lp2。若声源所在室内声场为近似扩散声场，按下列公式计算出靠近室外围护结构处的声压级：</w:t>
      </w:r>
    </w:p>
    <w:p w14:paraId="038751B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highlight w:val="none"/>
        </w:rPr>
      </w:pPr>
      <w:r>
        <w:rPr>
          <w:rFonts w:hint="default" w:ascii="Times New Roman" w:hAnsi="Times New Roman" w:eastAsia="宋体" w:cs="Times New Roman"/>
          <w:caps w:val="0"/>
          <w:snapToGrid/>
          <w:color w:val="auto"/>
          <w:spacing w:val="0"/>
          <w:w w:val="100"/>
          <w:kern w:val="0"/>
          <w:position w:val="0"/>
          <w:szCs w:val="21"/>
          <w:highlight w:val="none"/>
        </w:rPr>
        <w:drawing>
          <wp:inline distT="0" distB="0" distL="114300" distR="114300">
            <wp:extent cx="2030095" cy="288290"/>
            <wp:effectExtent l="0" t="0" r="8255" b="16510"/>
            <wp:docPr id="19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7"/>
                    <pic:cNvPicPr>
                      <a:picLocks noChangeAspect="1"/>
                    </pic:cNvPicPr>
                  </pic:nvPicPr>
                  <pic:blipFill>
                    <a:blip r:embed="rId23"/>
                    <a:stretch>
                      <a:fillRect/>
                    </a:stretch>
                  </pic:blipFill>
                  <pic:spPr>
                    <a:xfrm>
                      <a:off x="0" y="0"/>
                      <a:ext cx="2030095" cy="288290"/>
                    </a:xfrm>
                    <a:prstGeom prst="rect">
                      <a:avLst/>
                    </a:prstGeom>
                    <a:noFill/>
                    <a:ln>
                      <a:noFill/>
                    </a:ln>
                  </pic:spPr>
                </pic:pic>
              </a:graphicData>
            </a:graphic>
          </wp:inline>
        </w:drawing>
      </w:r>
    </w:p>
    <w:p w14:paraId="4DC6A301">
      <w:pPr>
        <w:pStyle w:val="2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outlineLvl w:val="9"/>
        <w:rPr>
          <w:rFonts w:hint="default" w:ascii="Times New Roman" w:hAnsi="Times New Roman" w:eastAsia="宋体" w:cs="Times New Roman"/>
          <w:caps w:val="0"/>
          <w:snapToGrid/>
          <w:color w:val="auto"/>
          <w:spacing w:val="0"/>
          <w:w w:val="100"/>
          <w:kern w:val="0"/>
          <w:position w:val="0"/>
          <w:highlight w:val="none"/>
          <w:lang w:bidi="ar"/>
        </w:rPr>
      </w:pPr>
      <w:r>
        <w:rPr>
          <w:rFonts w:hint="default" w:ascii="Times New Roman" w:hAnsi="Times New Roman" w:eastAsia="宋体" w:cs="Times New Roman"/>
          <w:caps w:val="0"/>
          <w:snapToGrid/>
          <w:color w:val="auto"/>
          <w:spacing w:val="0"/>
          <w:w w:val="100"/>
          <w:kern w:val="0"/>
          <w:position w:val="0"/>
          <w:highlight w:val="none"/>
          <w:lang w:bidi="ar"/>
        </w:rPr>
        <w:t>式中：</w:t>
      </w:r>
      <w:r>
        <w:rPr>
          <w:rFonts w:hint="default" w:ascii="Times New Roman" w:hAnsi="Times New Roman" w:eastAsia="宋体" w:cs="Times New Roman"/>
          <w:i/>
          <w:iCs/>
          <w:caps w:val="0"/>
          <w:snapToGrid/>
          <w:color w:val="auto"/>
          <w:spacing w:val="0"/>
          <w:w w:val="100"/>
          <w:kern w:val="0"/>
          <w:position w:val="0"/>
          <w:highlight w:val="none"/>
          <w:lang w:bidi="ar"/>
        </w:rPr>
        <w:t>L</w:t>
      </w:r>
      <w:r>
        <w:rPr>
          <w:rFonts w:hint="default" w:ascii="Times New Roman" w:hAnsi="Times New Roman" w:eastAsia="宋体" w:cs="Times New Roman"/>
          <w:i/>
          <w:iCs/>
          <w:caps w:val="0"/>
          <w:snapToGrid/>
          <w:color w:val="auto"/>
          <w:spacing w:val="0"/>
          <w:w w:val="100"/>
          <w:kern w:val="0"/>
          <w:position w:val="0"/>
          <w:highlight w:val="none"/>
          <w:vertAlign w:val="subscript"/>
          <w:lang w:bidi="ar"/>
        </w:rPr>
        <w:t>P2i</w:t>
      </w:r>
      <w:r>
        <w:rPr>
          <w:rFonts w:hint="default" w:ascii="Times New Roman" w:hAnsi="Times New Roman" w:eastAsia="宋体" w:cs="Times New Roman"/>
          <w:caps w:val="0"/>
          <w:snapToGrid/>
          <w:color w:val="auto"/>
          <w:spacing w:val="0"/>
          <w:w w:val="100"/>
          <w:kern w:val="0"/>
          <w:position w:val="0"/>
          <w:highlight w:val="none"/>
          <w:lang w:eastAsia="zh-CN" w:bidi="ar"/>
        </w:rPr>
        <w:t>（</w:t>
      </w:r>
      <w:r>
        <w:rPr>
          <w:rFonts w:hint="default" w:ascii="Times New Roman" w:hAnsi="Times New Roman" w:eastAsia="宋体" w:cs="Times New Roman"/>
          <w:caps w:val="0"/>
          <w:snapToGrid/>
          <w:color w:val="auto"/>
          <w:spacing w:val="0"/>
          <w:w w:val="100"/>
          <w:kern w:val="0"/>
          <w:position w:val="0"/>
          <w:highlight w:val="none"/>
          <w:lang w:val="en-US" w:eastAsia="zh-CN" w:bidi="ar"/>
        </w:rPr>
        <w:t>T</w:t>
      </w:r>
      <w:r>
        <w:rPr>
          <w:rFonts w:hint="default" w:ascii="Times New Roman" w:hAnsi="Times New Roman" w:eastAsia="宋体" w:cs="Times New Roman"/>
          <w:caps w:val="0"/>
          <w:snapToGrid/>
          <w:color w:val="auto"/>
          <w:spacing w:val="0"/>
          <w:w w:val="100"/>
          <w:kern w:val="0"/>
          <w:position w:val="0"/>
          <w:highlight w:val="none"/>
          <w:lang w:eastAsia="zh-CN" w:bidi="ar"/>
        </w:rPr>
        <w:t>）</w:t>
      </w:r>
      <w:r>
        <w:rPr>
          <w:rFonts w:hint="default" w:ascii="Times New Roman" w:hAnsi="Times New Roman" w:eastAsia="宋体" w:cs="Times New Roman"/>
          <w:caps w:val="0"/>
          <w:snapToGrid/>
          <w:color w:val="auto"/>
          <w:spacing w:val="0"/>
          <w:w w:val="100"/>
          <w:kern w:val="0"/>
          <w:position w:val="0"/>
          <w:highlight w:val="none"/>
          <w:lang w:bidi="ar"/>
        </w:rPr>
        <w:t>—靠近围护结构处室外N个声源i倍频带的叠加声压级，dB；</w:t>
      </w:r>
    </w:p>
    <w:p w14:paraId="3E230CBE">
      <w:pPr>
        <w:pStyle w:val="2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rightChars="0" w:firstLine="1200" w:firstLineChars="500"/>
        <w:jc w:val="both"/>
        <w:textAlignment w:val="auto"/>
        <w:outlineLvl w:val="9"/>
        <w:rPr>
          <w:rFonts w:hint="default" w:ascii="Times New Roman" w:hAnsi="Times New Roman" w:eastAsia="宋体" w:cs="Times New Roman"/>
          <w:caps w:val="0"/>
          <w:snapToGrid/>
          <w:color w:val="auto"/>
          <w:spacing w:val="0"/>
          <w:w w:val="100"/>
          <w:kern w:val="0"/>
          <w:position w:val="0"/>
          <w:highlight w:val="none"/>
          <w:lang w:bidi="ar"/>
        </w:rPr>
      </w:pPr>
      <w:r>
        <w:rPr>
          <w:rFonts w:hint="default" w:ascii="Times New Roman" w:hAnsi="Times New Roman" w:eastAsia="宋体" w:cs="Times New Roman"/>
          <w:i/>
          <w:iCs/>
          <w:caps w:val="0"/>
          <w:snapToGrid/>
          <w:color w:val="auto"/>
          <w:spacing w:val="0"/>
          <w:w w:val="100"/>
          <w:kern w:val="0"/>
          <w:position w:val="0"/>
          <w:highlight w:val="none"/>
          <w:lang w:bidi="ar"/>
        </w:rPr>
        <w:t>TL</w:t>
      </w:r>
      <w:r>
        <w:rPr>
          <w:rFonts w:hint="default" w:ascii="Times New Roman" w:hAnsi="Times New Roman" w:eastAsia="宋体" w:cs="Times New Roman"/>
          <w:i/>
          <w:iCs/>
          <w:caps w:val="0"/>
          <w:snapToGrid/>
          <w:color w:val="auto"/>
          <w:spacing w:val="0"/>
          <w:w w:val="100"/>
          <w:kern w:val="0"/>
          <w:position w:val="0"/>
          <w:highlight w:val="none"/>
          <w:vertAlign w:val="subscript"/>
          <w:lang w:bidi="ar"/>
        </w:rPr>
        <w:t>i</w:t>
      </w:r>
      <w:r>
        <w:rPr>
          <w:rFonts w:hint="default" w:ascii="Times New Roman" w:hAnsi="Times New Roman" w:eastAsia="宋体" w:cs="Times New Roman"/>
          <w:caps w:val="0"/>
          <w:snapToGrid/>
          <w:color w:val="auto"/>
          <w:spacing w:val="0"/>
          <w:w w:val="100"/>
          <w:kern w:val="0"/>
          <w:position w:val="0"/>
          <w:highlight w:val="none"/>
          <w:lang w:bidi="ar"/>
        </w:rPr>
        <w:t>—围护结构i倍频带的隔声量，dB。</w:t>
      </w:r>
    </w:p>
    <w:p w14:paraId="2AC71531">
      <w:pPr>
        <w:pStyle w:val="2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outlineLvl w:val="9"/>
        <w:rPr>
          <w:rFonts w:hint="default" w:ascii="Times New Roman" w:hAnsi="Times New Roman" w:eastAsia="宋体" w:cs="Times New Roman"/>
          <w:caps w:val="0"/>
          <w:snapToGrid/>
          <w:color w:val="auto"/>
          <w:spacing w:val="0"/>
          <w:w w:val="100"/>
          <w:kern w:val="0"/>
          <w:position w:val="0"/>
          <w:highlight w:val="none"/>
          <w:lang w:bidi="ar"/>
        </w:rPr>
      </w:pPr>
      <w:r>
        <w:rPr>
          <w:rFonts w:hint="default" w:ascii="Times New Roman" w:hAnsi="Times New Roman" w:eastAsia="宋体" w:cs="Times New Roman"/>
          <w:caps w:val="0"/>
          <w:snapToGrid/>
          <w:color w:val="auto"/>
          <w:spacing w:val="0"/>
          <w:w w:val="100"/>
          <w:kern w:val="0"/>
          <w:position w:val="0"/>
          <w:highlight w:val="none"/>
          <w:lang w:bidi="ar"/>
        </w:rPr>
        <w:t>然后按下列公式将室外声源的声压级和透过面积换算成等效的室外声源，计算出中心位置位于透声面积（S）处的等效声源的倍频带声功率级。</w:t>
      </w:r>
    </w:p>
    <w:p w14:paraId="6667A703">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highlight w:val="none"/>
        </w:rPr>
      </w:pPr>
      <w:r>
        <w:rPr>
          <w:rFonts w:hint="default" w:ascii="Times New Roman" w:hAnsi="Times New Roman" w:eastAsia="宋体" w:cs="Times New Roman"/>
          <w:caps w:val="0"/>
          <w:snapToGrid/>
          <w:color w:val="auto"/>
          <w:spacing w:val="0"/>
          <w:w w:val="100"/>
          <w:kern w:val="0"/>
          <w:position w:val="0"/>
          <w:highlight w:val="none"/>
        </w:rPr>
        <w:drawing>
          <wp:inline distT="0" distB="0" distL="114300" distR="114300">
            <wp:extent cx="2030095" cy="288290"/>
            <wp:effectExtent l="0" t="0" r="8255" b="16510"/>
            <wp:docPr id="19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8"/>
                    <pic:cNvPicPr>
                      <a:picLocks noChangeAspect="1"/>
                    </pic:cNvPicPr>
                  </pic:nvPicPr>
                  <pic:blipFill>
                    <a:blip r:embed="rId23"/>
                    <a:stretch>
                      <a:fillRect/>
                    </a:stretch>
                  </pic:blipFill>
                  <pic:spPr>
                    <a:xfrm>
                      <a:off x="0" y="0"/>
                      <a:ext cx="2030095" cy="288290"/>
                    </a:xfrm>
                    <a:prstGeom prst="rect">
                      <a:avLst/>
                    </a:prstGeom>
                    <a:noFill/>
                    <a:ln>
                      <a:noFill/>
                    </a:ln>
                  </pic:spPr>
                </pic:pic>
              </a:graphicData>
            </a:graphic>
          </wp:inline>
        </w:drawing>
      </w:r>
    </w:p>
    <w:p w14:paraId="5154C380">
      <w:pPr>
        <w:pStyle w:val="2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outlineLvl w:val="9"/>
        <w:rPr>
          <w:rFonts w:hint="default" w:ascii="Times New Roman" w:hAnsi="Times New Roman" w:eastAsia="宋体" w:cs="Times New Roman"/>
          <w:caps w:val="0"/>
          <w:snapToGrid/>
          <w:color w:val="auto"/>
          <w:spacing w:val="0"/>
          <w:w w:val="100"/>
          <w:kern w:val="0"/>
          <w:position w:val="0"/>
          <w:highlight w:val="none"/>
          <w:lang w:bidi="ar"/>
        </w:rPr>
      </w:pPr>
      <w:r>
        <w:rPr>
          <w:rFonts w:hint="default" w:ascii="Times New Roman" w:hAnsi="Times New Roman" w:eastAsia="宋体" w:cs="Times New Roman"/>
          <w:caps w:val="0"/>
          <w:snapToGrid/>
          <w:color w:val="auto"/>
          <w:spacing w:val="0"/>
          <w:w w:val="100"/>
          <w:kern w:val="0"/>
          <w:position w:val="0"/>
          <w:highlight w:val="none"/>
          <w:lang w:bidi="ar"/>
        </w:rPr>
        <w:t>然后按室外声源预测方法计算预测点处的A声级。</w:t>
      </w:r>
    </w:p>
    <w:p w14:paraId="1025D602">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highlight w:val="none"/>
        </w:rPr>
      </w:pPr>
      <w:r>
        <w:rPr>
          <w:rFonts w:hint="default" w:ascii="Times New Roman" w:hAnsi="Times New Roman" w:eastAsia="宋体" w:cs="Times New Roman"/>
          <w:caps w:val="0"/>
          <w:snapToGrid/>
          <w:color w:val="auto"/>
          <w:spacing w:val="0"/>
          <w:w w:val="100"/>
          <w:kern w:val="0"/>
          <w:position w:val="0"/>
          <w:highlight w:val="none"/>
        </w:rPr>
        <w:drawing>
          <wp:inline distT="0" distB="0" distL="114300" distR="114300">
            <wp:extent cx="3119755" cy="1440180"/>
            <wp:effectExtent l="0" t="0" r="4445" b="7620"/>
            <wp:docPr id="19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9"/>
                    <pic:cNvPicPr>
                      <a:picLocks noChangeAspect="1"/>
                    </pic:cNvPicPr>
                  </pic:nvPicPr>
                  <pic:blipFill>
                    <a:blip r:embed="rId24"/>
                    <a:stretch>
                      <a:fillRect/>
                    </a:stretch>
                  </pic:blipFill>
                  <pic:spPr>
                    <a:xfrm>
                      <a:off x="0" y="0"/>
                      <a:ext cx="3119755" cy="1440180"/>
                    </a:xfrm>
                    <a:prstGeom prst="rect">
                      <a:avLst/>
                    </a:prstGeom>
                    <a:noFill/>
                    <a:ln>
                      <a:noFill/>
                    </a:ln>
                  </pic:spPr>
                </pic:pic>
              </a:graphicData>
            </a:graphic>
          </wp:inline>
        </w:drawing>
      </w:r>
    </w:p>
    <w:p w14:paraId="00A7BA5E">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baseline"/>
        <w:outlineLvl w:val="9"/>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rPr>
        <w:t>室内声源等效为室外声源图例</w:t>
      </w:r>
    </w:p>
    <w:p w14:paraId="0AA129D3">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（2）单个室外的点声源在户外传播衰减的计算</w:t>
      </w:r>
    </w:p>
    <w:p w14:paraId="7B5C8E48">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单个室外的点声源A声级的计算公式为：</w:t>
      </w:r>
    </w:p>
    <w:p w14:paraId="41F95257">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Lp（r）=Lp（r0）-（A</w:t>
      </w:r>
      <w:r>
        <w:rPr>
          <w:rFonts w:hint="default" w:ascii="Times New Roman" w:hAnsi="Times New Roman" w:eastAsia="宋体" w:cs="Times New Roman"/>
          <w:caps w:val="0"/>
          <w:snapToGrid/>
          <w:color w:val="auto"/>
          <w:spacing w:val="0"/>
          <w:w w:val="100"/>
          <w:kern w:val="0"/>
          <w:position w:val="0"/>
          <w:sz w:val="24"/>
          <w:szCs w:val="24"/>
          <w:highlight w:val="none"/>
          <w:vertAlign w:val="subscript"/>
        </w:rPr>
        <w:t>diV</w:t>
      </w:r>
      <w:r>
        <w:rPr>
          <w:rFonts w:hint="default" w:ascii="Times New Roman" w:hAnsi="Times New Roman" w:eastAsia="宋体" w:cs="Times New Roman"/>
          <w:caps w:val="0"/>
          <w:snapToGrid/>
          <w:color w:val="auto"/>
          <w:spacing w:val="0"/>
          <w:w w:val="100"/>
          <w:kern w:val="0"/>
          <w:position w:val="0"/>
          <w:sz w:val="24"/>
          <w:szCs w:val="24"/>
          <w:highlight w:val="none"/>
        </w:rPr>
        <w:t>+A</w:t>
      </w:r>
      <w:r>
        <w:rPr>
          <w:rFonts w:hint="default" w:ascii="Times New Roman" w:hAnsi="Times New Roman" w:eastAsia="宋体" w:cs="Times New Roman"/>
          <w:caps w:val="0"/>
          <w:snapToGrid/>
          <w:color w:val="auto"/>
          <w:spacing w:val="0"/>
          <w:w w:val="100"/>
          <w:kern w:val="0"/>
          <w:position w:val="0"/>
          <w:sz w:val="24"/>
          <w:szCs w:val="24"/>
          <w:highlight w:val="none"/>
          <w:vertAlign w:val="subscript"/>
        </w:rPr>
        <w:t>bar</w:t>
      </w:r>
      <w:r>
        <w:rPr>
          <w:rFonts w:hint="default" w:ascii="Times New Roman" w:hAnsi="Times New Roman" w:eastAsia="宋体" w:cs="Times New Roman"/>
          <w:caps w:val="0"/>
          <w:snapToGrid/>
          <w:color w:val="auto"/>
          <w:spacing w:val="0"/>
          <w:w w:val="100"/>
          <w:kern w:val="0"/>
          <w:position w:val="0"/>
          <w:sz w:val="24"/>
          <w:szCs w:val="24"/>
          <w:highlight w:val="none"/>
        </w:rPr>
        <w:t>+A</w:t>
      </w:r>
      <w:r>
        <w:rPr>
          <w:rFonts w:hint="default" w:ascii="Times New Roman" w:hAnsi="Times New Roman" w:eastAsia="宋体" w:cs="Times New Roman"/>
          <w:caps w:val="0"/>
          <w:snapToGrid/>
          <w:color w:val="auto"/>
          <w:spacing w:val="0"/>
          <w:w w:val="100"/>
          <w:kern w:val="0"/>
          <w:position w:val="0"/>
          <w:sz w:val="24"/>
          <w:szCs w:val="24"/>
          <w:highlight w:val="none"/>
          <w:vertAlign w:val="subscript"/>
        </w:rPr>
        <w:t>atm</w:t>
      </w:r>
      <w:r>
        <w:rPr>
          <w:rFonts w:hint="default" w:ascii="Times New Roman" w:hAnsi="Times New Roman" w:eastAsia="宋体" w:cs="Times New Roman"/>
          <w:caps w:val="0"/>
          <w:snapToGrid/>
          <w:color w:val="auto"/>
          <w:spacing w:val="0"/>
          <w:w w:val="100"/>
          <w:kern w:val="0"/>
          <w:position w:val="0"/>
          <w:sz w:val="24"/>
          <w:szCs w:val="24"/>
          <w:highlight w:val="none"/>
        </w:rPr>
        <w:t>+A</w:t>
      </w:r>
      <w:r>
        <w:rPr>
          <w:rFonts w:hint="default" w:ascii="Times New Roman" w:hAnsi="Times New Roman" w:eastAsia="宋体" w:cs="Times New Roman"/>
          <w:caps w:val="0"/>
          <w:snapToGrid/>
          <w:color w:val="auto"/>
          <w:spacing w:val="0"/>
          <w:w w:val="100"/>
          <w:kern w:val="0"/>
          <w:position w:val="0"/>
          <w:sz w:val="24"/>
          <w:szCs w:val="24"/>
          <w:highlight w:val="none"/>
          <w:vertAlign w:val="subscript"/>
        </w:rPr>
        <w:t>gy</w:t>
      </w:r>
      <w:r>
        <w:rPr>
          <w:rFonts w:hint="default" w:ascii="Times New Roman" w:hAnsi="Times New Roman" w:eastAsia="宋体" w:cs="Times New Roman"/>
          <w:caps w:val="0"/>
          <w:snapToGrid/>
          <w:color w:val="auto"/>
          <w:spacing w:val="0"/>
          <w:w w:val="100"/>
          <w:kern w:val="0"/>
          <w:position w:val="0"/>
          <w:sz w:val="24"/>
          <w:szCs w:val="24"/>
          <w:highlight w:val="none"/>
        </w:rPr>
        <w:t>+A</w:t>
      </w:r>
      <w:r>
        <w:rPr>
          <w:rFonts w:hint="default" w:ascii="Times New Roman" w:hAnsi="Times New Roman" w:eastAsia="宋体" w:cs="Times New Roman"/>
          <w:caps w:val="0"/>
          <w:snapToGrid/>
          <w:color w:val="auto"/>
          <w:spacing w:val="0"/>
          <w:w w:val="100"/>
          <w:kern w:val="0"/>
          <w:position w:val="0"/>
          <w:sz w:val="24"/>
          <w:szCs w:val="24"/>
          <w:highlight w:val="none"/>
          <w:vertAlign w:val="subscript"/>
        </w:rPr>
        <w:t>misc</w:t>
      </w:r>
      <w:r>
        <w:rPr>
          <w:rFonts w:hint="default" w:ascii="Times New Roman" w:hAnsi="Times New Roman" w:eastAsia="宋体" w:cs="Times New Roman"/>
          <w:caps w:val="0"/>
          <w:snapToGrid/>
          <w:color w:val="auto"/>
          <w:spacing w:val="0"/>
          <w:w w:val="100"/>
          <w:kern w:val="0"/>
          <w:position w:val="0"/>
          <w:sz w:val="24"/>
          <w:szCs w:val="24"/>
          <w:highlight w:val="none"/>
        </w:rPr>
        <w:t>）</w:t>
      </w:r>
    </w:p>
    <w:p w14:paraId="3AAAB39C">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其中：Lp（r）—距声源r处的A声级，dB；</w:t>
      </w:r>
    </w:p>
    <w:p w14:paraId="3B65B6B6">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1200" w:firstLineChars="5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Lp（r0）—参考位置r0处的A声级，dB；</w:t>
      </w:r>
    </w:p>
    <w:p w14:paraId="7A9C0F03">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1200" w:firstLineChars="5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A</w:t>
      </w:r>
      <w:r>
        <w:rPr>
          <w:rFonts w:hint="default" w:ascii="Times New Roman" w:hAnsi="Times New Roman" w:eastAsia="宋体" w:cs="Times New Roman"/>
          <w:caps w:val="0"/>
          <w:snapToGrid/>
          <w:color w:val="auto"/>
          <w:spacing w:val="0"/>
          <w:w w:val="100"/>
          <w:kern w:val="0"/>
          <w:position w:val="0"/>
          <w:sz w:val="24"/>
          <w:szCs w:val="24"/>
          <w:highlight w:val="none"/>
          <w:vertAlign w:val="subscript"/>
        </w:rPr>
        <w:t>diV</w:t>
      </w:r>
      <w:r>
        <w:rPr>
          <w:rFonts w:hint="default" w:ascii="Times New Roman" w:hAnsi="Times New Roman" w:eastAsia="宋体" w:cs="Times New Roman"/>
          <w:caps w:val="0"/>
          <w:snapToGrid/>
          <w:color w:val="auto"/>
          <w:spacing w:val="0"/>
          <w:w w:val="100"/>
          <w:kern w:val="0"/>
          <w:position w:val="0"/>
          <w:sz w:val="24"/>
          <w:szCs w:val="24"/>
          <w:highlight w:val="none"/>
        </w:rPr>
        <w:t>—声波几何发散引起的A声级衰减量，dB；</w:t>
      </w:r>
    </w:p>
    <w:p w14:paraId="608BFA53">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1200" w:firstLineChars="5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A</w:t>
      </w:r>
      <w:r>
        <w:rPr>
          <w:rFonts w:hint="default" w:ascii="Times New Roman" w:hAnsi="Times New Roman" w:eastAsia="宋体" w:cs="Times New Roman"/>
          <w:caps w:val="0"/>
          <w:snapToGrid/>
          <w:color w:val="auto"/>
          <w:spacing w:val="0"/>
          <w:w w:val="100"/>
          <w:kern w:val="0"/>
          <w:position w:val="0"/>
          <w:sz w:val="24"/>
          <w:szCs w:val="24"/>
          <w:highlight w:val="none"/>
          <w:vertAlign w:val="subscript"/>
        </w:rPr>
        <w:t>bar</w:t>
      </w:r>
      <w:r>
        <w:rPr>
          <w:rFonts w:hint="default" w:ascii="Times New Roman" w:hAnsi="Times New Roman" w:eastAsia="宋体" w:cs="Times New Roman"/>
          <w:caps w:val="0"/>
          <w:snapToGrid/>
          <w:color w:val="auto"/>
          <w:spacing w:val="0"/>
          <w:w w:val="100"/>
          <w:kern w:val="0"/>
          <w:position w:val="0"/>
          <w:sz w:val="24"/>
          <w:szCs w:val="24"/>
          <w:highlight w:val="none"/>
        </w:rPr>
        <w:t>—遮挡物引起的A声级衰减量，dB；</w:t>
      </w:r>
    </w:p>
    <w:p w14:paraId="6F211377">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1200" w:firstLineChars="5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A</w:t>
      </w:r>
      <w:r>
        <w:rPr>
          <w:rFonts w:hint="default" w:ascii="Times New Roman" w:hAnsi="Times New Roman" w:eastAsia="宋体" w:cs="Times New Roman"/>
          <w:caps w:val="0"/>
          <w:snapToGrid/>
          <w:color w:val="auto"/>
          <w:spacing w:val="0"/>
          <w:w w:val="100"/>
          <w:kern w:val="0"/>
          <w:position w:val="0"/>
          <w:sz w:val="24"/>
          <w:szCs w:val="24"/>
          <w:highlight w:val="none"/>
          <w:vertAlign w:val="subscript"/>
        </w:rPr>
        <w:t>atm</w:t>
      </w:r>
      <w:r>
        <w:rPr>
          <w:rFonts w:hint="default" w:ascii="Times New Roman" w:hAnsi="Times New Roman" w:eastAsia="宋体" w:cs="Times New Roman"/>
          <w:caps w:val="0"/>
          <w:snapToGrid/>
          <w:color w:val="auto"/>
          <w:spacing w:val="0"/>
          <w:w w:val="100"/>
          <w:kern w:val="0"/>
          <w:position w:val="0"/>
          <w:sz w:val="24"/>
          <w:szCs w:val="24"/>
          <w:highlight w:val="none"/>
        </w:rPr>
        <w:t>—空气吸收引起的A声级衰减量，dB；</w:t>
      </w:r>
    </w:p>
    <w:p w14:paraId="2D101092">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1200" w:firstLineChars="5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A</w:t>
      </w:r>
      <w:r>
        <w:rPr>
          <w:rFonts w:hint="default" w:ascii="Times New Roman" w:hAnsi="Times New Roman" w:eastAsia="宋体" w:cs="Times New Roman"/>
          <w:caps w:val="0"/>
          <w:snapToGrid/>
          <w:color w:val="auto"/>
          <w:spacing w:val="0"/>
          <w:w w:val="100"/>
          <w:kern w:val="0"/>
          <w:position w:val="0"/>
          <w:sz w:val="24"/>
          <w:szCs w:val="24"/>
          <w:highlight w:val="none"/>
          <w:vertAlign w:val="subscript"/>
        </w:rPr>
        <w:t>gy</w:t>
      </w:r>
      <w:r>
        <w:rPr>
          <w:rFonts w:hint="default" w:ascii="Times New Roman" w:hAnsi="Times New Roman" w:eastAsia="宋体" w:cs="Times New Roman"/>
          <w:caps w:val="0"/>
          <w:snapToGrid/>
          <w:color w:val="auto"/>
          <w:spacing w:val="0"/>
          <w:w w:val="100"/>
          <w:kern w:val="0"/>
          <w:position w:val="0"/>
          <w:sz w:val="24"/>
          <w:szCs w:val="24"/>
          <w:highlight w:val="none"/>
        </w:rPr>
        <w:t>—地面效应衰减量，dB；</w:t>
      </w:r>
    </w:p>
    <w:p w14:paraId="768E25BE">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1200" w:firstLineChars="5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A</w:t>
      </w:r>
      <w:r>
        <w:rPr>
          <w:rFonts w:hint="default" w:ascii="Times New Roman" w:hAnsi="Times New Roman" w:eastAsia="宋体" w:cs="Times New Roman"/>
          <w:caps w:val="0"/>
          <w:snapToGrid/>
          <w:color w:val="auto"/>
          <w:spacing w:val="0"/>
          <w:w w:val="100"/>
          <w:kern w:val="0"/>
          <w:position w:val="0"/>
          <w:sz w:val="24"/>
          <w:szCs w:val="24"/>
          <w:highlight w:val="none"/>
          <w:vertAlign w:val="subscript"/>
        </w:rPr>
        <w:t>misc</w:t>
      </w:r>
      <w:r>
        <w:rPr>
          <w:rFonts w:hint="default" w:ascii="Times New Roman" w:hAnsi="Times New Roman" w:eastAsia="宋体" w:cs="Times New Roman"/>
          <w:caps w:val="0"/>
          <w:snapToGrid/>
          <w:color w:val="auto"/>
          <w:spacing w:val="0"/>
          <w:w w:val="100"/>
          <w:kern w:val="0"/>
          <w:position w:val="0"/>
          <w:sz w:val="24"/>
          <w:szCs w:val="24"/>
          <w:highlight w:val="none"/>
        </w:rPr>
        <w:t>—其他多方面效应，dB。</w:t>
      </w:r>
    </w:p>
    <w:p w14:paraId="22E78279">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项目所在地地势较为平坦开阔，预测点主要集中在厂界外1m处，故本次评价不考虑A</w:t>
      </w:r>
      <w:r>
        <w:rPr>
          <w:rFonts w:hint="default" w:ascii="Times New Roman" w:hAnsi="Times New Roman" w:eastAsia="宋体" w:cs="Times New Roman"/>
          <w:caps w:val="0"/>
          <w:snapToGrid/>
          <w:color w:val="auto"/>
          <w:spacing w:val="0"/>
          <w:w w:val="100"/>
          <w:kern w:val="0"/>
          <w:position w:val="0"/>
          <w:sz w:val="24"/>
          <w:szCs w:val="24"/>
          <w:highlight w:val="none"/>
          <w:vertAlign w:val="subscript"/>
        </w:rPr>
        <w:t>gy</w:t>
      </w:r>
      <w:r>
        <w:rPr>
          <w:rFonts w:hint="default" w:ascii="Times New Roman" w:hAnsi="Times New Roman" w:eastAsia="宋体" w:cs="Times New Roman"/>
          <w:caps w:val="0"/>
          <w:snapToGrid/>
          <w:color w:val="auto"/>
          <w:spacing w:val="0"/>
          <w:w w:val="100"/>
          <w:kern w:val="0"/>
          <w:position w:val="0"/>
          <w:sz w:val="24"/>
          <w:szCs w:val="24"/>
          <w:highlight w:val="none"/>
        </w:rPr>
        <w:t>、A</w:t>
      </w:r>
      <w:r>
        <w:rPr>
          <w:rFonts w:hint="default" w:ascii="Times New Roman" w:hAnsi="Times New Roman" w:eastAsia="宋体" w:cs="Times New Roman"/>
          <w:caps w:val="0"/>
          <w:snapToGrid/>
          <w:color w:val="auto"/>
          <w:spacing w:val="0"/>
          <w:w w:val="100"/>
          <w:kern w:val="0"/>
          <w:position w:val="0"/>
          <w:sz w:val="24"/>
          <w:szCs w:val="24"/>
          <w:highlight w:val="none"/>
          <w:vertAlign w:val="subscript"/>
        </w:rPr>
        <w:t>atm</w:t>
      </w:r>
      <w:r>
        <w:rPr>
          <w:rFonts w:hint="default" w:ascii="Times New Roman" w:hAnsi="Times New Roman" w:eastAsia="宋体" w:cs="Times New Roman"/>
          <w:caps w:val="0"/>
          <w:snapToGrid/>
          <w:color w:val="auto"/>
          <w:spacing w:val="0"/>
          <w:w w:val="100"/>
          <w:kern w:val="0"/>
          <w:position w:val="0"/>
          <w:sz w:val="24"/>
          <w:szCs w:val="24"/>
          <w:highlight w:val="none"/>
        </w:rPr>
        <w:t>、A</w:t>
      </w:r>
      <w:r>
        <w:rPr>
          <w:rFonts w:hint="default" w:ascii="Times New Roman" w:hAnsi="Times New Roman" w:eastAsia="宋体" w:cs="Times New Roman"/>
          <w:caps w:val="0"/>
          <w:snapToGrid/>
          <w:color w:val="auto"/>
          <w:spacing w:val="0"/>
          <w:w w:val="100"/>
          <w:kern w:val="0"/>
          <w:position w:val="0"/>
          <w:sz w:val="24"/>
          <w:szCs w:val="24"/>
          <w:highlight w:val="none"/>
          <w:vertAlign w:val="subscript"/>
        </w:rPr>
        <w:t>misc</w:t>
      </w:r>
      <w:r>
        <w:rPr>
          <w:rFonts w:hint="default" w:ascii="Times New Roman" w:hAnsi="Times New Roman" w:eastAsia="宋体" w:cs="Times New Roman"/>
          <w:caps w:val="0"/>
          <w:snapToGrid/>
          <w:color w:val="auto"/>
          <w:spacing w:val="0"/>
          <w:w w:val="100"/>
          <w:kern w:val="0"/>
          <w:position w:val="0"/>
          <w:sz w:val="24"/>
          <w:szCs w:val="24"/>
          <w:highlight w:val="none"/>
        </w:rPr>
        <w:t>。</w:t>
      </w:r>
    </w:p>
    <w:p w14:paraId="6177406A">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（3）声级叠加</w:t>
      </w:r>
    </w:p>
    <w:p w14:paraId="2102AB09">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多声源叠加模式：</w:t>
      </w:r>
    </w:p>
    <w:p w14:paraId="3BC96B74">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highlight w:val="none"/>
        </w:rPr>
      </w:pPr>
      <w:r>
        <w:rPr>
          <w:rFonts w:hint="default" w:ascii="Times New Roman" w:hAnsi="Times New Roman" w:eastAsia="宋体" w:cs="Times New Roman"/>
          <w:caps w:val="0"/>
          <w:snapToGrid/>
          <w:color w:val="auto"/>
          <w:spacing w:val="0"/>
          <w:w w:val="100"/>
          <w:kern w:val="0"/>
          <w:position w:val="0"/>
          <w:highlight w:val="none"/>
        </w:rPr>
        <w:drawing>
          <wp:inline distT="0" distB="0" distL="114300" distR="114300">
            <wp:extent cx="1343660" cy="451485"/>
            <wp:effectExtent l="0" t="0" r="8890" b="5080"/>
            <wp:docPr id="19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10"/>
                    <pic:cNvPicPr>
                      <a:picLocks noChangeAspect="1"/>
                    </pic:cNvPicPr>
                  </pic:nvPicPr>
                  <pic:blipFill>
                    <a:blip r:embed="rId25"/>
                    <a:stretch>
                      <a:fillRect/>
                    </a:stretch>
                  </pic:blipFill>
                  <pic:spPr>
                    <a:xfrm>
                      <a:off x="0" y="0"/>
                      <a:ext cx="1343660" cy="451485"/>
                    </a:xfrm>
                    <a:prstGeom prst="rect">
                      <a:avLst/>
                    </a:prstGeom>
                    <a:noFill/>
                    <a:ln>
                      <a:noFill/>
                    </a:ln>
                  </pic:spPr>
                </pic:pic>
              </a:graphicData>
            </a:graphic>
          </wp:inline>
        </w:drawing>
      </w:r>
    </w:p>
    <w:p w14:paraId="26C7ABCE">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式中：L</w:t>
      </w:r>
      <w:r>
        <w:rPr>
          <w:rFonts w:hint="default" w:ascii="Times New Roman" w:hAnsi="Times New Roman" w:eastAsia="宋体" w:cs="Times New Roman"/>
          <w:caps w:val="0"/>
          <w:snapToGrid/>
          <w:color w:val="auto"/>
          <w:spacing w:val="0"/>
          <w:w w:val="100"/>
          <w:kern w:val="0"/>
          <w:position w:val="0"/>
          <w:sz w:val="24"/>
          <w:szCs w:val="24"/>
          <w:highlight w:val="none"/>
          <w:vertAlign w:val="subscript"/>
        </w:rPr>
        <w:t>0</w:t>
      </w:r>
      <w:r>
        <w:rPr>
          <w:rFonts w:hint="default" w:ascii="Times New Roman" w:hAnsi="Times New Roman" w:eastAsia="宋体" w:cs="Times New Roman"/>
          <w:caps w:val="0"/>
          <w:snapToGrid/>
          <w:color w:val="auto"/>
          <w:spacing w:val="0"/>
          <w:w w:val="100"/>
          <w:kern w:val="0"/>
          <w:position w:val="0"/>
          <w:sz w:val="24"/>
          <w:szCs w:val="24"/>
          <w:highlight w:val="none"/>
        </w:rPr>
        <w:t>——叠加后总声压级，dB</w:t>
      </w:r>
      <w:r>
        <w:rPr>
          <w:rFonts w:hint="default" w:ascii="Times New Roman" w:hAnsi="Times New Roman" w:eastAsia="宋体" w:cs="Times New Roman"/>
          <w:caps w:val="0"/>
          <w:snapToGrid/>
          <w:color w:val="auto"/>
          <w:spacing w:val="0"/>
          <w:w w:val="100"/>
          <w:kern w:val="0"/>
          <w:position w:val="0"/>
          <w:sz w:val="24"/>
          <w:szCs w:val="24"/>
          <w:highlight w:val="none"/>
          <w:lang w:eastAsia="zh-CN"/>
        </w:rPr>
        <w:t>（</w:t>
      </w:r>
      <w:r>
        <w:rPr>
          <w:rFonts w:hint="default" w:ascii="Times New Roman" w:hAnsi="Times New Roman" w:eastAsia="宋体" w:cs="Times New Roman"/>
          <w:caps w:val="0"/>
          <w:snapToGrid/>
          <w:color w:val="auto"/>
          <w:spacing w:val="0"/>
          <w:w w:val="100"/>
          <w:kern w:val="0"/>
          <w:position w:val="0"/>
          <w:sz w:val="24"/>
          <w:szCs w:val="24"/>
          <w:highlight w:val="none"/>
        </w:rPr>
        <w:t>A</w:t>
      </w:r>
      <w:r>
        <w:rPr>
          <w:rFonts w:hint="default" w:ascii="Times New Roman" w:hAnsi="Times New Roman" w:eastAsia="宋体" w:cs="Times New Roman"/>
          <w:caps w:val="0"/>
          <w:snapToGrid/>
          <w:color w:val="auto"/>
          <w:spacing w:val="0"/>
          <w:w w:val="100"/>
          <w:kern w:val="0"/>
          <w:position w:val="0"/>
          <w:sz w:val="24"/>
          <w:szCs w:val="24"/>
          <w:highlight w:val="none"/>
          <w:lang w:eastAsia="zh-CN"/>
        </w:rPr>
        <w:t>）</w:t>
      </w:r>
      <w:r>
        <w:rPr>
          <w:rFonts w:hint="default" w:ascii="Times New Roman" w:hAnsi="Times New Roman" w:eastAsia="宋体" w:cs="Times New Roman"/>
          <w:caps w:val="0"/>
          <w:snapToGrid/>
          <w:color w:val="auto"/>
          <w:spacing w:val="0"/>
          <w:w w:val="100"/>
          <w:kern w:val="0"/>
          <w:position w:val="0"/>
          <w:sz w:val="24"/>
          <w:szCs w:val="24"/>
          <w:highlight w:val="none"/>
        </w:rPr>
        <w:t>；</w:t>
      </w:r>
    </w:p>
    <w:p w14:paraId="2BF4163F">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1200" w:firstLineChars="5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n——声源级数；</w:t>
      </w:r>
    </w:p>
    <w:p w14:paraId="22F3F180">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1200" w:firstLineChars="5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L</w:t>
      </w:r>
      <w:r>
        <w:rPr>
          <w:rFonts w:hint="default" w:ascii="Times New Roman" w:hAnsi="Times New Roman" w:eastAsia="宋体" w:cs="Times New Roman"/>
          <w:caps w:val="0"/>
          <w:snapToGrid/>
          <w:color w:val="auto"/>
          <w:spacing w:val="0"/>
          <w:w w:val="100"/>
          <w:kern w:val="0"/>
          <w:position w:val="0"/>
          <w:sz w:val="24"/>
          <w:szCs w:val="24"/>
          <w:highlight w:val="none"/>
          <w:vertAlign w:val="subscript"/>
        </w:rPr>
        <w:t>i</w:t>
      </w:r>
      <w:r>
        <w:rPr>
          <w:rFonts w:hint="default" w:ascii="Times New Roman" w:hAnsi="Times New Roman" w:eastAsia="宋体" w:cs="Times New Roman"/>
          <w:caps w:val="0"/>
          <w:snapToGrid/>
          <w:color w:val="auto"/>
          <w:spacing w:val="0"/>
          <w:w w:val="100"/>
          <w:kern w:val="0"/>
          <w:position w:val="0"/>
          <w:sz w:val="24"/>
          <w:szCs w:val="24"/>
          <w:highlight w:val="none"/>
        </w:rPr>
        <w:t>——各声源对某点的声压值，dB</w:t>
      </w:r>
      <w:r>
        <w:rPr>
          <w:rFonts w:hint="default" w:ascii="Times New Roman" w:hAnsi="Times New Roman" w:eastAsia="宋体" w:cs="Times New Roman"/>
          <w:caps w:val="0"/>
          <w:snapToGrid/>
          <w:color w:val="auto"/>
          <w:spacing w:val="0"/>
          <w:w w:val="100"/>
          <w:kern w:val="0"/>
          <w:position w:val="0"/>
          <w:sz w:val="24"/>
          <w:szCs w:val="24"/>
          <w:highlight w:val="none"/>
          <w:lang w:eastAsia="zh-CN"/>
        </w:rPr>
        <w:t>（</w:t>
      </w:r>
      <w:r>
        <w:rPr>
          <w:rFonts w:hint="default" w:ascii="Times New Roman" w:hAnsi="Times New Roman" w:eastAsia="宋体" w:cs="Times New Roman"/>
          <w:caps w:val="0"/>
          <w:snapToGrid/>
          <w:color w:val="auto"/>
          <w:spacing w:val="0"/>
          <w:w w:val="100"/>
          <w:kern w:val="0"/>
          <w:position w:val="0"/>
          <w:sz w:val="24"/>
          <w:szCs w:val="24"/>
          <w:highlight w:val="none"/>
        </w:rPr>
        <w:t>A</w:t>
      </w:r>
      <w:r>
        <w:rPr>
          <w:rFonts w:hint="default" w:ascii="Times New Roman" w:hAnsi="Times New Roman" w:eastAsia="宋体" w:cs="Times New Roman"/>
          <w:caps w:val="0"/>
          <w:snapToGrid/>
          <w:color w:val="auto"/>
          <w:spacing w:val="0"/>
          <w:w w:val="100"/>
          <w:kern w:val="0"/>
          <w:position w:val="0"/>
          <w:sz w:val="24"/>
          <w:szCs w:val="24"/>
          <w:highlight w:val="none"/>
          <w:lang w:eastAsia="zh-CN"/>
        </w:rPr>
        <w:t>）</w:t>
      </w:r>
      <w:r>
        <w:rPr>
          <w:rFonts w:hint="default" w:ascii="Times New Roman" w:hAnsi="Times New Roman" w:eastAsia="宋体" w:cs="Times New Roman"/>
          <w:caps w:val="0"/>
          <w:snapToGrid/>
          <w:color w:val="auto"/>
          <w:spacing w:val="0"/>
          <w:w w:val="100"/>
          <w:kern w:val="0"/>
          <w:position w:val="0"/>
          <w:sz w:val="24"/>
          <w:szCs w:val="24"/>
          <w:highlight w:val="none"/>
        </w:rPr>
        <w:t>。</w:t>
      </w:r>
    </w:p>
    <w:p w14:paraId="4DAE606B">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（4）参数的确定</w:t>
      </w:r>
    </w:p>
    <w:p w14:paraId="448591F7">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影响声波传播的参量包括建设项目所处区域的年平均风速、主导风向、年平均气温、年平均相对湿度，声源和预测点间的地形、高差，声源和预测点间障碍物（如建筑物、围墙等，若声源位于室内，还包括门、窗等）的位置及长、宽、高等数据，声源和预测点间树林、灌木等的分布情况及地面覆盖情况（如草地、水面、水泥地面、土质地面等）。</w:t>
      </w:r>
    </w:p>
    <w:p w14:paraId="15F7C04D">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根据工程实际和现场调查，项目位于</w:t>
      </w:r>
      <w:r>
        <w:rPr>
          <w:rFonts w:hint="eastAsia" w:cs="Times New Roman"/>
          <w:caps w:val="0"/>
          <w:snapToGrid/>
          <w:color w:val="auto"/>
          <w:spacing w:val="0"/>
          <w:w w:val="100"/>
          <w:kern w:val="0"/>
          <w:position w:val="0"/>
          <w:sz w:val="24"/>
          <w:szCs w:val="24"/>
          <w:highlight w:val="none"/>
          <w:lang w:eastAsia="zh-CN"/>
        </w:rPr>
        <w:t>甘泉堡工业园区中小微企业创新区</w:t>
      </w:r>
      <w:r>
        <w:rPr>
          <w:rFonts w:hint="default" w:ascii="Times New Roman" w:hAnsi="Times New Roman" w:eastAsia="宋体" w:cs="Times New Roman"/>
          <w:caps w:val="0"/>
          <w:snapToGrid/>
          <w:color w:val="auto"/>
          <w:spacing w:val="0"/>
          <w:w w:val="100"/>
          <w:kern w:val="0"/>
          <w:position w:val="0"/>
          <w:sz w:val="24"/>
          <w:szCs w:val="24"/>
          <w:highlight w:val="none"/>
        </w:rPr>
        <w:t>，所在区域地势较为平坦开阔，预测点主要集中在厂界外1m处，因此仅考虑预测点与声源间距离、障碍物的影响，忽略空气（A</w:t>
      </w:r>
      <w:r>
        <w:rPr>
          <w:rFonts w:hint="default" w:ascii="Times New Roman" w:hAnsi="Times New Roman" w:eastAsia="宋体" w:cs="Times New Roman"/>
          <w:caps w:val="0"/>
          <w:snapToGrid/>
          <w:color w:val="auto"/>
          <w:spacing w:val="0"/>
          <w:w w:val="100"/>
          <w:kern w:val="0"/>
          <w:position w:val="0"/>
          <w:sz w:val="24"/>
          <w:szCs w:val="24"/>
          <w:highlight w:val="none"/>
          <w:vertAlign w:val="subscript"/>
        </w:rPr>
        <w:t>atm</w:t>
      </w:r>
      <w:r>
        <w:rPr>
          <w:rFonts w:hint="default" w:ascii="Times New Roman" w:hAnsi="Times New Roman" w:eastAsia="宋体" w:cs="Times New Roman"/>
          <w:caps w:val="0"/>
          <w:snapToGrid/>
          <w:color w:val="auto"/>
          <w:spacing w:val="0"/>
          <w:w w:val="100"/>
          <w:kern w:val="0"/>
          <w:position w:val="0"/>
          <w:sz w:val="24"/>
          <w:szCs w:val="24"/>
          <w:highlight w:val="none"/>
        </w:rPr>
        <w:t>）、地面（A</w:t>
      </w:r>
      <w:r>
        <w:rPr>
          <w:rFonts w:hint="default" w:ascii="Times New Roman" w:hAnsi="Times New Roman" w:eastAsia="宋体" w:cs="Times New Roman"/>
          <w:caps w:val="0"/>
          <w:snapToGrid/>
          <w:color w:val="auto"/>
          <w:spacing w:val="0"/>
          <w:w w:val="100"/>
          <w:kern w:val="0"/>
          <w:position w:val="0"/>
          <w:sz w:val="24"/>
          <w:szCs w:val="24"/>
          <w:highlight w:val="none"/>
          <w:vertAlign w:val="subscript"/>
        </w:rPr>
        <w:t>gy</w:t>
      </w:r>
      <w:r>
        <w:rPr>
          <w:rFonts w:hint="default" w:ascii="Times New Roman" w:hAnsi="Times New Roman" w:eastAsia="宋体" w:cs="Times New Roman"/>
          <w:caps w:val="0"/>
          <w:snapToGrid/>
          <w:color w:val="auto"/>
          <w:spacing w:val="0"/>
          <w:w w:val="100"/>
          <w:kern w:val="0"/>
          <w:position w:val="0"/>
          <w:sz w:val="24"/>
          <w:szCs w:val="24"/>
          <w:highlight w:val="none"/>
        </w:rPr>
        <w:t>）及其他方面（A</w:t>
      </w:r>
      <w:r>
        <w:rPr>
          <w:rFonts w:hint="default" w:ascii="Times New Roman" w:hAnsi="Times New Roman" w:eastAsia="宋体" w:cs="Times New Roman"/>
          <w:caps w:val="0"/>
          <w:snapToGrid/>
          <w:color w:val="auto"/>
          <w:spacing w:val="0"/>
          <w:w w:val="100"/>
          <w:kern w:val="0"/>
          <w:position w:val="0"/>
          <w:sz w:val="24"/>
          <w:szCs w:val="24"/>
          <w:highlight w:val="none"/>
          <w:vertAlign w:val="subscript"/>
        </w:rPr>
        <w:t>misc</w:t>
      </w:r>
      <w:r>
        <w:rPr>
          <w:rFonts w:hint="default" w:ascii="Times New Roman" w:hAnsi="Times New Roman" w:eastAsia="宋体" w:cs="Times New Roman"/>
          <w:caps w:val="0"/>
          <w:snapToGrid/>
          <w:color w:val="auto"/>
          <w:spacing w:val="0"/>
          <w:w w:val="100"/>
          <w:kern w:val="0"/>
          <w:position w:val="0"/>
          <w:sz w:val="24"/>
          <w:szCs w:val="24"/>
          <w:highlight w:val="none"/>
        </w:rPr>
        <w:t>）的影响，仅考虑几何发散衰减和屏障引起的衰减。</w:t>
      </w:r>
    </w:p>
    <w:p w14:paraId="172FBEBB">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①室外点声源的几何发散衰减（A</w:t>
      </w:r>
      <w:r>
        <w:rPr>
          <w:rFonts w:hint="default" w:ascii="Times New Roman" w:hAnsi="Times New Roman" w:eastAsia="宋体" w:cs="Times New Roman"/>
          <w:caps w:val="0"/>
          <w:snapToGrid/>
          <w:color w:val="auto"/>
          <w:spacing w:val="0"/>
          <w:w w:val="100"/>
          <w:kern w:val="0"/>
          <w:position w:val="0"/>
          <w:sz w:val="24"/>
          <w:szCs w:val="24"/>
          <w:highlight w:val="none"/>
          <w:vertAlign w:val="subscript"/>
        </w:rPr>
        <w:t>diV</w:t>
      </w:r>
      <w:r>
        <w:rPr>
          <w:rFonts w:hint="default" w:ascii="Times New Roman" w:hAnsi="Times New Roman" w:eastAsia="宋体" w:cs="Times New Roman"/>
          <w:caps w:val="0"/>
          <w:snapToGrid/>
          <w:color w:val="auto"/>
          <w:spacing w:val="0"/>
          <w:w w:val="100"/>
          <w:kern w:val="0"/>
          <w:position w:val="0"/>
          <w:sz w:val="24"/>
          <w:szCs w:val="24"/>
          <w:highlight w:val="none"/>
        </w:rPr>
        <w:t>）</w:t>
      </w:r>
    </w:p>
    <w:p w14:paraId="444D40AA">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项目室外噪声设备均为点声源，室内声源在等效为室外声源后亦为点声源，因此，A</w:t>
      </w:r>
      <w:r>
        <w:rPr>
          <w:rFonts w:hint="default" w:ascii="Times New Roman" w:hAnsi="Times New Roman" w:eastAsia="宋体" w:cs="Times New Roman"/>
          <w:caps w:val="0"/>
          <w:snapToGrid/>
          <w:color w:val="auto"/>
          <w:spacing w:val="0"/>
          <w:w w:val="100"/>
          <w:kern w:val="0"/>
          <w:position w:val="0"/>
          <w:sz w:val="24"/>
          <w:szCs w:val="24"/>
          <w:highlight w:val="none"/>
          <w:vertAlign w:val="subscript"/>
        </w:rPr>
        <w:t>div</w:t>
      </w:r>
      <w:r>
        <w:rPr>
          <w:rFonts w:hint="default" w:ascii="Times New Roman" w:hAnsi="Times New Roman" w:eastAsia="宋体" w:cs="Times New Roman"/>
          <w:caps w:val="0"/>
          <w:snapToGrid/>
          <w:color w:val="auto"/>
          <w:spacing w:val="0"/>
          <w:w w:val="100"/>
          <w:kern w:val="0"/>
          <w:position w:val="0"/>
          <w:sz w:val="24"/>
          <w:szCs w:val="24"/>
          <w:highlight w:val="none"/>
        </w:rPr>
        <w:t>采用点声源几何发散衰减公式计算：</w:t>
      </w:r>
    </w:p>
    <w:p w14:paraId="1BFF2593">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lang w:eastAsia="zh-CN"/>
        </w:rPr>
      </w:pPr>
      <w:r>
        <w:rPr>
          <w:rFonts w:hint="default" w:ascii="Times New Roman" w:hAnsi="Times New Roman" w:eastAsia="宋体" w:cs="Times New Roman"/>
          <w:caps w:val="0"/>
          <w:snapToGrid/>
          <w:color w:val="auto"/>
          <w:spacing w:val="0"/>
          <w:w w:val="100"/>
          <w:kern w:val="0"/>
          <w:position w:val="0"/>
          <w:sz w:val="24"/>
          <w:szCs w:val="24"/>
          <w:highlight w:val="none"/>
        </w:rPr>
        <w:t>A</w:t>
      </w:r>
      <w:r>
        <w:rPr>
          <w:rFonts w:hint="default" w:ascii="Times New Roman" w:hAnsi="Times New Roman" w:eastAsia="宋体" w:cs="Times New Roman"/>
          <w:caps w:val="0"/>
          <w:snapToGrid/>
          <w:color w:val="auto"/>
          <w:spacing w:val="0"/>
          <w:w w:val="100"/>
          <w:kern w:val="0"/>
          <w:position w:val="0"/>
          <w:sz w:val="24"/>
          <w:szCs w:val="24"/>
          <w:highlight w:val="none"/>
          <w:vertAlign w:val="subscript"/>
        </w:rPr>
        <w:t>diV</w:t>
      </w:r>
      <w:r>
        <w:rPr>
          <w:rFonts w:hint="default" w:ascii="Times New Roman" w:hAnsi="Times New Roman" w:eastAsia="宋体" w:cs="Times New Roman"/>
          <w:caps w:val="0"/>
          <w:snapToGrid/>
          <w:color w:val="auto"/>
          <w:spacing w:val="0"/>
          <w:w w:val="100"/>
          <w:kern w:val="0"/>
          <w:position w:val="0"/>
          <w:sz w:val="24"/>
          <w:szCs w:val="24"/>
          <w:highlight w:val="none"/>
        </w:rPr>
        <w:t>=20lg</w:t>
      </w:r>
      <w:r>
        <w:rPr>
          <w:rFonts w:hint="default" w:ascii="Times New Roman" w:hAnsi="Times New Roman" w:eastAsia="宋体" w:cs="Times New Roman"/>
          <w:caps w:val="0"/>
          <w:snapToGrid/>
          <w:color w:val="auto"/>
          <w:spacing w:val="0"/>
          <w:w w:val="100"/>
          <w:kern w:val="0"/>
          <w:position w:val="0"/>
          <w:sz w:val="24"/>
          <w:szCs w:val="24"/>
          <w:highlight w:val="none"/>
          <w:lang w:eastAsia="zh-CN"/>
        </w:rPr>
        <w:t>（</w:t>
      </w:r>
      <w:r>
        <w:rPr>
          <w:rFonts w:hint="default" w:ascii="Times New Roman" w:hAnsi="Times New Roman" w:eastAsia="宋体" w:cs="Times New Roman"/>
          <w:caps w:val="0"/>
          <w:snapToGrid/>
          <w:color w:val="auto"/>
          <w:spacing w:val="0"/>
          <w:w w:val="100"/>
          <w:kern w:val="0"/>
          <w:position w:val="0"/>
          <w:sz w:val="24"/>
          <w:szCs w:val="24"/>
          <w:highlight w:val="none"/>
        </w:rPr>
        <w:t>r/r0</w:t>
      </w:r>
      <w:r>
        <w:rPr>
          <w:rFonts w:hint="default" w:ascii="Times New Roman" w:hAnsi="Times New Roman" w:eastAsia="宋体" w:cs="Times New Roman"/>
          <w:caps w:val="0"/>
          <w:snapToGrid/>
          <w:color w:val="auto"/>
          <w:spacing w:val="0"/>
          <w:w w:val="100"/>
          <w:kern w:val="0"/>
          <w:position w:val="0"/>
          <w:sz w:val="24"/>
          <w:szCs w:val="24"/>
          <w:highlight w:val="none"/>
          <w:lang w:eastAsia="zh-CN"/>
        </w:rPr>
        <w:t>）</w:t>
      </w:r>
    </w:p>
    <w:p w14:paraId="74E5DF78">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②屏障引起的衰减（A</w:t>
      </w:r>
      <w:r>
        <w:rPr>
          <w:rFonts w:hint="default" w:ascii="Times New Roman" w:hAnsi="Times New Roman" w:eastAsia="宋体" w:cs="Times New Roman"/>
          <w:caps w:val="0"/>
          <w:snapToGrid/>
          <w:color w:val="auto"/>
          <w:spacing w:val="0"/>
          <w:w w:val="100"/>
          <w:kern w:val="0"/>
          <w:position w:val="0"/>
          <w:sz w:val="24"/>
          <w:szCs w:val="24"/>
          <w:highlight w:val="none"/>
          <w:vertAlign w:val="subscript"/>
        </w:rPr>
        <w:t>bar</w:t>
      </w:r>
      <w:r>
        <w:rPr>
          <w:rFonts w:hint="default" w:ascii="Times New Roman" w:hAnsi="Times New Roman" w:eastAsia="宋体" w:cs="Times New Roman"/>
          <w:caps w:val="0"/>
          <w:snapToGrid/>
          <w:color w:val="auto"/>
          <w:spacing w:val="0"/>
          <w:w w:val="100"/>
          <w:kern w:val="0"/>
          <w:position w:val="0"/>
          <w:sz w:val="24"/>
          <w:szCs w:val="24"/>
          <w:highlight w:val="none"/>
        </w:rPr>
        <w:t>）</w:t>
      </w:r>
    </w:p>
    <w:p w14:paraId="577F07CC">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主要考虑厂房衰减的计算，采用双绕射计算，对于下图所示的双绕射情景，可由以下公式计算绕射声与直达声之间的声程差δ：</w:t>
      </w:r>
    </w:p>
    <w:p w14:paraId="2722A8A7">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highlight w:val="none"/>
        </w:rPr>
      </w:pPr>
      <w:r>
        <w:rPr>
          <w:rFonts w:hint="default" w:ascii="Times New Roman" w:hAnsi="Times New Roman" w:eastAsia="宋体" w:cs="Times New Roman"/>
          <w:caps w:val="0"/>
          <w:snapToGrid/>
          <w:color w:val="auto"/>
          <w:spacing w:val="0"/>
          <w:w w:val="100"/>
          <w:kern w:val="0"/>
          <w:position w:val="0"/>
          <w:highlight w:val="none"/>
        </w:rPr>
        <w:drawing>
          <wp:inline distT="0" distB="0" distL="114300" distR="114300">
            <wp:extent cx="2110740" cy="394970"/>
            <wp:effectExtent l="0" t="0" r="3810" b="5080"/>
            <wp:docPr id="20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11"/>
                    <pic:cNvPicPr>
                      <a:picLocks noChangeAspect="1"/>
                    </pic:cNvPicPr>
                  </pic:nvPicPr>
                  <pic:blipFill>
                    <a:blip r:embed="rId26"/>
                    <a:stretch>
                      <a:fillRect/>
                    </a:stretch>
                  </pic:blipFill>
                  <pic:spPr>
                    <a:xfrm>
                      <a:off x="0" y="0"/>
                      <a:ext cx="2110740" cy="394970"/>
                    </a:xfrm>
                    <a:prstGeom prst="rect">
                      <a:avLst/>
                    </a:prstGeom>
                    <a:noFill/>
                    <a:ln>
                      <a:noFill/>
                    </a:ln>
                  </pic:spPr>
                </pic:pic>
              </a:graphicData>
            </a:graphic>
          </wp:inline>
        </w:drawing>
      </w:r>
    </w:p>
    <w:p w14:paraId="442ADE0B">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式中：a—声源和接收点之间的距离在平行于屏障上边界的投影长度，m。</w:t>
      </w:r>
    </w:p>
    <w:p w14:paraId="5622B0EF">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1200" w:firstLineChars="5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d</w:t>
      </w:r>
      <w:r>
        <w:rPr>
          <w:rFonts w:hint="default" w:ascii="Times New Roman" w:hAnsi="Times New Roman" w:eastAsia="宋体" w:cs="Times New Roman"/>
          <w:caps w:val="0"/>
          <w:snapToGrid/>
          <w:color w:val="auto"/>
          <w:spacing w:val="0"/>
          <w:w w:val="100"/>
          <w:kern w:val="0"/>
          <w:position w:val="0"/>
          <w:sz w:val="24"/>
          <w:szCs w:val="24"/>
          <w:highlight w:val="none"/>
          <w:vertAlign w:val="subscript"/>
        </w:rPr>
        <w:t>ss</w:t>
      </w:r>
      <w:r>
        <w:rPr>
          <w:rFonts w:hint="default" w:ascii="Times New Roman" w:hAnsi="Times New Roman" w:eastAsia="宋体" w:cs="Times New Roman"/>
          <w:caps w:val="0"/>
          <w:snapToGrid/>
          <w:color w:val="auto"/>
          <w:spacing w:val="0"/>
          <w:w w:val="100"/>
          <w:kern w:val="0"/>
          <w:position w:val="0"/>
          <w:sz w:val="24"/>
          <w:szCs w:val="24"/>
          <w:highlight w:val="none"/>
        </w:rPr>
        <w:t>—声源到第一绕射边的距离m。</w:t>
      </w:r>
    </w:p>
    <w:p w14:paraId="6974BB22">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1200" w:firstLineChars="5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d</w:t>
      </w:r>
      <w:r>
        <w:rPr>
          <w:rFonts w:hint="default" w:ascii="Times New Roman" w:hAnsi="Times New Roman" w:eastAsia="宋体" w:cs="Times New Roman"/>
          <w:caps w:val="0"/>
          <w:snapToGrid/>
          <w:color w:val="auto"/>
          <w:spacing w:val="0"/>
          <w:w w:val="100"/>
          <w:kern w:val="0"/>
          <w:position w:val="0"/>
          <w:sz w:val="24"/>
          <w:szCs w:val="24"/>
          <w:highlight w:val="none"/>
          <w:vertAlign w:val="subscript"/>
        </w:rPr>
        <w:t>sr</w:t>
      </w:r>
      <w:r>
        <w:rPr>
          <w:rFonts w:hint="default" w:ascii="Times New Roman" w:hAnsi="Times New Roman" w:eastAsia="宋体" w:cs="Times New Roman"/>
          <w:caps w:val="0"/>
          <w:snapToGrid/>
          <w:color w:val="auto"/>
          <w:spacing w:val="0"/>
          <w:w w:val="100"/>
          <w:kern w:val="0"/>
          <w:position w:val="0"/>
          <w:sz w:val="24"/>
          <w:szCs w:val="24"/>
          <w:highlight w:val="none"/>
        </w:rPr>
        <w:t>—（第二）绕射边到接收点的距离m。</w:t>
      </w:r>
    </w:p>
    <w:p w14:paraId="40CC9927">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1200" w:firstLineChars="5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e—在双绕射情况下两个绕射边界之间的距离，m。</w:t>
      </w:r>
    </w:p>
    <w:p w14:paraId="72A3007A">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highlight w:val="none"/>
        </w:rPr>
      </w:pPr>
      <w:r>
        <w:rPr>
          <w:rFonts w:hint="default" w:ascii="Times New Roman" w:hAnsi="Times New Roman" w:eastAsia="宋体" w:cs="Times New Roman"/>
          <w:caps w:val="0"/>
          <w:snapToGrid/>
          <w:color w:val="auto"/>
          <w:spacing w:val="0"/>
          <w:w w:val="100"/>
          <w:kern w:val="0"/>
          <w:position w:val="0"/>
          <w:highlight w:val="none"/>
        </w:rPr>
        <w:drawing>
          <wp:inline distT="0" distB="0" distL="114300" distR="114300">
            <wp:extent cx="3274060" cy="1760855"/>
            <wp:effectExtent l="0" t="0" r="2540" b="10795"/>
            <wp:docPr id="20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12"/>
                    <pic:cNvPicPr>
                      <a:picLocks noChangeAspect="1"/>
                    </pic:cNvPicPr>
                  </pic:nvPicPr>
                  <pic:blipFill>
                    <a:blip r:embed="rId27"/>
                    <a:stretch>
                      <a:fillRect/>
                    </a:stretch>
                  </pic:blipFill>
                  <pic:spPr>
                    <a:xfrm>
                      <a:off x="0" y="0"/>
                      <a:ext cx="3274060" cy="1760855"/>
                    </a:xfrm>
                    <a:prstGeom prst="rect">
                      <a:avLst/>
                    </a:prstGeom>
                    <a:noFill/>
                    <a:ln>
                      <a:noFill/>
                    </a:ln>
                  </pic:spPr>
                </pic:pic>
              </a:graphicData>
            </a:graphic>
          </wp:inline>
        </w:drawing>
      </w:r>
    </w:p>
    <w:p w14:paraId="6002A61C">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baseline"/>
        <w:outlineLvl w:val="9"/>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rPr>
        <w:t>双绕射情景图</w:t>
      </w:r>
    </w:p>
    <w:p w14:paraId="5678CE6C">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屏障衰减在双绕射（即厚屏障）情况，衰减最大值取25dB。</w:t>
      </w:r>
    </w:p>
    <w:p w14:paraId="257C77C2">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③等效连续A声级的计算设置</w:t>
      </w:r>
    </w:p>
    <w:p w14:paraId="76270B9E">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由于项目尚处于设计阶段，尚不能确定间断噪声设备运行的时段，因此在实际计算中将所有设备均视为连续噪声源，进行等效连续A声级的预测。</w:t>
      </w:r>
    </w:p>
    <w:p w14:paraId="284D8A63">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5.2.3.5噪声源强</w:t>
      </w:r>
    </w:p>
    <w:p w14:paraId="21EC209B">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zh-CN" w:eastAsia="zh-CN"/>
        </w:rPr>
        <w:sectPr>
          <w:headerReference r:id="rId10" w:type="default"/>
          <w:pgSz w:w="11905" w:h="16838"/>
          <w:pgMar w:top="1474" w:right="1531" w:bottom="1474" w:left="1531" w:header="850" w:footer="850" w:gutter="0"/>
          <w:pgBorders>
            <w:top w:val="none" w:sz="0" w:space="0"/>
            <w:left w:val="none" w:sz="0" w:space="0"/>
            <w:bottom w:val="none" w:sz="0" w:space="0"/>
            <w:right w:val="none" w:sz="0" w:space="0"/>
          </w:pgBorders>
          <w:pgNumType w:fmt="decimal"/>
          <w:cols w:space="0" w:num="1"/>
          <w:rtlGutter w:val="0"/>
          <w:docGrid w:linePitch="329" w:charSpace="0"/>
        </w:sectPr>
      </w:pPr>
      <w:r>
        <w:rPr>
          <w:rFonts w:hint="default"/>
          <w:color w:val="auto"/>
          <w:spacing w:val="0"/>
          <w:w w:val="100"/>
          <w:position w:val="0"/>
          <w:highlight w:val="none"/>
          <w:lang w:val="en-US" w:eastAsia="zh-CN"/>
        </w:rPr>
        <w:t>由生产工艺及所用的设备可知，本项目噪声源主要来自生产设备及辅助生产设备运行噪声，生产系统主要噪声设备为</w:t>
      </w:r>
      <w:r>
        <w:rPr>
          <w:rFonts w:hint="eastAsia"/>
          <w:color w:val="auto"/>
          <w:spacing w:val="0"/>
          <w:w w:val="100"/>
          <w:position w:val="0"/>
          <w:highlight w:val="none"/>
          <w:lang w:val="en-US" w:eastAsia="zh-CN"/>
        </w:rPr>
        <w:t>各生产线设备、</w:t>
      </w:r>
      <w:r>
        <w:rPr>
          <w:rFonts w:hint="default"/>
          <w:color w:val="auto"/>
          <w:spacing w:val="0"/>
          <w:w w:val="100"/>
          <w:position w:val="0"/>
          <w:highlight w:val="none"/>
          <w:lang w:val="en-US" w:eastAsia="zh-CN"/>
        </w:rPr>
        <w:t>水泵以及风机等，其源强在</w:t>
      </w:r>
      <w:r>
        <w:rPr>
          <w:rFonts w:hint="eastAsia"/>
          <w:color w:val="auto"/>
          <w:spacing w:val="0"/>
          <w:w w:val="100"/>
          <w:position w:val="0"/>
          <w:highlight w:val="none"/>
          <w:lang w:val="en-US" w:eastAsia="zh-CN"/>
        </w:rPr>
        <w:t>70~85</w:t>
      </w:r>
      <w:r>
        <w:rPr>
          <w:rFonts w:hint="default"/>
          <w:color w:val="auto"/>
          <w:spacing w:val="0"/>
          <w:w w:val="100"/>
          <w:position w:val="0"/>
          <w:highlight w:val="none"/>
          <w:lang w:val="en-US" w:eastAsia="zh-CN"/>
        </w:rPr>
        <w:t>dB（A）之间，项目噪声源强清单</w:t>
      </w:r>
      <w:r>
        <w:rPr>
          <w:rFonts w:hint="default"/>
          <w:color w:val="auto"/>
          <w:spacing w:val="0"/>
          <w:w w:val="100"/>
          <w:position w:val="0"/>
          <w:highlight w:val="none"/>
          <w:lang w:val="zh-CN" w:eastAsia="zh-CN"/>
        </w:rPr>
        <w:t>。项目噪声源强调查清单见</w:t>
      </w:r>
      <w:r>
        <w:rPr>
          <w:rFonts w:hint="default"/>
          <w:color w:val="auto"/>
          <w:spacing w:val="0"/>
          <w:w w:val="100"/>
          <w:position w:val="0"/>
          <w:highlight w:val="none"/>
          <w:lang w:val="zh-CN" w:eastAsia="zh-CN"/>
        </w:rPr>
        <w:fldChar w:fldCharType="begin"/>
      </w:r>
      <w:r>
        <w:rPr>
          <w:rFonts w:hint="default"/>
          <w:color w:val="auto"/>
          <w:spacing w:val="0"/>
          <w:w w:val="100"/>
          <w:position w:val="0"/>
          <w:highlight w:val="none"/>
          <w:lang w:val="zh-CN" w:eastAsia="zh-CN"/>
        </w:rPr>
        <w:instrText xml:space="preserve"> REF _Ref111549309 \h  \* MERGEFORMAT </w:instrText>
      </w:r>
      <w:r>
        <w:rPr>
          <w:rFonts w:hint="default"/>
          <w:color w:val="auto"/>
          <w:spacing w:val="0"/>
          <w:w w:val="100"/>
          <w:position w:val="0"/>
          <w:highlight w:val="none"/>
          <w:lang w:val="zh-CN" w:eastAsia="zh-CN"/>
        </w:rPr>
        <w:fldChar w:fldCharType="separate"/>
      </w:r>
      <w:r>
        <w:rPr>
          <w:rFonts w:hint="default"/>
          <w:color w:val="auto"/>
          <w:spacing w:val="0"/>
          <w:w w:val="100"/>
          <w:position w:val="0"/>
          <w:highlight w:val="none"/>
          <w:lang w:val="en-US" w:eastAsia="zh-CN"/>
        </w:rPr>
        <w:t>表</w:t>
      </w:r>
      <w:r>
        <w:rPr>
          <w:rFonts w:hint="default"/>
          <w:color w:val="auto"/>
          <w:spacing w:val="0"/>
          <w:w w:val="100"/>
          <w:position w:val="0"/>
          <w:highlight w:val="none"/>
          <w:lang w:val="en-US" w:eastAsia="zh-CN"/>
        </w:rPr>
        <w:fldChar w:fldCharType="end"/>
      </w:r>
      <w:r>
        <w:rPr>
          <w:rFonts w:hint="default"/>
          <w:color w:val="auto"/>
          <w:spacing w:val="0"/>
          <w:w w:val="100"/>
          <w:position w:val="0"/>
          <w:highlight w:val="none"/>
          <w:lang w:val="en-US" w:eastAsia="zh-CN"/>
        </w:rPr>
        <w:t>3.4.3-1、表3.4.3-2</w:t>
      </w:r>
      <w:r>
        <w:rPr>
          <w:rFonts w:hint="default"/>
          <w:color w:val="auto"/>
          <w:spacing w:val="0"/>
          <w:w w:val="100"/>
          <w:position w:val="0"/>
          <w:highlight w:val="none"/>
          <w:lang w:val="zh-CN" w:eastAsia="zh-CN"/>
        </w:rPr>
        <w:t>。</w:t>
      </w:r>
    </w:p>
    <w:p w14:paraId="22B57A29">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5.2.3.6预测结果与评价</w:t>
      </w:r>
    </w:p>
    <w:p w14:paraId="5235B1CB">
      <w:pPr>
        <w:keepNext w:val="0"/>
        <w:keepLines w:val="0"/>
        <w:pageBreakBefore w:val="0"/>
        <w:widowControl w:val="0"/>
        <w:kinsoku/>
        <w:wordWrap/>
        <w:overflowPunct/>
        <w:topLinePunct w:val="0"/>
        <w:autoSpaceDE/>
        <w:autoSpaceDN/>
        <w:bidi w:val="0"/>
        <w:adjustRightInd/>
        <w:snapToGrid/>
        <w:ind w:left="0" w:leftChars="0" w:right="0" w:rightChars="0" w:firstLine="480"/>
        <w:outlineLvl w:val="9"/>
        <w:rPr>
          <w:rFonts w:hint="default" w:ascii="Times New Roman" w:hAnsi="Times New Roman" w:eastAsia="宋体" w:cs="Times New Roman"/>
          <w:caps w:val="0"/>
          <w:snapToGrid/>
          <w:color w:val="auto"/>
          <w:spacing w:val="0"/>
          <w:w w:val="100"/>
          <w:kern w:val="0"/>
          <w:position w:val="0"/>
          <w:sz w:val="24"/>
          <w:szCs w:val="21"/>
          <w:highlight w:val="none"/>
        </w:rPr>
      </w:pPr>
      <w:r>
        <w:rPr>
          <w:rFonts w:hint="default" w:ascii="Times New Roman" w:hAnsi="Times New Roman" w:eastAsia="宋体" w:cs="Times New Roman"/>
          <w:caps w:val="0"/>
          <w:snapToGrid/>
          <w:color w:val="auto"/>
          <w:spacing w:val="0"/>
          <w:w w:val="100"/>
          <w:kern w:val="0"/>
          <w:position w:val="0"/>
          <w:sz w:val="24"/>
          <w:szCs w:val="21"/>
          <w:highlight w:val="none"/>
        </w:rPr>
        <w:t>根据预测模式，项目各产噪设备经采取基础减振、建筑隔声等措施后，项目厂</w:t>
      </w:r>
      <w:r>
        <w:rPr>
          <w:rFonts w:hint="default" w:ascii="Times New Roman" w:hAnsi="Times New Roman" w:eastAsia="宋体" w:cs="Times New Roman"/>
          <w:caps w:val="0"/>
          <w:snapToGrid/>
          <w:color w:val="auto"/>
          <w:spacing w:val="0"/>
          <w:w w:val="100"/>
          <w:kern w:val="0"/>
          <w:position w:val="0"/>
          <w:sz w:val="24"/>
          <w:szCs w:val="21"/>
          <w:highlight w:val="none"/>
          <w:lang w:eastAsia="zh-CN"/>
        </w:rPr>
        <w:t>界</w:t>
      </w:r>
      <w:r>
        <w:rPr>
          <w:rFonts w:hint="default" w:ascii="Times New Roman" w:hAnsi="Times New Roman" w:eastAsia="宋体" w:cs="Times New Roman"/>
          <w:caps w:val="0"/>
          <w:snapToGrid/>
          <w:color w:val="auto"/>
          <w:spacing w:val="0"/>
          <w:w w:val="100"/>
          <w:kern w:val="0"/>
          <w:position w:val="0"/>
          <w:sz w:val="24"/>
          <w:szCs w:val="21"/>
          <w:highlight w:val="none"/>
        </w:rPr>
        <w:t>结果预测详见表</w:t>
      </w:r>
      <w:r>
        <w:rPr>
          <w:rFonts w:hint="default" w:ascii="Times New Roman" w:hAnsi="Times New Roman" w:eastAsia="宋体" w:cs="Times New Roman"/>
          <w:caps w:val="0"/>
          <w:snapToGrid/>
          <w:color w:val="auto"/>
          <w:spacing w:val="0"/>
          <w:w w:val="100"/>
          <w:kern w:val="0"/>
          <w:position w:val="0"/>
          <w:sz w:val="24"/>
          <w:szCs w:val="21"/>
          <w:highlight w:val="none"/>
          <w:lang w:val="en-US" w:eastAsia="zh-CN"/>
        </w:rPr>
        <w:t>5.2</w:t>
      </w:r>
      <w:r>
        <w:rPr>
          <w:rFonts w:hint="eastAsia" w:cs="Times New Roman"/>
          <w:caps w:val="0"/>
          <w:snapToGrid/>
          <w:color w:val="auto"/>
          <w:spacing w:val="0"/>
          <w:w w:val="100"/>
          <w:kern w:val="0"/>
          <w:position w:val="0"/>
          <w:sz w:val="24"/>
          <w:szCs w:val="21"/>
          <w:highlight w:val="none"/>
          <w:lang w:val="en-US" w:eastAsia="zh-CN"/>
        </w:rPr>
        <w:t>.3-1</w:t>
      </w:r>
      <w:r>
        <w:rPr>
          <w:rFonts w:hint="default" w:ascii="Times New Roman" w:hAnsi="Times New Roman" w:eastAsia="宋体" w:cs="Times New Roman"/>
          <w:caps w:val="0"/>
          <w:snapToGrid/>
          <w:color w:val="auto"/>
          <w:spacing w:val="0"/>
          <w:w w:val="100"/>
          <w:kern w:val="0"/>
          <w:position w:val="0"/>
          <w:sz w:val="24"/>
          <w:szCs w:val="21"/>
          <w:highlight w:val="none"/>
        </w:rPr>
        <w:t>。</w:t>
      </w:r>
    </w:p>
    <w:p w14:paraId="1115767C">
      <w:pPr>
        <w:pStyle w:val="33"/>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表</w:t>
      </w: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5</w:t>
      </w:r>
      <w:r>
        <w:rPr>
          <w:rFonts w:hint="default" w:ascii="Times New Roman" w:hAnsi="Times New Roman" w:eastAsia="宋体" w:cs="Times New Roman"/>
          <w:b/>
          <w:bCs w:val="0"/>
          <w:caps w:val="0"/>
          <w:snapToGrid/>
          <w:color w:val="auto"/>
          <w:spacing w:val="0"/>
          <w:w w:val="100"/>
          <w:kern w:val="0"/>
          <w:position w:val="0"/>
          <w:sz w:val="21"/>
          <w:szCs w:val="21"/>
          <w:highlight w:val="none"/>
          <w:lang w:val="en-US" w:eastAsia="zh-CN" w:bidi="ar-SA"/>
        </w:rPr>
        <w:t>.2</w:t>
      </w:r>
      <w:r>
        <w:rPr>
          <w:rFonts w:hint="eastAsia" w:cs="Times New Roman"/>
          <w:b/>
          <w:bCs w:val="0"/>
          <w:caps w:val="0"/>
          <w:snapToGrid/>
          <w:color w:val="auto"/>
          <w:spacing w:val="0"/>
          <w:w w:val="100"/>
          <w:kern w:val="0"/>
          <w:position w:val="0"/>
          <w:sz w:val="21"/>
          <w:szCs w:val="21"/>
          <w:highlight w:val="none"/>
          <w:lang w:val="en-US" w:eastAsia="zh-CN" w:bidi="ar-SA"/>
        </w:rPr>
        <w:t>.3-1</w:t>
      </w:r>
      <w:r>
        <w:rPr>
          <w:rFonts w:hint="default" w:ascii="Times New Roman" w:hAnsi="Times New Roman" w:eastAsia="宋体" w:cs="Times New Roman"/>
          <w:b/>
          <w:bCs w:val="0"/>
          <w:caps w:val="0"/>
          <w:snapToGrid/>
          <w:color w:val="auto"/>
          <w:spacing w:val="0"/>
          <w:w w:val="100"/>
          <w:kern w:val="0"/>
          <w:position w:val="0"/>
          <w:sz w:val="21"/>
          <w:szCs w:val="21"/>
          <w:highlight w:val="none"/>
          <w:lang w:val="en-US" w:eastAsia="zh-CN" w:bidi="ar-SA"/>
        </w:rPr>
        <w:t xml:space="preserve"> </w:t>
      </w: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 xml:space="preserve"> </w:t>
      </w:r>
      <w:r>
        <w:rPr>
          <w:rFonts w:hint="default" w:ascii="Times New Roman" w:hAnsi="Times New Roman" w:eastAsia="宋体" w:cs="Times New Roman"/>
          <w:caps w:val="0"/>
          <w:snapToGrid/>
          <w:color w:val="auto"/>
          <w:spacing w:val="0"/>
          <w:w w:val="100"/>
          <w:kern w:val="21"/>
          <w:position w:val="0"/>
          <w:sz w:val="21"/>
          <w:szCs w:val="21"/>
          <w:highlight w:val="none"/>
        </w:rPr>
        <w:t>厂界噪声预测结果与达标分析表</w:t>
      </w:r>
    </w:p>
    <w:tbl>
      <w:tblPr>
        <w:tblStyle w:val="25"/>
        <w:tblW w:w="895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1493"/>
        <w:gridCol w:w="1001"/>
        <w:gridCol w:w="2253"/>
        <w:gridCol w:w="2606"/>
        <w:gridCol w:w="1600"/>
      </w:tblGrid>
      <w:tr w14:paraId="4F6ED1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286" w:hRule="atLeast"/>
          <w:jc w:val="center"/>
        </w:trPr>
        <w:tc>
          <w:tcPr>
            <w:tcW w:w="1493" w:type="dxa"/>
            <w:tcBorders>
              <w:tl2br w:val="nil"/>
              <w:tr2bl w:val="nil"/>
            </w:tcBorders>
            <w:noWrap w:val="0"/>
            <w:vAlign w:val="center"/>
          </w:tcPr>
          <w:p w14:paraId="717710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rPr>
            </w:pPr>
            <w:r>
              <w:rPr>
                <w:rFonts w:hint="eastAsia" w:cs="Times New Roman"/>
                <w:b/>
                <w:bCs/>
                <w:caps w:val="0"/>
                <w:snapToGrid/>
                <w:color w:val="auto"/>
                <w:spacing w:val="0"/>
                <w:w w:val="100"/>
                <w:kern w:val="0"/>
                <w:position w:val="0"/>
                <w:sz w:val="21"/>
                <w:szCs w:val="21"/>
                <w:highlight w:val="none"/>
                <w:lang w:val="en-US" w:eastAsia="zh-CN"/>
              </w:rPr>
              <w:t>预测方位</w:t>
            </w:r>
          </w:p>
        </w:tc>
        <w:tc>
          <w:tcPr>
            <w:tcW w:w="1001" w:type="dxa"/>
            <w:tcBorders>
              <w:tl2br w:val="nil"/>
              <w:tr2bl w:val="nil"/>
            </w:tcBorders>
            <w:noWrap w:val="0"/>
            <w:vAlign w:val="center"/>
          </w:tcPr>
          <w:p w14:paraId="525417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b/>
                <w:bCs/>
                <w:caps w:val="0"/>
                <w:snapToGrid/>
                <w:color w:val="auto"/>
                <w:spacing w:val="0"/>
                <w:w w:val="100"/>
                <w:kern w:val="0"/>
                <w:position w:val="0"/>
                <w:sz w:val="21"/>
                <w:szCs w:val="21"/>
                <w:highlight w:val="none"/>
                <w:lang w:val="en-US" w:eastAsia="zh-CN"/>
              </w:rPr>
            </w:pPr>
            <w:r>
              <w:rPr>
                <w:rFonts w:hint="eastAsia" w:cs="Times New Roman"/>
                <w:b/>
                <w:bCs/>
                <w:caps w:val="0"/>
                <w:snapToGrid/>
                <w:color w:val="auto"/>
                <w:spacing w:val="0"/>
                <w:w w:val="100"/>
                <w:kern w:val="0"/>
                <w:position w:val="0"/>
                <w:sz w:val="21"/>
                <w:szCs w:val="21"/>
                <w:highlight w:val="none"/>
                <w:lang w:val="en-US" w:eastAsia="zh-CN"/>
              </w:rPr>
              <w:t>时段</w:t>
            </w:r>
          </w:p>
        </w:tc>
        <w:tc>
          <w:tcPr>
            <w:tcW w:w="0" w:type="auto"/>
            <w:tcBorders>
              <w:tl2br w:val="nil"/>
              <w:tr2bl w:val="nil"/>
            </w:tcBorders>
            <w:shd w:val="clear" w:color="auto" w:fill="auto"/>
            <w:noWrap w:val="0"/>
            <w:vAlign w:val="center"/>
          </w:tcPr>
          <w:p w14:paraId="56EADE9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eastAsia" w:cs="Times New Roman"/>
                <w:i w:val="0"/>
                <w:iCs w:val="0"/>
                <w:color w:val="auto"/>
                <w:spacing w:val="0"/>
                <w:w w:val="100"/>
                <w:kern w:val="0"/>
                <w:position w:val="0"/>
                <w:sz w:val="21"/>
                <w:szCs w:val="21"/>
                <w:u w:val="none"/>
                <w:lang w:val="en-US" w:eastAsia="zh-CN" w:bidi="ar"/>
              </w:rPr>
            </w:pPr>
            <w:r>
              <w:rPr>
                <w:rFonts w:hint="default" w:ascii="Times New Roman" w:hAnsi="Times New Roman" w:cs="Times New Roman"/>
                <w:b/>
                <w:caps w:val="0"/>
                <w:snapToGrid/>
                <w:color w:val="auto"/>
                <w:spacing w:val="0"/>
                <w:w w:val="100"/>
                <w:kern w:val="0"/>
                <w:position w:val="0"/>
                <w:sz w:val="21"/>
                <w:szCs w:val="21"/>
                <w:highlight w:val="none"/>
                <w:lang w:val="en-US" w:eastAsia="zh-CN"/>
              </w:rPr>
              <w:t>贡献值</w:t>
            </w:r>
            <w:r>
              <w:rPr>
                <w:rFonts w:hint="default" w:ascii="Times New Roman" w:hAnsi="Times New Roman" w:eastAsia="宋体" w:cs="Times New Roman"/>
                <w:b/>
                <w:caps w:val="0"/>
                <w:snapToGrid/>
                <w:color w:val="auto"/>
                <w:spacing w:val="0"/>
                <w:w w:val="100"/>
                <w:kern w:val="0"/>
                <w:position w:val="0"/>
                <w:sz w:val="21"/>
                <w:szCs w:val="21"/>
                <w:highlight w:val="none"/>
              </w:rPr>
              <w:t>dB(A)</w:t>
            </w:r>
          </w:p>
        </w:tc>
        <w:tc>
          <w:tcPr>
            <w:tcW w:w="0" w:type="auto"/>
            <w:tcBorders>
              <w:tl2br w:val="nil"/>
              <w:tr2bl w:val="nil"/>
            </w:tcBorders>
            <w:noWrap w:val="0"/>
            <w:vAlign w:val="center"/>
          </w:tcPr>
          <w:p w14:paraId="188BBF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b/>
                <w:caps w:val="0"/>
                <w:snapToGrid/>
                <w:color w:val="auto"/>
                <w:spacing w:val="0"/>
                <w:w w:val="100"/>
                <w:kern w:val="0"/>
                <w:position w:val="0"/>
                <w:sz w:val="21"/>
                <w:szCs w:val="21"/>
                <w:highlight w:val="none"/>
              </w:rPr>
              <w:t>标准限值dB(A)</w:t>
            </w:r>
          </w:p>
        </w:tc>
        <w:tc>
          <w:tcPr>
            <w:tcW w:w="1600" w:type="dxa"/>
            <w:tcBorders>
              <w:tl2br w:val="nil"/>
              <w:tr2bl w:val="nil"/>
            </w:tcBorders>
            <w:noWrap w:val="0"/>
            <w:vAlign w:val="center"/>
          </w:tcPr>
          <w:p w14:paraId="40C829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b/>
                <w:caps w:val="0"/>
                <w:snapToGrid/>
                <w:color w:val="auto"/>
                <w:spacing w:val="0"/>
                <w:w w:val="100"/>
                <w:kern w:val="0"/>
                <w:position w:val="0"/>
                <w:sz w:val="21"/>
                <w:szCs w:val="21"/>
                <w:highlight w:val="none"/>
              </w:rPr>
              <w:t>达标情况</w:t>
            </w:r>
          </w:p>
        </w:tc>
      </w:tr>
      <w:tr w14:paraId="373A51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286" w:hRule="atLeast"/>
          <w:jc w:val="center"/>
        </w:trPr>
        <w:tc>
          <w:tcPr>
            <w:tcW w:w="1493" w:type="dxa"/>
            <w:vMerge w:val="restart"/>
            <w:tcBorders>
              <w:tl2br w:val="nil"/>
              <w:tr2bl w:val="nil"/>
            </w:tcBorders>
            <w:noWrap w:val="0"/>
            <w:vAlign w:val="center"/>
          </w:tcPr>
          <w:p w14:paraId="547528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东侧</w:t>
            </w:r>
          </w:p>
        </w:tc>
        <w:tc>
          <w:tcPr>
            <w:tcW w:w="1001" w:type="dxa"/>
            <w:tcBorders>
              <w:tl2br w:val="nil"/>
              <w:tr2bl w:val="nil"/>
            </w:tcBorders>
            <w:noWrap w:val="0"/>
            <w:vAlign w:val="center"/>
          </w:tcPr>
          <w:p w14:paraId="6E2E1B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昼间</w:t>
            </w:r>
          </w:p>
        </w:tc>
        <w:tc>
          <w:tcPr>
            <w:tcW w:w="0" w:type="auto"/>
            <w:tcBorders>
              <w:tl2br w:val="nil"/>
              <w:tr2bl w:val="nil"/>
            </w:tcBorders>
            <w:shd w:val="clear" w:color="auto" w:fill="auto"/>
            <w:noWrap w:val="0"/>
            <w:vAlign w:val="center"/>
          </w:tcPr>
          <w:p w14:paraId="5B4DA75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2"/>
                <w:position w:val="0"/>
                <w:sz w:val="21"/>
                <w:szCs w:val="21"/>
                <w:u w:val="none"/>
                <w:lang w:val="en-US" w:eastAsia="zh-CN" w:bidi="ar-SA"/>
              </w:rPr>
            </w:pPr>
            <w:r>
              <w:rPr>
                <w:rFonts w:hint="eastAsia" w:cs="Times New Roman"/>
                <w:i w:val="0"/>
                <w:iCs w:val="0"/>
                <w:color w:val="auto"/>
                <w:spacing w:val="0"/>
                <w:w w:val="100"/>
                <w:kern w:val="0"/>
                <w:position w:val="0"/>
                <w:sz w:val="21"/>
                <w:szCs w:val="21"/>
                <w:u w:val="none"/>
                <w:lang w:val="en-US" w:eastAsia="zh-CN" w:bidi="ar"/>
              </w:rPr>
              <w:t>36.97</w:t>
            </w:r>
          </w:p>
        </w:tc>
        <w:tc>
          <w:tcPr>
            <w:tcW w:w="0" w:type="auto"/>
            <w:tcBorders>
              <w:tl2br w:val="nil"/>
              <w:tr2bl w:val="nil"/>
            </w:tcBorders>
            <w:noWrap w:val="0"/>
            <w:vAlign w:val="center"/>
          </w:tcPr>
          <w:p w14:paraId="4DA4D7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65</w:t>
            </w:r>
          </w:p>
        </w:tc>
        <w:tc>
          <w:tcPr>
            <w:tcW w:w="1600" w:type="dxa"/>
            <w:tcBorders>
              <w:tl2br w:val="nil"/>
              <w:tr2bl w:val="nil"/>
            </w:tcBorders>
            <w:noWrap w:val="0"/>
            <w:vAlign w:val="center"/>
          </w:tcPr>
          <w:p w14:paraId="19CBA1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达标</w:t>
            </w:r>
          </w:p>
        </w:tc>
      </w:tr>
      <w:tr w14:paraId="6E68BA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493" w:type="dxa"/>
            <w:vMerge w:val="continue"/>
            <w:tcBorders>
              <w:tl2br w:val="nil"/>
              <w:tr2bl w:val="nil"/>
            </w:tcBorders>
            <w:noWrap w:val="0"/>
            <w:vAlign w:val="center"/>
          </w:tcPr>
          <w:p w14:paraId="26B5CC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1001" w:type="dxa"/>
            <w:tcBorders>
              <w:tl2br w:val="nil"/>
              <w:tr2bl w:val="nil"/>
            </w:tcBorders>
            <w:noWrap w:val="0"/>
            <w:vAlign w:val="center"/>
          </w:tcPr>
          <w:p w14:paraId="153963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夜间</w:t>
            </w:r>
          </w:p>
        </w:tc>
        <w:tc>
          <w:tcPr>
            <w:tcW w:w="0" w:type="auto"/>
            <w:tcBorders>
              <w:tl2br w:val="nil"/>
              <w:tr2bl w:val="nil"/>
            </w:tcBorders>
            <w:shd w:val="clear" w:color="auto" w:fill="auto"/>
            <w:noWrap w:val="0"/>
            <w:vAlign w:val="center"/>
          </w:tcPr>
          <w:p w14:paraId="65F1124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eastAsia" w:cs="Times New Roman"/>
                <w:i w:val="0"/>
                <w:iCs w:val="0"/>
                <w:color w:val="auto"/>
                <w:spacing w:val="0"/>
                <w:w w:val="100"/>
                <w:kern w:val="0"/>
                <w:position w:val="0"/>
                <w:sz w:val="21"/>
                <w:szCs w:val="21"/>
                <w:u w:val="none"/>
                <w:lang w:val="en-US" w:eastAsia="zh-CN" w:bidi="ar"/>
              </w:rPr>
              <w:t>36.97</w:t>
            </w:r>
          </w:p>
        </w:tc>
        <w:tc>
          <w:tcPr>
            <w:tcW w:w="0" w:type="auto"/>
            <w:tcBorders>
              <w:tl2br w:val="nil"/>
              <w:tr2bl w:val="nil"/>
            </w:tcBorders>
            <w:noWrap w:val="0"/>
            <w:vAlign w:val="center"/>
          </w:tcPr>
          <w:p w14:paraId="618479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55</w:t>
            </w:r>
          </w:p>
        </w:tc>
        <w:tc>
          <w:tcPr>
            <w:tcW w:w="1600" w:type="dxa"/>
            <w:tcBorders>
              <w:tl2br w:val="nil"/>
              <w:tr2bl w:val="nil"/>
            </w:tcBorders>
            <w:noWrap w:val="0"/>
            <w:vAlign w:val="center"/>
          </w:tcPr>
          <w:p w14:paraId="5B9114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达标</w:t>
            </w:r>
          </w:p>
        </w:tc>
      </w:tr>
      <w:tr w14:paraId="161742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493" w:type="dxa"/>
            <w:vMerge w:val="restart"/>
            <w:tcBorders>
              <w:tl2br w:val="nil"/>
              <w:tr2bl w:val="nil"/>
            </w:tcBorders>
            <w:noWrap w:val="0"/>
            <w:vAlign w:val="center"/>
          </w:tcPr>
          <w:p w14:paraId="55DECC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南侧</w:t>
            </w:r>
          </w:p>
        </w:tc>
        <w:tc>
          <w:tcPr>
            <w:tcW w:w="1001" w:type="dxa"/>
            <w:tcBorders>
              <w:tl2br w:val="nil"/>
              <w:tr2bl w:val="nil"/>
            </w:tcBorders>
            <w:noWrap w:val="0"/>
            <w:vAlign w:val="center"/>
          </w:tcPr>
          <w:p w14:paraId="35D95A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昼间</w:t>
            </w:r>
          </w:p>
        </w:tc>
        <w:tc>
          <w:tcPr>
            <w:tcW w:w="0" w:type="auto"/>
            <w:tcBorders>
              <w:tl2br w:val="nil"/>
              <w:tr2bl w:val="nil"/>
            </w:tcBorders>
            <w:shd w:val="clear" w:color="auto" w:fill="auto"/>
            <w:noWrap w:val="0"/>
            <w:vAlign w:val="center"/>
          </w:tcPr>
          <w:p w14:paraId="46A0007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2"/>
                <w:position w:val="0"/>
                <w:sz w:val="21"/>
                <w:szCs w:val="21"/>
                <w:u w:val="none"/>
                <w:lang w:val="en-US" w:eastAsia="zh-CN" w:bidi="ar-SA"/>
              </w:rPr>
            </w:pPr>
            <w:r>
              <w:rPr>
                <w:rFonts w:hint="eastAsia" w:cs="Times New Roman"/>
                <w:i w:val="0"/>
                <w:iCs w:val="0"/>
                <w:color w:val="auto"/>
                <w:spacing w:val="0"/>
                <w:w w:val="100"/>
                <w:kern w:val="0"/>
                <w:position w:val="0"/>
                <w:sz w:val="21"/>
                <w:szCs w:val="21"/>
                <w:u w:val="none"/>
                <w:lang w:val="en-US" w:eastAsia="zh-CN" w:bidi="ar"/>
              </w:rPr>
              <w:t>47.65</w:t>
            </w:r>
          </w:p>
        </w:tc>
        <w:tc>
          <w:tcPr>
            <w:tcW w:w="2606" w:type="dxa"/>
            <w:tcBorders>
              <w:tl2br w:val="nil"/>
              <w:tr2bl w:val="nil"/>
            </w:tcBorders>
            <w:noWrap w:val="0"/>
            <w:vAlign w:val="center"/>
          </w:tcPr>
          <w:p w14:paraId="5A1C2C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65</w:t>
            </w:r>
          </w:p>
        </w:tc>
        <w:tc>
          <w:tcPr>
            <w:tcW w:w="1600" w:type="dxa"/>
            <w:tcBorders>
              <w:tl2br w:val="nil"/>
              <w:tr2bl w:val="nil"/>
            </w:tcBorders>
            <w:noWrap w:val="0"/>
            <w:vAlign w:val="center"/>
          </w:tcPr>
          <w:p w14:paraId="4B93C1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达标</w:t>
            </w:r>
          </w:p>
        </w:tc>
      </w:tr>
      <w:tr w14:paraId="427D77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493" w:type="dxa"/>
            <w:vMerge w:val="continue"/>
            <w:tcBorders>
              <w:tl2br w:val="nil"/>
              <w:tr2bl w:val="nil"/>
            </w:tcBorders>
            <w:noWrap w:val="0"/>
            <w:vAlign w:val="center"/>
          </w:tcPr>
          <w:p w14:paraId="10FDE3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1001" w:type="dxa"/>
            <w:tcBorders>
              <w:tl2br w:val="nil"/>
              <w:tr2bl w:val="nil"/>
            </w:tcBorders>
            <w:noWrap w:val="0"/>
            <w:vAlign w:val="center"/>
          </w:tcPr>
          <w:p w14:paraId="460F1D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eastAsia" w:cs="Times New Roman"/>
                <w:caps w:val="0"/>
                <w:snapToGrid/>
                <w:color w:val="auto"/>
                <w:spacing w:val="0"/>
                <w:w w:val="100"/>
                <w:kern w:val="0"/>
                <w:position w:val="0"/>
                <w:sz w:val="21"/>
                <w:szCs w:val="21"/>
                <w:highlight w:val="none"/>
                <w:lang w:val="en-US" w:eastAsia="zh-CN"/>
              </w:rPr>
              <w:t>夜间</w:t>
            </w:r>
          </w:p>
        </w:tc>
        <w:tc>
          <w:tcPr>
            <w:tcW w:w="0" w:type="auto"/>
            <w:tcBorders>
              <w:tl2br w:val="nil"/>
              <w:tr2bl w:val="nil"/>
            </w:tcBorders>
            <w:shd w:val="clear" w:color="auto" w:fill="auto"/>
            <w:noWrap w:val="0"/>
            <w:vAlign w:val="center"/>
          </w:tcPr>
          <w:p w14:paraId="3FAD06A5">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eastAsia" w:cs="Times New Roman"/>
                <w:i w:val="0"/>
                <w:iCs w:val="0"/>
                <w:color w:val="auto"/>
                <w:spacing w:val="0"/>
                <w:w w:val="100"/>
                <w:kern w:val="0"/>
                <w:position w:val="0"/>
                <w:sz w:val="21"/>
                <w:szCs w:val="21"/>
                <w:u w:val="none"/>
                <w:lang w:val="en-US" w:eastAsia="zh-CN" w:bidi="ar"/>
              </w:rPr>
              <w:t>47.65</w:t>
            </w:r>
          </w:p>
        </w:tc>
        <w:tc>
          <w:tcPr>
            <w:tcW w:w="2606" w:type="dxa"/>
            <w:tcBorders>
              <w:tl2br w:val="nil"/>
              <w:tr2bl w:val="nil"/>
            </w:tcBorders>
            <w:noWrap w:val="0"/>
            <w:vAlign w:val="center"/>
          </w:tcPr>
          <w:p w14:paraId="468EC5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55</w:t>
            </w:r>
          </w:p>
        </w:tc>
        <w:tc>
          <w:tcPr>
            <w:tcW w:w="1600" w:type="dxa"/>
            <w:tcBorders>
              <w:tl2br w:val="nil"/>
              <w:tr2bl w:val="nil"/>
            </w:tcBorders>
            <w:noWrap w:val="0"/>
            <w:vAlign w:val="center"/>
          </w:tcPr>
          <w:p w14:paraId="5181DA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达标</w:t>
            </w:r>
          </w:p>
        </w:tc>
      </w:tr>
      <w:tr w14:paraId="267478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493" w:type="dxa"/>
            <w:vMerge w:val="restart"/>
            <w:tcBorders>
              <w:tl2br w:val="nil"/>
              <w:tr2bl w:val="nil"/>
            </w:tcBorders>
            <w:noWrap w:val="0"/>
            <w:vAlign w:val="center"/>
          </w:tcPr>
          <w:p w14:paraId="03AA75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西侧</w:t>
            </w:r>
          </w:p>
        </w:tc>
        <w:tc>
          <w:tcPr>
            <w:tcW w:w="1001" w:type="dxa"/>
            <w:tcBorders>
              <w:tl2br w:val="nil"/>
              <w:tr2bl w:val="nil"/>
            </w:tcBorders>
            <w:noWrap w:val="0"/>
            <w:vAlign w:val="center"/>
          </w:tcPr>
          <w:p w14:paraId="73FC69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昼间</w:t>
            </w:r>
          </w:p>
        </w:tc>
        <w:tc>
          <w:tcPr>
            <w:tcW w:w="0" w:type="auto"/>
            <w:tcBorders>
              <w:tl2br w:val="nil"/>
              <w:tr2bl w:val="nil"/>
            </w:tcBorders>
            <w:shd w:val="clear" w:color="auto" w:fill="auto"/>
            <w:noWrap w:val="0"/>
            <w:vAlign w:val="center"/>
          </w:tcPr>
          <w:p w14:paraId="2A02011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2"/>
                <w:position w:val="0"/>
                <w:sz w:val="21"/>
                <w:szCs w:val="21"/>
                <w:u w:val="none"/>
                <w:lang w:val="en-US" w:eastAsia="zh-CN" w:bidi="ar-SA"/>
              </w:rPr>
            </w:pPr>
            <w:r>
              <w:rPr>
                <w:rFonts w:hint="eastAsia" w:cs="Times New Roman"/>
                <w:i w:val="0"/>
                <w:iCs w:val="0"/>
                <w:color w:val="auto"/>
                <w:spacing w:val="0"/>
                <w:w w:val="100"/>
                <w:kern w:val="0"/>
                <w:position w:val="0"/>
                <w:sz w:val="21"/>
                <w:szCs w:val="21"/>
                <w:u w:val="none"/>
                <w:lang w:val="en-US" w:eastAsia="zh-CN" w:bidi="ar"/>
              </w:rPr>
              <w:t>45.05</w:t>
            </w:r>
          </w:p>
        </w:tc>
        <w:tc>
          <w:tcPr>
            <w:tcW w:w="2606" w:type="dxa"/>
            <w:tcBorders>
              <w:tl2br w:val="nil"/>
              <w:tr2bl w:val="nil"/>
            </w:tcBorders>
            <w:noWrap w:val="0"/>
            <w:vAlign w:val="center"/>
          </w:tcPr>
          <w:p w14:paraId="4FD0D1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65</w:t>
            </w:r>
          </w:p>
        </w:tc>
        <w:tc>
          <w:tcPr>
            <w:tcW w:w="1600" w:type="dxa"/>
            <w:tcBorders>
              <w:tl2br w:val="nil"/>
              <w:tr2bl w:val="nil"/>
            </w:tcBorders>
            <w:noWrap w:val="0"/>
            <w:vAlign w:val="center"/>
          </w:tcPr>
          <w:p w14:paraId="078164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达标</w:t>
            </w:r>
          </w:p>
        </w:tc>
      </w:tr>
      <w:tr w14:paraId="439DC1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493" w:type="dxa"/>
            <w:vMerge w:val="continue"/>
            <w:tcBorders>
              <w:tl2br w:val="nil"/>
              <w:tr2bl w:val="nil"/>
            </w:tcBorders>
            <w:noWrap w:val="0"/>
            <w:vAlign w:val="center"/>
          </w:tcPr>
          <w:p w14:paraId="5EAC3C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1001" w:type="dxa"/>
            <w:tcBorders>
              <w:tl2br w:val="nil"/>
              <w:tr2bl w:val="nil"/>
            </w:tcBorders>
            <w:noWrap w:val="0"/>
            <w:vAlign w:val="center"/>
          </w:tcPr>
          <w:p w14:paraId="03E418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eastAsia" w:cs="Times New Roman"/>
                <w:caps w:val="0"/>
                <w:snapToGrid/>
                <w:color w:val="auto"/>
                <w:spacing w:val="0"/>
                <w:w w:val="100"/>
                <w:kern w:val="0"/>
                <w:position w:val="0"/>
                <w:sz w:val="21"/>
                <w:szCs w:val="21"/>
                <w:highlight w:val="none"/>
                <w:lang w:val="en-US" w:eastAsia="zh-CN"/>
              </w:rPr>
              <w:t>夜间</w:t>
            </w:r>
          </w:p>
        </w:tc>
        <w:tc>
          <w:tcPr>
            <w:tcW w:w="0" w:type="auto"/>
            <w:tcBorders>
              <w:tl2br w:val="nil"/>
              <w:tr2bl w:val="nil"/>
            </w:tcBorders>
            <w:shd w:val="clear" w:color="auto" w:fill="auto"/>
            <w:noWrap w:val="0"/>
            <w:vAlign w:val="center"/>
          </w:tcPr>
          <w:p w14:paraId="09B19EF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eastAsia" w:cs="Times New Roman"/>
                <w:i w:val="0"/>
                <w:iCs w:val="0"/>
                <w:color w:val="auto"/>
                <w:spacing w:val="0"/>
                <w:w w:val="100"/>
                <w:kern w:val="0"/>
                <w:position w:val="0"/>
                <w:sz w:val="21"/>
                <w:szCs w:val="21"/>
                <w:u w:val="none"/>
                <w:lang w:val="en-US" w:eastAsia="zh-CN" w:bidi="ar"/>
              </w:rPr>
              <w:t>45.05</w:t>
            </w:r>
          </w:p>
        </w:tc>
        <w:tc>
          <w:tcPr>
            <w:tcW w:w="2606" w:type="dxa"/>
            <w:tcBorders>
              <w:tl2br w:val="nil"/>
              <w:tr2bl w:val="nil"/>
            </w:tcBorders>
            <w:noWrap w:val="0"/>
            <w:vAlign w:val="center"/>
          </w:tcPr>
          <w:p w14:paraId="27C980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55</w:t>
            </w:r>
          </w:p>
        </w:tc>
        <w:tc>
          <w:tcPr>
            <w:tcW w:w="1600" w:type="dxa"/>
            <w:tcBorders>
              <w:tl2br w:val="nil"/>
              <w:tr2bl w:val="nil"/>
            </w:tcBorders>
            <w:noWrap w:val="0"/>
            <w:vAlign w:val="center"/>
          </w:tcPr>
          <w:p w14:paraId="1CF65D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达标</w:t>
            </w:r>
          </w:p>
        </w:tc>
      </w:tr>
      <w:tr w14:paraId="3D5E0E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493" w:type="dxa"/>
            <w:vMerge w:val="restart"/>
            <w:tcBorders>
              <w:tl2br w:val="nil"/>
              <w:tr2bl w:val="nil"/>
            </w:tcBorders>
            <w:noWrap w:val="0"/>
            <w:vAlign w:val="center"/>
          </w:tcPr>
          <w:p w14:paraId="0F0453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北侧</w:t>
            </w:r>
          </w:p>
        </w:tc>
        <w:tc>
          <w:tcPr>
            <w:tcW w:w="1001" w:type="dxa"/>
            <w:tcBorders>
              <w:tl2br w:val="nil"/>
              <w:tr2bl w:val="nil"/>
            </w:tcBorders>
            <w:noWrap w:val="0"/>
            <w:vAlign w:val="center"/>
          </w:tcPr>
          <w:p w14:paraId="14B221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昼间</w:t>
            </w:r>
          </w:p>
        </w:tc>
        <w:tc>
          <w:tcPr>
            <w:tcW w:w="2253" w:type="dxa"/>
            <w:tcBorders>
              <w:tl2br w:val="nil"/>
              <w:tr2bl w:val="nil"/>
            </w:tcBorders>
            <w:shd w:val="clear" w:color="auto" w:fill="auto"/>
            <w:noWrap w:val="0"/>
            <w:vAlign w:val="center"/>
          </w:tcPr>
          <w:p w14:paraId="526DB95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2"/>
                <w:position w:val="0"/>
                <w:sz w:val="21"/>
                <w:szCs w:val="21"/>
                <w:u w:val="none"/>
                <w:lang w:val="en-US" w:eastAsia="zh-CN" w:bidi="ar-SA"/>
              </w:rPr>
            </w:pPr>
            <w:r>
              <w:rPr>
                <w:rFonts w:hint="eastAsia" w:cs="Times New Roman"/>
                <w:i w:val="0"/>
                <w:iCs w:val="0"/>
                <w:color w:val="auto"/>
                <w:spacing w:val="0"/>
                <w:w w:val="100"/>
                <w:kern w:val="0"/>
                <w:position w:val="0"/>
                <w:sz w:val="21"/>
                <w:szCs w:val="21"/>
                <w:u w:val="none"/>
                <w:lang w:val="en-US" w:eastAsia="zh-CN" w:bidi="ar"/>
              </w:rPr>
              <w:t>29.87</w:t>
            </w:r>
          </w:p>
        </w:tc>
        <w:tc>
          <w:tcPr>
            <w:tcW w:w="2606" w:type="dxa"/>
            <w:tcBorders>
              <w:tl2br w:val="nil"/>
              <w:tr2bl w:val="nil"/>
            </w:tcBorders>
            <w:noWrap w:val="0"/>
            <w:vAlign w:val="center"/>
          </w:tcPr>
          <w:p w14:paraId="2B2538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65</w:t>
            </w:r>
          </w:p>
        </w:tc>
        <w:tc>
          <w:tcPr>
            <w:tcW w:w="1600" w:type="dxa"/>
            <w:tcBorders>
              <w:tl2br w:val="nil"/>
              <w:tr2bl w:val="nil"/>
            </w:tcBorders>
            <w:noWrap w:val="0"/>
            <w:vAlign w:val="center"/>
          </w:tcPr>
          <w:p w14:paraId="7CE850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达标</w:t>
            </w:r>
          </w:p>
        </w:tc>
      </w:tr>
      <w:tr w14:paraId="4E708E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493" w:type="dxa"/>
            <w:vMerge w:val="continue"/>
            <w:tcBorders>
              <w:tl2br w:val="nil"/>
              <w:tr2bl w:val="nil"/>
            </w:tcBorders>
            <w:noWrap w:val="0"/>
            <w:vAlign w:val="center"/>
          </w:tcPr>
          <w:p w14:paraId="3DA6A9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1001" w:type="dxa"/>
            <w:tcBorders>
              <w:tl2br w:val="nil"/>
              <w:tr2bl w:val="nil"/>
            </w:tcBorders>
            <w:noWrap w:val="0"/>
            <w:vAlign w:val="center"/>
          </w:tcPr>
          <w:p w14:paraId="6D84D7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eastAsia" w:cs="Times New Roman"/>
                <w:caps w:val="0"/>
                <w:snapToGrid/>
                <w:color w:val="auto"/>
                <w:spacing w:val="0"/>
                <w:w w:val="100"/>
                <w:kern w:val="0"/>
                <w:position w:val="0"/>
                <w:sz w:val="21"/>
                <w:szCs w:val="21"/>
                <w:highlight w:val="none"/>
                <w:lang w:val="en-US" w:eastAsia="zh-CN"/>
              </w:rPr>
              <w:t>夜间</w:t>
            </w:r>
          </w:p>
        </w:tc>
        <w:tc>
          <w:tcPr>
            <w:tcW w:w="2253" w:type="dxa"/>
            <w:tcBorders>
              <w:tl2br w:val="nil"/>
              <w:tr2bl w:val="nil"/>
            </w:tcBorders>
            <w:shd w:val="clear" w:color="auto" w:fill="auto"/>
            <w:noWrap w:val="0"/>
            <w:vAlign w:val="center"/>
          </w:tcPr>
          <w:p w14:paraId="140E832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pacing w:val="0"/>
                <w:w w:val="100"/>
                <w:kern w:val="0"/>
                <w:position w:val="0"/>
                <w:sz w:val="21"/>
                <w:szCs w:val="21"/>
                <w:u w:val="none"/>
                <w:lang w:val="en-US" w:eastAsia="zh-CN" w:bidi="ar"/>
              </w:rPr>
            </w:pPr>
            <w:r>
              <w:rPr>
                <w:rFonts w:hint="eastAsia" w:cs="Times New Roman"/>
                <w:i w:val="0"/>
                <w:iCs w:val="0"/>
                <w:color w:val="auto"/>
                <w:spacing w:val="0"/>
                <w:w w:val="100"/>
                <w:kern w:val="0"/>
                <w:position w:val="0"/>
                <w:sz w:val="21"/>
                <w:szCs w:val="21"/>
                <w:u w:val="none"/>
                <w:lang w:val="en-US" w:eastAsia="zh-CN" w:bidi="ar"/>
              </w:rPr>
              <w:t>29.87</w:t>
            </w:r>
          </w:p>
        </w:tc>
        <w:tc>
          <w:tcPr>
            <w:tcW w:w="2606" w:type="dxa"/>
            <w:tcBorders>
              <w:tl2br w:val="nil"/>
              <w:tr2bl w:val="nil"/>
            </w:tcBorders>
            <w:noWrap w:val="0"/>
            <w:vAlign w:val="center"/>
          </w:tcPr>
          <w:p w14:paraId="49A817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55</w:t>
            </w:r>
          </w:p>
        </w:tc>
        <w:tc>
          <w:tcPr>
            <w:tcW w:w="1600" w:type="dxa"/>
            <w:tcBorders>
              <w:tl2br w:val="nil"/>
              <w:tr2bl w:val="nil"/>
            </w:tcBorders>
            <w:noWrap w:val="0"/>
            <w:vAlign w:val="center"/>
          </w:tcPr>
          <w:p w14:paraId="16504F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达标</w:t>
            </w:r>
          </w:p>
        </w:tc>
      </w:tr>
    </w:tbl>
    <w:p w14:paraId="5BC42632">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s="Times New Roman"/>
          <w:caps w:val="0"/>
          <w:snapToGrid/>
          <w:color w:val="auto"/>
          <w:spacing w:val="0"/>
          <w:w w:val="100"/>
          <w:kern w:val="0"/>
          <w:position w:val="0"/>
          <w:szCs w:val="20"/>
          <w:highlight w:val="none"/>
          <w:lang w:val="zh-CN"/>
        </w:rPr>
      </w:pPr>
      <w:r>
        <w:rPr>
          <w:rFonts w:hint="default"/>
          <w:color w:val="auto"/>
          <w:spacing w:val="0"/>
          <w:w w:val="100"/>
          <w:position w:val="0"/>
          <w:highlight w:val="none"/>
          <w:lang w:val="zh-CN"/>
        </w:rPr>
        <w:t>由上表可知，正常工况下，项目厂界</w:t>
      </w:r>
      <w:r>
        <w:rPr>
          <w:rFonts w:hint="eastAsia"/>
          <w:color w:val="auto"/>
          <w:spacing w:val="0"/>
          <w:w w:val="100"/>
          <w:position w:val="0"/>
          <w:highlight w:val="none"/>
          <w:lang w:val="en-US" w:eastAsia="zh-CN"/>
        </w:rPr>
        <w:t>昼间</w:t>
      </w:r>
      <w:r>
        <w:rPr>
          <w:rFonts w:hint="default"/>
          <w:color w:val="auto"/>
          <w:spacing w:val="0"/>
          <w:w w:val="100"/>
          <w:position w:val="0"/>
          <w:highlight w:val="none"/>
          <w:lang w:val="zh-CN"/>
        </w:rPr>
        <w:t>噪声</w:t>
      </w:r>
      <w:r>
        <w:rPr>
          <w:rFonts w:hint="eastAsia"/>
          <w:color w:val="auto"/>
          <w:spacing w:val="0"/>
          <w:w w:val="100"/>
          <w:position w:val="0"/>
          <w:highlight w:val="none"/>
          <w:lang w:val="en-US" w:eastAsia="zh-CN"/>
        </w:rPr>
        <w:t>贡献值</w:t>
      </w:r>
      <w:r>
        <w:rPr>
          <w:rFonts w:hint="default"/>
          <w:color w:val="auto"/>
          <w:spacing w:val="0"/>
          <w:w w:val="100"/>
          <w:position w:val="0"/>
          <w:highlight w:val="none"/>
          <w:lang w:val="zh-CN"/>
        </w:rPr>
        <w:t>满足《工业企业厂界环境噪声排放标准》</w:t>
      </w:r>
      <w:r>
        <w:rPr>
          <w:rFonts w:hint="eastAsia"/>
          <w:color w:val="auto"/>
          <w:spacing w:val="0"/>
          <w:w w:val="100"/>
          <w:position w:val="0"/>
          <w:highlight w:val="none"/>
          <w:lang w:val="zh-CN"/>
        </w:rPr>
        <w:t>（</w:t>
      </w:r>
      <w:r>
        <w:rPr>
          <w:rFonts w:hint="default"/>
          <w:color w:val="auto"/>
          <w:spacing w:val="0"/>
          <w:w w:val="100"/>
          <w:position w:val="0"/>
          <w:highlight w:val="none"/>
          <w:lang w:val="zh-CN"/>
        </w:rPr>
        <w:t>GB12348-2008</w:t>
      </w:r>
      <w:r>
        <w:rPr>
          <w:rFonts w:hint="eastAsia"/>
          <w:color w:val="auto"/>
          <w:spacing w:val="0"/>
          <w:w w:val="100"/>
          <w:position w:val="0"/>
          <w:highlight w:val="none"/>
          <w:lang w:val="zh-CN"/>
        </w:rPr>
        <w:t>）</w:t>
      </w:r>
      <w:r>
        <w:rPr>
          <w:rFonts w:hint="default"/>
          <w:color w:val="auto"/>
          <w:spacing w:val="0"/>
          <w:w w:val="100"/>
          <w:position w:val="0"/>
          <w:highlight w:val="none"/>
          <w:lang w:val="en-US" w:eastAsia="zh-CN"/>
        </w:rPr>
        <w:t>3</w:t>
      </w:r>
      <w:r>
        <w:rPr>
          <w:rFonts w:hint="default"/>
          <w:color w:val="auto"/>
          <w:spacing w:val="0"/>
          <w:w w:val="100"/>
          <w:position w:val="0"/>
          <w:highlight w:val="none"/>
          <w:lang w:val="zh-CN"/>
        </w:rPr>
        <w:t>类标准。</w:t>
      </w:r>
    </w:p>
    <w:p w14:paraId="4ED6C7AD">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5.2.3.7声环境影响自查表</w:t>
      </w:r>
    </w:p>
    <w:p w14:paraId="0FB2509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b/>
          <w:caps w:val="0"/>
          <w:snapToGrid/>
          <w:color w:val="auto"/>
          <w:spacing w:val="0"/>
          <w:w w:val="100"/>
          <w:kern w:val="0"/>
          <w:position w:val="0"/>
          <w:sz w:val="21"/>
          <w:szCs w:val="21"/>
          <w:highlight w:val="none"/>
        </w:rPr>
        <w:t>表</w:t>
      </w:r>
      <w:r>
        <w:rPr>
          <w:rFonts w:hint="default" w:ascii="Times New Roman" w:hAnsi="Times New Roman" w:eastAsia="宋体" w:cs="Times New Roman"/>
          <w:b/>
          <w:caps w:val="0"/>
          <w:snapToGrid/>
          <w:color w:val="auto"/>
          <w:spacing w:val="0"/>
          <w:w w:val="100"/>
          <w:kern w:val="0"/>
          <w:position w:val="0"/>
          <w:sz w:val="21"/>
          <w:szCs w:val="21"/>
          <w:highlight w:val="none"/>
          <w:lang w:val="en-US" w:eastAsia="zh-CN"/>
        </w:rPr>
        <w:t>5.2</w:t>
      </w:r>
      <w:r>
        <w:rPr>
          <w:rFonts w:hint="eastAsia" w:cs="Times New Roman"/>
          <w:b/>
          <w:caps w:val="0"/>
          <w:snapToGrid/>
          <w:color w:val="auto"/>
          <w:spacing w:val="0"/>
          <w:w w:val="100"/>
          <w:kern w:val="0"/>
          <w:position w:val="0"/>
          <w:sz w:val="21"/>
          <w:szCs w:val="21"/>
          <w:highlight w:val="none"/>
          <w:lang w:val="en-US" w:eastAsia="zh-CN"/>
        </w:rPr>
        <w:t>.3-2</w:t>
      </w:r>
      <w:r>
        <w:rPr>
          <w:rFonts w:hint="default" w:ascii="Times New Roman" w:hAnsi="Times New Roman" w:eastAsia="宋体" w:cs="Times New Roman"/>
          <w:b/>
          <w:caps w:val="0"/>
          <w:snapToGrid/>
          <w:color w:val="auto"/>
          <w:spacing w:val="0"/>
          <w:w w:val="100"/>
          <w:kern w:val="0"/>
          <w:position w:val="0"/>
          <w:sz w:val="21"/>
          <w:szCs w:val="21"/>
          <w:highlight w:val="none"/>
          <w:lang w:val="en-US" w:eastAsia="zh-CN"/>
        </w:rPr>
        <w:t xml:space="preserve"> </w:t>
      </w:r>
      <w:r>
        <w:rPr>
          <w:rFonts w:hint="default" w:ascii="Times New Roman" w:hAnsi="Times New Roman" w:eastAsia="宋体" w:cs="Times New Roman"/>
          <w:b/>
          <w:caps w:val="0"/>
          <w:snapToGrid/>
          <w:color w:val="auto"/>
          <w:spacing w:val="0"/>
          <w:w w:val="100"/>
          <w:kern w:val="0"/>
          <w:position w:val="0"/>
          <w:sz w:val="21"/>
          <w:szCs w:val="21"/>
          <w:highlight w:val="none"/>
        </w:rPr>
        <w:t xml:space="preserve"> 声环境影响评价自查表</w:t>
      </w:r>
    </w:p>
    <w:tbl>
      <w:tblPr>
        <w:tblStyle w:val="25"/>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57" w:type="dxa"/>
          <w:left w:w="57" w:type="dxa"/>
          <w:bottom w:w="57" w:type="dxa"/>
          <w:right w:w="57" w:type="dxa"/>
        </w:tblCellMar>
      </w:tblPr>
      <w:tblGrid>
        <w:gridCol w:w="907"/>
        <w:gridCol w:w="1656"/>
        <w:gridCol w:w="1115"/>
        <w:gridCol w:w="358"/>
        <w:gridCol w:w="698"/>
        <w:gridCol w:w="391"/>
        <w:gridCol w:w="529"/>
        <w:gridCol w:w="1019"/>
        <w:gridCol w:w="433"/>
        <w:gridCol w:w="297"/>
        <w:gridCol w:w="261"/>
        <w:gridCol w:w="980"/>
      </w:tblGrid>
      <w:tr w14:paraId="0FB202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tblHeader/>
          <w:jc w:val="center"/>
        </w:trPr>
        <w:tc>
          <w:tcPr>
            <w:tcW w:w="2563" w:type="dxa"/>
            <w:gridSpan w:val="2"/>
            <w:tcBorders>
              <w:tl2br w:val="nil"/>
              <w:tr2bl w:val="nil"/>
            </w:tcBorders>
            <w:noWrap w:val="0"/>
            <w:vAlign w:val="center"/>
          </w:tcPr>
          <w:p w14:paraId="1B7E81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工作内容</w:t>
            </w:r>
          </w:p>
        </w:tc>
        <w:tc>
          <w:tcPr>
            <w:tcW w:w="6081" w:type="dxa"/>
            <w:gridSpan w:val="10"/>
            <w:tcBorders>
              <w:tl2br w:val="nil"/>
              <w:tr2bl w:val="nil"/>
            </w:tcBorders>
            <w:noWrap w:val="0"/>
            <w:vAlign w:val="center"/>
          </w:tcPr>
          <w:p w14:paraId="225435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自查项目</w:t>
            </w:r>
          </w:p>
        </w:tc>
      </w:tr>
      <w:tr w14:paraId="2B8500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07" w:type="dxa"/>
            <w:vMerge w:val="restart"/>
            <w:tcBorders>
              <w:tl2br w:val="nil"/>
              <w:tr2bl w:val="nil"/>
            </w:tcBorders>
            <w:noWrap w:val="0"/>
            <w:vAlign w:val="center"/>
          </w:tcPr>
          <w:p w14:paraId="26AE72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评价等级与范围</w:t>
            </w:r>
          </w:p>
        </w:tc>
        <w:tc>
          <w:tcPr>
            <w:tcW w:w="1656" w:type="dxa"/>
            <w:tcBorders>
              <w:tl2br w:val="nil"/>
              <w:tr2bl w:val="nil"/>
            </w:tcBorders>
            <w:noWrap w:val="0"/>
            <w:vAlign w:val="center"/>
          </w:tcPr>
          <w:p w14:paraId="6B2ECF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评价等级</w:t>
            </w:r>
          </w:p>
        </w:tc>
        <w:tc>
          <w:tcPr>
            <w:tcW w:w="6081" w:type="dxa"/>
            <w:gridSpan w:val="10"/>
            <w:tcBorders>
              <w:tl2br w:val="nil"/>
              <w:tr2bl w:val="nil"/>
            </w:tcBorders>
            <w:noWrap w:val="0"/>
            <w:vAlign w:val="center"/>
          </w:tcPr>
          <w:p w14:paraId="1EADBA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一级□                  二级□                 三级☑</w:t>
            </w:r>
          </w:p>
        </w:tc>
      </w:tr>
      <w:tr w14:paraId="2EA3D3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07" w:type="dxa"/>
            <w:vMerge w:val="continue"/>
            <w:tcBorders>
              <w:tl2br w:val="nil"/>
              <w:tr2bl w:val="nil"/>
            </w:tcBorders>
            <w:noWrap w:val="0"/>
            <w:vAlign w:val="center"/>
          </w:tcPr>
          <w:p w14:paraId="19A898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1656" w:type="dxa"/>
            <w:tcBorders>
              <w:tl2br w:val="nil"/>
              <w:tr2bl w:val="nil"/>
            </w:tcBorders>
            <w:noWrap w:val="0"/>
            <w:vAlign w:val="center"/>
          </w:tcPr>
          <w:p w14:paraId="77AC97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评价范围</w:t>
            </w:r>
          </w:p>
        </w:tc>
        <w:tc>
          <w:tcPr>
            <w:tcW w:w="6081" w:type="dxa"/>
            <w:gridSpan w:val="10"/>
            <w:tcBorders>
              <w:tl2br w:val="nil"/>
              <w:tr2bl w:val="nil"/>
            </w:tcBorders>
            <w:noWrap w:val="0"/>
            <w:vAlign w:val="center"/>
          </w:tcPr>
          <w:p w14:paraId="4BE1BD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rPr>
              <w:t>200m</w:t>
            </w: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r>
              <w:rPr>
                <w:rFonts w:hint="default" w:ascii="Times New Roman" w:hAnsi="Times New Roman" w:eastAsia="宋体" w:cs="Times New Roman"/>
                <w:caps w:val="0"/>
                <w:snapToGrid/>
                <w:color w:val="auto"/>
                <w:spacing w:val="0"/>
                <w:w w:val="100"/>
                <w:kern w:val="0"/>
                <w:position w:val="0"/>
                <w:sz w:val="21"/>
                <w:szCs w:val="21"/>
                <w:highlight w:val="none"/>
              </w:rPr>
              <w:t xml:space="preserve">                 大于200m□              小于200</w:t>
            </w: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p>
        </w:tc>
      </w:tr>
      <w:tr w14:paraId="46D947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07" w:type="dxa"/>
            <w:tcBorders>
              <w:tl2br w:val="nil"/>
              <w:tr2bl w:val="nil"/>
            </w:tcBorders>
            <w:noWrap w:val="0"/>
            <w:vAlign w:val="center"/>
          </w:tcPr>
          <w:p w14:paraId="707296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评价因子</w:t>
            </w:r>
          </w:p>
        </w:tc>
        <w:tc>
          <w:tcPr>
            <w:tcW w:w="1656" w:type="dxa"/>
            <w:tcBorders>
              <w:tl2br w:val="nil"/>
              <w:tr2bl w:val="nil"/>
            </w:tcBorders>
            <w:noWrap w:val="0"/>
            <w:vAlign w:val="center"/>
          </w:tcPr>
          <w:p w14:paraId="0F523C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评价因子</w:t>
            </w:r>
          </w:p>
        </w:tc>
        <w:tc>
          <w:tcPr>
            <w:tcW w:w="6081" w:type="dxa"/>
            <w:gridSpan w:val="10"/>
            <w:tcBorders>
              <w:tl2br w:val="nil"/>
              <w:tr2bl w:val="nil"/>
            </w:tcBorders>
            <w:noWrap w:val="0"/>
            <w:vAlign w:val="center"/>
          </w:tcPr>
          <w:p w14:paraId="3A231C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等效连续A声级☑      最大A声级□     计权等效连续感觉噪声级□</w:t>
            </w:r>
          </w:p>
        </w:tc>
      </w:tr>
      <w:tr w14:paraId="6E815C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07" w:type="dxa"/>
            <w:tcBorders>
              <w:tl2br w:val="nil"/>
              <w:tr2bl w:val="nil"/>
            </w:tcBorders>
            <w:noWrap w:val="0"/>
            <w:vAlign w:val="center"/>
          </w:tcPr>
          <w:p w14:paraId="28764B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评价标准</w:t>
            </w:r>
          </w:p>
        </w:tc>
        <w:tc>
          <w:tcPr>
            <w:tcW w:w="1656" w:type="dxa"/>
            <w:tcBorders>
              <w:tl2br w:val="nil"/>
              <w:tr2bl w:val="nil"/>
            </w:tcBorders>
            <w:noWrap w:val="0"/>
            <w:vAlign w:val="center"/>
          </w:tcPr>
          <w:p w14:paraId="35FE47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评价标准</w:t>
            </w:r>
          </w:p>
        </w:tc>
        <w:tc>
          <w:tcPr>
            <w:tcW w:w="6081" w:type="dxa"/>
            <w:gridSpan w:val="10"/>
            <w:tcBorders>
              <w:tl2br w:val="nil"/>
              <w:tr2bl w:val="nil"/>
            </w:tcBorders>
            <w:noWrap w:val="0"/>
            <w:vAlign w:val="center"/>
          </w:tcPr>
          <w:p w14:paraId="48B86B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国家标准☑               地方标准□                 国外标准□</w:t>
            </w:r>
          </w:p>
        </w:tc>
      </w:tr>
      <w:tr w14:paraId="1E99D8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07" w:type="dxa"/>
            <w:vMerge w:val="restart"/>
            <w:tcBorders>
              <w:tl2br w:val="nil"/>
              <w:tr2bl w:val="nil"/>
            </w:tcBorders>
            <w:noWrap w:val="0"/>
            <w:vAlign w:val="center"/>
          </w:tcPr>
          <w:p w14:paraId="61C374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现状评价</w:t>
            </w:r>
          </w:p>
        </w:tc>
        <w:tc>
          <w:tcPr>
            <w:tcW w:w="1656" w:type="dxa"/>
            <w:tcBorders>
              <w:tl2br w:val="nil"/>
              <w:tr2bl w:val="nil"/>
            </w:tcBorders>
            <w:noWrap w:val="0"/>
            <w:vAlign w:val="center"/>
          </w:tcPr>
          <w:p w14:paraId="3E0A6E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环境功能区</w:t>
            </w:r>
          </w:p>
        </w:tc>
        <w:tc>
          <w:tcPr>
            <w:tcW w:w="1115" w:type="dxa"/>
            <w:tcBorders>
              <w:tl2br w:val="nil"/>
              <w:tr2bl w:val="nil"/>
            </w:tcBorders>
            <w:noWrap w:val="0"/>
            <w:vAlign w:val="center"/>
          </w:tcPr>
          <w:p w14:paraId="7F979C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0类区□</w:t>
            </w:r>
          </w:p>
        </w:tc>
        <w:tc>
          <w:tcPr>
            <w:tcW w:w="1056" w:type="dxa"/>
            <w:gridSpan w:val="2"/>
            <w:tcBorders>
              <w:tl2br w:val="nil"/>
              <w:tr2bl w:val="nil"/>
            </w:tcBorders>
            <w:noWrap w:val="0"/>
            <w:vAlign w:val="center"/>
          </w:tcPr>
          <w:p w14:paraId="7578F2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1类区□</w:t>
            </w:r>
          </w:p>
        </w:tc>
        <w:tc>
          <w:tcPr>
            <w:tcW w:w="920" w:type="dxa"/>
            <w:gridSpan w:val="2"/>
            <w:tcBorders>
              <w:tl2br w:val="nil"/>
              <w:tr2bl w:val="nil"/>
            </w:tcBorders>
            <w:noWrap w:val="0"/>
            <w:vAlign w:val="center"/>
          </w:tcPr>
          <w:p w14:paraId="5A7BA0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2类区□</w:t>
            </w:r>
          </w:p>
        </w:tc>
        <w:tc>
          <w:tcPr>
            <w:tcW w:w="1019" w:type="dxa"/>
            <w:tcBorders>
              <w:tl2br w:val="nil"/>
              <w:tr2bl w:val="nil"/>
            </w:tcBorders>
            <w:noWrap w:val="0"/>
            <w:vAlign w:val="center"/>
          </w:tcPr>
          <w:p w14:paraId="309FCB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3类区☑</w:t>
            </w:r>
          </w:p>
        </w:tc>
        <w:tc>
          <w:tcPr>
            <w:tcW w:w="991" w:type="dxa"/>
            <w:gridSpan w:val="3"/>
            <w:tcBorders>
              <w:tl2br w:val="nil"/>
              <w:tr2bl w:val="nil"/>
            </w:tcBorders>
            <w:noWrap w:val="0"/>
            <w:vAlign w:val="center"/>
          </w:tcPr>
          <w:p w14:paraId="20B77A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4a类区□</w:t>
            </w:r>
          </w:p>
        </w:tc>
        <w:tc>
          <w:tcPr>
            <w:tcW w:w="980" w:type="dxa"/>
            <w:tcBorders>
              <w:tl2br w:val="nil"/>
              <w:tr2bl w:val="nil"/>
            </w:tcBorders>
            <w:noWrap w:val="0"/>
            <w:vAlign w:val="center"/>
          </w:tcPr>
          <w:p w14:paraId="6A6046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4b类区□</w:t>
            </w:r>
          </w:p>
        </w:tc>
      </w:tr>
      <w:tr w14:paraId="05A92E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07" w:type="dxa"/>
            <w:vMerge w:val="continue"/>
            <w:tcBorders>
              <w:tl2br w:val="nil"/>
              <w:tr2bl w:val="nil"/>
            </w:tcBorders>
            <w:noWrap w:val="0"/>
            <w:vAlign w:val="center"/>
          </w:tcPr>
          <w:p w14:paraId="7B2E79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1656" w:type="dxa"/>
            <w:tcBorders>
              <w:tl2br w:val="nil"/>
              <w:tr2bl w:val="nil"/>
            </w:tcBorders>
            <w:noWrap w:val="0"/>
            <w:vAlign w:val="center"/>
          </w:tcPr>
          <w:p w14:paraId="0E537E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评价年度</w:t>
            </w:r>
          </w:p>
        </w:tc>
        <w:tc>
          <w:tcPr>
            <w:tcW w:w="1473" w:type="dxa"/>
            <w:gridSpan w:val="2"/>
            <w:tcBorders>
              <w:tl2br w:val="nil"/>
              <w:tr2bl w:val="nil"/>
            </w:tcBorders>
            <w:noWrap w:val="0"/>
            <w:vAlign w:val="center"/>
          </w:tcPr>
          <w:p w14:paraId="05184D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初期☑</w:t>
            </w:r>
          </w:p>
        </w:tc>
        <w:tc>
          <w:tcPr>
            <w:tcW w:w="1618" w:type="dxa"/>
            <w:gridSpan w:val="3"/>
            <w:tcBorders>
              <w:tl2br w:val="nil"/>
              <w:tr2bl w:val="nil"/>
            </w:tcBorders>
            <w:noWrap w:val="0"/>
            <w:vAlign w:val="center"/>
          </w:tcPr>
          <w:p w14:paraId="5AA4F7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近期□</w:t>
            </w:r>
          </w:p>
        </w:tc>
        <w:tc>
          <w:tcPr>
            <w:tcW w:w="1452" w:type="dxa"/>
            <w:gridSpan w:val="2"/>
            <w:tcBorders>
              <w:tl2br w:val="nil"/>
              <w:tr2bl w:val="nil"/>
            </w:tcBorders>
            <w:noWrap w:val="0"/>
            <w:vAlign w:val="center"/>
          </w:tcPr>
          <w:p w14:paraId="028519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中期□</w:t>
            </w:r>
          </w:p>
        </w:tc>
        <w:tc>
          <w:tcPr>
            <w:tcW w:w="1538" w:type="dxa"/>
            <w:gridSpan w:val="3"/>
            <w:tcBorders>
              <w:tl2br w:val="nil"/>
              <w:tr2bl w:val="nil"/>
            </w:tcBorders>
            <w:noWrap w:val="0"/>
            <w:vAlign w:val="center"/>
          </w:tcPr>
          <w:p w14:paraId="60B4DD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远期□</w:t>
            </w:r>
          </w:p>
        </w:tc>
      </w:tr>
      <w:tr w14:paraId="38CC06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07" w:type="dxa"/>
            <w:vMerge w:val="continue"/>
            <w:tcBorders>
              <w:tl2br w:val="nil"/>
              <w:tr2bl w:val="nil"/>
            </w:tcBorders>
            <w:noWrap w:val="0"/>
            <w:vAlign w:val="center"/>
          </w:tcPr>
          <w:p w14:paraId="1BBD2B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1656" w:type="dxa"/>
            <w:tcBorders>
              <w:tl2br w:val="nil"/>
              <w:tr2bl w:val="nil"/>
            </w:tcBorders>
            <w:noWrap w:val="0"/>
            <w:vAlign w:val="center"/>
          </w:tcPr>
          <w:p w14:paraId="44624F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现状调查方法</w:t>
            </w:r>
          </w:p>
        </w:tc>
        <w:tc>
          <w:tcPr>
            <w:tcW w:w="6081" w:type="dxa"/>
            <w:gridSpan w:val="10"/>
            <w:tcBorders>
              <w:tl2br w:val="nil"/>
              <w:tr2bl w:val="nil"/>
            </w:tcBorders>
            <w:noWrap w:val="0"/>
            <w:vAlign w:val="center"/>
          </w:tcPr>
          <w:p w14:paraId="406A2D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现场实测法☑      现场实测加模型计算法□      收集资料□</w:t>
            </w:r>
          </w:p>
        </w:tc>
      </w:tr>
      <w:tr w14:paraId="2DD2CD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07" w:type="dxa"/>
            <w:vMerge w:val="continue"/>
            <w:tcBorders>
              <w:tl2br w:val="nil"/>
              <w:tr2bl w:val="nil"/>
            </w:tcBorders>
            <w:noWrap w:val="0"/>
            <w:vAlign w:val="center"/>
          </w:tcPr>
          <w:p w14:paraId="14C75E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1656" w:type="dxa"/>
            <w:tcBorders>
              <w:tl2br w:val="nil"/>
              <w:tr2bl w:val="nil"/>
            </w:tcBorders>
            <w:noWrap w:val="0"/>
            <w:vAlign w:val="center"/>
          </w:tcPr>
          <w:p w14:paraId="086C1D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现状评价</w:t>
            </w:r>
          </w:p>
        </w:tc>
        <w:tc>
          <w:tcPr>
            <w:tcW w:w="2171" w:type="dxa"/>
            <w:gridSpan w:val="3"/>
            <w:tcBorders>
              <w:tl2br w:val="nil"/>
              <w:tr2bl w:val="nil"/>
            </w:tcBorders>
            <w:noWrap w:val="0"/>
            <w:vAlign w:val="center"/>
          </w:tcPr>
          <w:p w14:paraId="6915D2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达标百分比</w:t>
            </w:r>
          </w:p>
        </w:tc>
        <w:tc>
          <w:tcPr>
            <w:tcW w:w="3910" w:type="dxa"/>
            <w:gridSpan w:val="7"/>
            <w:tcBorders>
              <w:tl2br w:val="nil"/>
              <w:tr2bl w:val="nil"/>
            </w:tcBorders>
            <w:noWrap w:val="0"/>
            <w:vAlign w:val="center"/>
          </w:tcPr>
          <w:p w14:paraId="362CFC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100%</w:t>
            </w:r>
          </w:p>
        </w:tc>
      </w:tr>
      <w:tr w14:paraId="436D6A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07" w:type="dxa"/>
            <w:tcBorders>
              <w:tl2br w:val="nil"/>
              <w:tr2bl w:val="nil"/>
            </w:tcBorders>
            <w:noWrap w:val="0"/>
            <w:vAlign w:val="center"/>
          </w:tcPr>
          <w:p w14:paraId="77174C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rPr>
              <w:t>污染源</w:t>
            </w:r>
          </w:p>
          <w:p w14:paraId="72F616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调查</w:t>
            </w:r>
          </w:p>
        </w:tc>
        <w:tc>
          <w:tcPr>
            <w:tcW w:w="1656" w:type="dxa"/>
            <w:tcBorders>
              <w:tl2br w:val="nil"/>
              <w:tr2bl w:val="nil"/>
            </w:tcBorders>
            <w:noWrap w:val="0"/>
            <w:vAlign w:val="center"/>
          </w:tcPr>
          <w:p w14:paraId="13F247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噪声源调查方法</w:t>
            </w:r>
          </w:p>
        </w:tc>
        <w:tc>
          <w:tcPr>
            <w:tcW w:w="6081" w:type="dxa"/>
            <w:gridSpan w:val="10"/>
            <w:tcBorders>
              <w:tl2br w:val="nil"/>
              <w:tr2bl w:val="nil"/>
            </w:tcBorders>
            <w:noWrap w:val="0"/>
            <w:vAlign w:val="center"/>
          </w:tcPr>
          <w:p w14:paraId="5BF26A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现场实测☑            已有资料</w:t>
            </w:r>
            <w:r>
              <w:rPr>
                <w:rFonts w:hint="default" w:ascii="Times New Roman" w:hAnsi="Times New Roman" w:eastAsia="宋体" w:cs="Times New Roman"/>
                <w:caps w:val="0"/>
                <w:snapToGrid/>
                <w:color w:val="auto"/>
                <w:spacing w:val="0"/>
                <w:w w:val="100"/>
                <w:kern w:val="0"/>
                <w:position w:val="0"/>
                <w:sz w:val="21"/>
                <w:szCs w:val="21"/>
                <w:highlight w:val="none"/>
                <w:lang w:eastAsia="zh-CN"/>
              </w:rPr>
              <w:t>☑</w:t>
            </w:r>
            <w:r>
              <w:rPr>
                <w:rFonts w:hint="default" w:ascii="Times New Roman" w:hAnsi="Times New Roman" w:eastAsia="宋体" w:cs="Times New Roman"/>
                <w:caps w:val="0"/>
                <w:snapToGrid/>
                <w:color w:val="auto"/>
                <w:spacing w:val="0"/>
                <w:w w:val="100"/>
                <w:kern w:val="0"/>
                <w:position w:val="0"/>
                <w:sz w:val="21"/>
                <w:szCs w:val="21"/>
                <w:highlight w:val="none"/>
              </w:rPr>
              <w:t xml:space="preserve">             研究成果□</w:t>
            </w:r>
          </w:p>
        </w:tc>
      </w:tr>
      <w:tr w14:paraId="56B5CA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07" w:type="dxa"/>
            <w:vMerge w:val="restart"/>
            <w:tcBorders>
              <w:tl2br w:val="nil"/>
              <w:tr2bl w:val="nil"/>
            </w:tcBorders>
            <w:noWrap w:val="0"/>
            <w:vAlign w:val="center"/>
          </w:tcPr>
          <w:p w14:paraId="30F04A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rPr>
              <w:t>声环境影响预测与</w:t>
            </w:r>
          </w:p>
          <w:p w14:paraId="1E05C8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评价</w:t>
            </w:r>
          </w:p>
        </w:tc>
        <w:tc>
          <w:tcPr>
            <w:tcW w:w="1656" w:type="dxa"/>
            <w:tcBorders>
              <w:tl2br w:val="nil"/>
              <w:tr2bl w:val="nil"/>
            </w:tcBorders>
            <w:noWrap w:val="0"/>
            <w:vAlign w:val="center"/>
          </w:tcPr>
          <w:p w14:paraId="29B404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预测模型</w:t>
            </w:r>
          </w:p>
        </w:tc>
        <w:tc>
          <w:tcPr>
            <w:tcW w:w="6081" w:type="dxa"/>
            <w:gridSpan w:val="10"/>
            <w:tcBorders>
              <w:tl2br w:val="nil"/>
              <w:tr2bl w:val="nil"/>
            </w:tcBorders>
            <w:noWrap w:val="0"/>
            <w:vAlign w:val="center"/>
          </w:tcPr>
          <w:p w14:paraId="76A48F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u w:val="single"/>
              </w:rPr>
            </w:pPr>
            <w:r>
              <w:rPr>
                <w:rFonts w:hint="default" w:ascii="Times New Roman" w:hAnsi="Times New Roman" w:eastAsia="宋体" w:cs="Times New Roman"/>
                <w:caps w:val="0"/>
                <w:snapToGrid/>
                <w:color w:val="auto"/>
                <w:spacing w:val="0"/>
                <w:w w:val="100"/>
                <w:kern w:val="0"/>
                <w:position w:val="0"/>
                <w:sz w:val="21"/>
                <w:szCs w:val="21"/>
                <w:highlight w:val="none"/>
              </w:rPr>
              <w:t>导则推荐模型☑              其他□</w:t>
            </w:r>
            <w:r>
              <w:rPr>
                <w:rFonts w:hint="default" w:ascii="Times New Roman" w:hAnsi="Times New Roman" w:eastAsia="宋体" w:cs="Times New Roman"/>
                <w:caps w:val="0"/>
                <w:snapToGrid/>
                <w:color w:val="auto"/>
                <w:spacing w:val="0"/>
                <w:w w:val="100"/>
                <w:kern w:val="0"/>
                <w:position w:val="0"/>
                <w:sz w:val="21"/>
                <w:szCs w:val="21"/>
                <w:highlight w:val="none"/>
                <w:u w:val="single"/>
              </w:rPr>
              <w:t xml:space="preserve">             </w:t>
            </w:r>
          </w:p>
        </w:tc>
      </w:tr>
      <w:tr w14:paraId="260BDA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07" w:type="dxa"/>
            <w:vMerge w:val="continue"/>
            <w:tcBorders>
              <w:tl2br w:val="nil"/>
              <w:tr2bl w:val="nil"/>
            </w:tcBorders>
            <w:noWrap w:val="0"/>
            <w:vAlign w:val="center"/>
          </w:tcPr>
          <w:p w14:paraId="69FECE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1656" w:type="dxa"/>
            <w:tcBorders>
              <w:tl2br w:val="nil"/>
              <w:tr2bl w:val="nil"/>
            </w:tcBorders>
            <w:noWrap w:val="0"/>
            <w:vAlign w:val="center"/>
          </w:tcPr>
          <w:p w14:paraId="69768A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预测范围</w:t>
            </w:r>
          </w:p>
        </w:tc>
        <w:tc>
          <w:tcPr>
            <w:tcW w:w="6081" w:type="dxa"/>
            <w:gridSpan w:val="10"/>
            <w:tcBorders>
              <w:tl2br w:val="nil"/>
              <w:tr2bl w:val="nil"/>
            </w:tcBorders>
            <w:noWrap w:val="0"/>
            <w:vAlign w:val="center"/>
          </w:tcPr>
          <w:p w14:paraId="750CE5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200m□               大于200m□            小于200☑</w:t>
            </w:r>
          </w:p>
        </w:tc>
      </w:tr>
      <w:tr w14:paraId="19DC61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07" w:type="dxa"/>
            <w:vMerge w:val="continue"/>
            <w:tcBorders>
              <w:tl2br w:val="nil"/>
              <w:tr2bl w:val="nil"/>
            </w:tcBorders>
            <w:noWrap w:val="0"/>
            <w:vAlign w:val="center"/>
          </w:tcPr>
          <w:p w14:paraId="5A2D76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1656" w:type="dxa"/>
            <w:tcBorders>
              <w:tl2br w:val="nil"/>
              <w:tr2bl w:val="nil"/>
            </w:tcBorders>
            <w:noWrap w:val="0"/>
            <w:vAlign w:val="center"/>
          </w:tcPr>
          <w:p w14:paraId="0DAF83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预测因子</w:t>
            </w:r>
          </w:p>
        </w:tc>
        <w:tc>
          <w:tcPr>
            <w:tcW w:w="6081" w:type="dxa"/>
            <w:gridSpan w:val="10"/>
            <w:tcBorders>
              <w:tl2br w:val="nil"/>
              <w:tr2bl w:val="nil"/>
            </w:tcBorders>
            <w:noWrap w:val="0"/>
            <w:vAlign w:val="center"/>
          </w:tcPr>
          <w:p w14:paraId="6CE284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等效连续A声级☑      最大A声级□     计权等效连续感觉噪声级□</w:t>
            </w:r>
          </w:p>
        </w:tc>
      </w:tr>
      <w:tr w14:paraId="5169A4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07" w:type="dxa"/>
            <w:vMerge w:val="continue"/>
            <w:tcBorders>
              <w:tl2br w:val="nil"/>
              <w:tr2bl w:val="nil"/>
            </w:tcBorders>
            <w:noWrap w:val="0"/>
            <w:vAlign w:val="center"/>
          </w:tcPr>
          <w:p w14:paraId="69CD5B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1656" w:type="dxa"/>
            <w:tcBorders>
              <w:tl2br w:val="nil"/>
              <w:tr2bl w:val="nil"/>
            </w:tcBorders>
            <w:noWrap w:val="0"/>
            <w:vAlign w:val="center"/>
          </w:tcPr>
          <w:p w14:paraId="3E833D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厂界噪声贡献值</w:t>
            </w:r>
          </w:p>
        </w:tc>
        <w:tc>
          <w:tcPr>
            <w:tcW w:w="6081" w:type="dxa"/>
            <w:gridSpan w:val="10"/>
            <w:tcBorders>
              <w:tl2br w:val="nil"/>
              <w:tr2bl w:val="nil"/>
            </w:tcBorders>
            <w:noWrap w:val="0"/>
            <w:vAlign w:val="center"/>
          </w:tcPr>
          <w:p w14:paraId="6B08EC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达标☑                      不达标□</w:t>
            </w:r>
          </w:p>
        </w:tc>
      </w:tr>
      <w:tr w14:paraId="423CE0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07" w:type="dxa"/>
            <w:vMerge w:val="continue"/>
            <w:tcBorders>
              <w:tl2br w:val="nil"/>
              <w:tr2bl w:val="nil"/>
            </w:tcBorders>
            <w:noWrap w:val="0"/>
            <w:vAlign w:val="center"/>
          </w:tcPr>
          <w:p w14:paraId="4BC6D5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1656" w:type="dxa"/>
            <w:tcBorders>
              <w:tl2br w:val="nil"/>
              <w:tr2bl w:val="nil"/>
            </w:tcBorders>
            <w:noWrap w:val="0"/>
            <w:vAlign w:val="center"/>
          </w:tcPr>
          <w:p w14:paraId="631B52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声环境保护目标处噪声值</w:t>
            </w:r>
          </w:p>
        </w:tc>
        <w:tc>
          <w:tcPr>
            <w:tcW w:w="6081" w:type="dxa"/>
            <w:gridSpan w:val="10"/>
            <w:tcBorders>
              <w:tl2br w:val="nil"/>
              <w:tr2bl w:val="nil"/>
            </w:tcBorders>
            <w:noWrap w:val="0"/>
            <w:vAlign w:val="center"/>
          </w:tcPr>
          <w:p w14:paraId="7BF5EB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达标□                      不达标□</w:t>
            </w:r>
          </w:p>
        </w:tc>
      </w:tr>
      <w:tr w14:paraId="2DD93D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07" w:type="dxa"/>
            <w:vMerge w:val="restart"/>
            <w:tcBorders>
              <w:tl2br w:val="nil"/>
              <w:tr2bl w:val="nil"/>
            </w:tcBorders>
            <w:noWrap w:val="0"/>
            <w:vAlign w:val="center"/>
          </w:tcPr>
          <w:p w14:paraId="15BF50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rPr>
              <w:t>环境监测</w:t>
            </w:r>
          </w:p>
          <w:p w14:paraId="11EE28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计划</w:t>
            </w:r>
          </w:p>
        </w:tc>
        <w:tc>
          <w:tcPr>
            <w:tcW w:w="1656" w:type="dxa"/>
            <w:tcBorders>
              <w:tl2br w:val="nil"/>
              <w:tr2bl w:val="nil"/>
            </w:tcBorders>
            <w:noWrap w:val="0"/>
            <w:vAlign w:val="center"/>
          </w:tcPr>
          <w:p w14:paraId="34884F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排放监测</w:t>
            </w:r>
          </w:p>
        </w:tc>
        <w:tc>
          <w:tcPr>
            <w:tcW w:w="6081" w:type="dxa"/>
            <w:gridSpan w:val="10"/>
            <w:tcBorders>
              <w:tl2br w:val="nil"/>
              <w:tr2bl w:val="nil"/>
            </w:tcBorders>
            <w:noWrap w:val="0"/>
            <w:vAlign w:val="center"/>
          </w:tcPr>
          <w:p w14:paraId="4BC646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厂界监测☑   固定位置监测□   自动检测□   手动监测□   无监测□</w:t>
            </w:r>
          </w:p>
        </w:tc>
      </w:tr>
      <w:tr w14:paraId="791D07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07" w:type="dxa"/>
            <w:vMerge w:val="continue"/>
            <w:tcBorders>
              <w:tl2br w:val="nil"/>
              <w:tr2bl w:val="nil"/>
            </w:tcBorders>
            <w:noWrap w:val="0"/>
            <w:vAlign w:val="center"/>
          </w:tcPr>
          <w:p w14:paraId="54A35E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p>
        </w:tc>
        <w:tc>
          <w:tcPr>
            <w:tcW w:w="1656" w:type="dxa"/>
            <w:tcBorders>
              <w:tl2br w:val="nil"/>
              <w:tr2bl w:val="nil"/>
            </w:tcBorders>
            <w:noWrap w:val="0"/>
            <w:vAlign w:val="center"/>
          </w:tcPr>
          <w:p w14:paraId="59BC5B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声环境保护目标处噪声监测</w:t>
            </w:r>
          </w:p>
        </w:tc>
        <w:tc>
          <w:tcPr>
            <w:tcW w:w="2562" w:type="dxa"/>
            <w:gridSpan w:val="4"/>
            <w:tcBorders>
              <w:tl2br w:val="nil"/>
              <w:tr2bl w:val="nil"/>
            </w:tcBorders>
            <w:noWrap w:val="0"/>
            <w:vAlign w:val="center"/>
          </w:tcPr>
          <w:p w14:paraId="3CFF91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监测因子：（  ）</w:t>
            </w:r>
          </w:p>
        </w:tc>
        <w:tc>
          <w:tcPr>
            <w:tcW w:w="2278" w:type="dxa"/>
            <w:gridSpan w:val="4"/>
            <w:tcBorders>
              <w:tl2br w:val="nil"/>
              <w:tr2bl w:val="nil"/>
            </w:tcBorders>
            <w:noWrap w:val="0"/>
            <w:vAlign w:val="center"/>
          </w:tcPr>
          <w:p w14:paraId="3CC0CB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监测点位数（   ）</w:t>
            </w:r>
          </w:p>
        </w:tc>
        <w:tc>
          <w:tcPr>
            <w:tcW w:w="1241" w:type="dxa"/>
            <w:gridSpan w:val="2"/>
            <w:tcBorders>
              <w:tl2br w:val="nil"/>
              <w:tr2bl w:val="nil"/>
            </w:tcBorders>
            <w:noWrap w:val="0"/>
            <w:vAlign w:val="center"/>
          </w:tcPr>
          <w:p w14:paraId="14BC19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无监测□</w:t>
            </w:r>
          </w:p>
        </w:tc>
      </w:tr>
      <w:tr w14:paraId="18F9E0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907" w:type="dxa"/>
            <w:tcBorders>
              <w:tl2br w:val="nil"/>
              <w:tr2bl w:val="nil"/>
            </w:tcBorders>
            <w:noWrap w:val="0"/>
            <w:vAlign w:val="center"/>
          </w:tcPr>
          <w:p w14:paraId="04252A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评价结论</w:t>
            </w:r>
          </w:p>
        </w:tc>
        <w:tc>
          <w:tcPr>
            <w:tcW w:w="1656" w:type="dxa"/>
            <w:tcBorders>
              <w:tl2br w:val="nil"/>
              <w:tr2bl w:val="nil"/>
            </w:tcBorders>
            <w:noWrap w:val="0"/>
            <w:vAlign w:val="center"/>
          </w:tcPr>
          <w:p w14:paraId="4F8BD7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环境影响</w:t>
            </w:r>
          </w:p>
        </w:tc>
        <w:tc>
          <w:tcPr>
            <w:tcW w:w="6081" w:type="dxa"/>
            <w:gridSpan w:val="10"/>
            <w:tcBorders>
              <w:tl2br w:val="nil"/>
              <w:tr2bl w:val="nil"/>
            </w:tcBorders>
            <w:noWrap w:val="0"/>
            <w:vAlign w:val="center"/>
          </w:tcPr>
          <w:p w14:paraId="5D3434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可行☑      不可行□</w:t>
            </w:r>
          </w:p>
        </w:tc>
      </w:tr>
      <w:tr w14:paraId="5BF4B1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8644" w:type="dxa"/>
            <w:gridSpan w:val="12"/>
            <w:tcBorders>
              <w:tl2br w:val="nil"/>
              <w:tr2bl w:val="nil"/>
            </w:tcBorders>
            <w:noWrap w:val="0"/>
            <w:vAlign w:val="center"/>
          </w:tcPr>
          <w:p w14:paraId="14469B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18"/>
                <w:szCs w:val="18"/>
                <w:highlight w:val="none"/>
              </w:rPr>
              <w:t>注：“□</w:t>
            </w:r>
            <w:r>
              <w:rPr>
                <w:rFonts w:hint="default" w:ascii="Times New Roman" w:hAnsi="Times New Roman" w:eastAsia="宋体" w:cs="Times New Roman"/>
                <w:b/>
                <w:bCs/>
                <w:caps w:val="0"/>
                <w:snapToGrid/>
                <w:color w:val="auto"/>
                <w:spacing w:val="0"/>
                <w:w w:val="100"/>
                <w:kern w:val="0"/>
                <w:position w:val="0"/>
                <w:sz w:val="18"/>
                <w:szCs w:val="18"/>
                <w:highlight w:val="none"/>
                <w:lang w:eastAsia="zh-CN"/>
              </w:rPr>
              <w:t>”</w:t>
            </w:r>
            <w:r>
              <w:rPr>
                <w:rFonts w:hint="default" w:ascii="Times New Roman" w:hAnsi="Times New Roman" w:eastAsia="宋体" w:cs="Times New Roman"/>
                <w:b/>
                <w:bCs/>
                <w:caps w:val="0"/>
                <w:snapToGrid/>
                <w:color w:val="auto"/>
                <w:spacing w:val="0"/>
                <w:w w:val="100"/>
                <w:kern w:val="0"/>
                <w:position w:val="0"/>
                <w:sz w:val="18"/>
                <w:szCs w:val="18"/>
                <w:highlight w:val="none"/>
              </w:rPr>
              <w:t>为勾选项，填“√</w:t>
            </w:r>
            <w:r>
              <w:rPr>
                <w:rFonts w:hint="default" w:ascii="Times New Roman" w:hAnsi="Times New Roman" w:eastAsia="宋体" w:cs="Times New Roman"/>
                <w:b/>
                <w:bCs/>
                <w:caps w:val="0"/>
                <w:snapToGrid/>
                <w:color w:val="auto"/>
                <w:spacing w:val="0"/>
                <w:w w:val="100"/>
                <w:kern w:val="0"/>
                <w:position w:val="0"/>
                <w:sz w:val="18"/>
                <w:szCs w:val="18"/>
                <w:highlight w:val="none"/>
                <w:lang w:eastAsia="zh-CN"/>
              </w:rPr>
              <w:t>”</w:t>
            </w:r>
            <w:r>
              <w:rPr>
                <w:rFonts w:hint="default" w:ascii="Times New Roman" w:hAnsi="Times New Roman" w:eastAsia="宋体" w:cs="Times New Roman"/>
                <w:b/>
                <w:bCs/>
                <w:caps w:val="0"/>
                <w:snapToGrid/>
                <w:color w:val="auto"/>
                <w:spacing w:val="0"/>
                <w:w w:val="100"/>
                <w:kern w:val="0"/>
                <w:position w:val="0"/>
                <w:sz w:val="18"/>
                <w:szCs w:val="18"/>
                <w:highlight w:val="none"/>
              </w:rPr>
              <w:t>；“（  ）</w:t>
            </w:r>
            <w:r>
              <w:rPr>
                <w:rFonts w:hint="default" w:ascii="Times New Roman" w:hAnsi="Times New Roman" w:eastAsia="宋体" w:cs="Times New Roman"/>
                <w:b/>
                <w:bCs/>
                <w:caps w:val="0"/>
                <w:snapToGrid/>
                <w:color w:val="auto"/>
                <w:spacing w:val="0"/>
                <w:w w:val="100"/>
                <w:kern w:val="0"/>
                <w:position w:val="0"/>
                <w:sz w:val="18"/>
                <w:szCs w:val="18"/>
                <w:highlight w:val="none"/>
                <w:lang w:eastAsia="zh-CN"/>
              </w:rPr>
              <w:t>”</w:t>
            </w:r>
            <w:r>
              <w:rPr>
                <w:rFonts w:hint="default" w:ascii="Times New Roman" w:hAnsi="Times New Roman" w:eastAsia="宋体" w:cs="Times New Roman"/>
                <w:b/>
                <w:bCs/>
                <w:caps w:val="0"/>
                <w:snapToGrid/>
                <w:color w:val="auto"/>
                <w:spacing w:val="0"/>
                <w:w w:val="100"/>
                <w:kern w:val="0"/>
                <w:position w:val="0"/>
                <w:sz w:val="18"/>
                <w:szCs w:val="18"/>
                <w:highlight w:val="none"/>
              </w:rPr>
              <w:t>为内容填写项。</w:t>
            </w:r>
          </w:p>
        </w:tc>
      </w:tr>
    </w:tbl>
    <w:p w14:paraId="50B2B181">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5.2.4固废环境影响分析与评价</w:t>
      </w:r>
    </w:p>
    <w:p w14:paraId="7DEAA219">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rPr>
      </w:pPr>
      <w:r>
        <w:rPr>
          <w:rFonts w:hint="default" w:ascii="Times New Roman" w:hAnsi="Times New Roman" w:eastAsia="宋体" w:cs="Times New Roman"/>
          <w:caps w:val="0"/>
          <w:snapToGrid/>
          <w:color w:val="auto"/>
          <w:spacing w:val="0"/>
          <w:w w:val="100"/>
          <w:kern w:val="0"/>
          <w:position w:val="0"/>
          <w:highlight w:val="none"/>
          <w:shd w:val="clear" w:color="auto" w:fill="auto"/>
        </w:rPr>
        <w:t>本项目运营期产生的固体废物包括一般工业固废、危险废物和生活垃圾。</w:t>
      </w:r>
      <w:r>
        <w:rPr>
          <w:rFonts w:hint="default" w:ascii="Times New Roman" w:hAnsi="Times New Roman" w:eastAsia="宋体" w:cs="Times New Roman"/>
          <w:caps w:val="0"/>
          <w:snapToGrid/>
          <w:color w:val="auto"/>
          <w:spacing w:val="0"/>
          <w:w w:val="100"/>
          <w:kern w:val="0"/>
          <w:position w:val="0"/>
          <w:highlight w:val="none"/>
        </w:rPr>
        <w:t>一般</w:t>
      </w:r>
      <w:r>
        <w:rPr>
          <w:rFonts w:hint="eastAsia" w:cs="Times New Roman"/>
          <w:caps w:val="0"/>
          <w:snapToGrid/>
          <w:color w:val="auto"/>
          <w:spacing w:val="0"/>
          <w:w w:val="100"/>
          <w:kern w:val="0"/>
          <w:position w:val="0"/>
          <w:highlight w:val="none"/>
          <w:lang w:eastAsia="zh"/>
        </w:rPr>
        <w:t>工业</w:t>
      </w:r>
      <w:r>
        <w:rPr>
          <w:rFonts w:hint="default" w:ascii="Times New Roman" w:hAnsi="Times New Roman" w:eastAsia="宋体" w:cs="Times New Roman"/>
          <w:caps w:val="0"/>
          <w:snapToGrid/>
          <w:color w:val="auto"/>
          <w:spacing w:val="0"/>
          <w:w w:val="100"/>
          <w:kern w:val="0"/>
          <w:position w:val="0"/>
          <w:highlight w:val="none"/>
        </w:rPr>
        <w:t>固废主要为废包装材料</w:t>
      </w:r>
      <w:r>
        <w:rPr>
          <w:rFonts w:hint="eastAsia" w:cs="Times New Roman"/>
          <w:caps w:val="0"/>
          <w:snapToGrid/>
          <w:color w:val="auto"/>
          <w:spacing w:val="0"/>
          <w:w w:val="100"/>
          <w:kern w:val="0"/>
          <w:position w:val="0"/>
          <w:highlight w:val="none"/>
          <w:lang w:eastAsia="zh-CN"/>
        </w:rPr>
        <w:t>、</w:t>
      </w:r>
      <w:r>
        <w:rPr>
          <w:rFonts w:hint="default" w:ascii="Times New Roman" w:hAnsi="Times New Roman" w:eastAsia="宋体" w:cs="Times New Roman"/>
          <w:caps w:val="0"/>
          <w:snapToGrid/>
          <w:color w:val="auto"/>
          <w:spacing w:val="0"/>
          <w:w w:val="100"/>
          <w:kern w:val="0"/>
          <w:position w:val="0"/>
          <w:highlight w:val="none"/>
        </w:rPr>
        <w:t>废过滤渣和废过滤网</w:t>
      </w:r>
      <w:r>
        <w:rPr>
          <w:rFonts w:hint="eastAsia" w:cs="Times New Roman"/>
          <w:caps w:val="0"/>
          <w:snapToGrid/>
          <w:color w:val="auto"/>
          <w:spacing w:val="0"/>
          <w:w w:val="100"/>
          <w:kern w:val="0"/>
          <w:position w:val="0"/>
          <w:highlight w:val="none"/>
          <w:lang w:eastAsia="zh-CN"/>
        </w:rPr>
        <w:t>、</w:t>
      </w:r>
      <w:r>
        <w:rPr>
          <w:rFonts w:hint="default" w:ascii="Times New Roman" w:hAnsi="Times New Roman" w:eastAsia="宋体" w:cs="Times New Roman"/>
          <w:caps w:val="0"/>
          <w:snapToGrid/>
          <w:color w:val="auto"/>
          <w:spacing w:val="0"/>
          <w:w w:val="100"/>
          <w:kern w:val="0"/>
          <w:position w:val="0"/>
          <w:highlight w:val="none"/>
        </w:rPr>
        <w:t>边角料</w:t>
      </w:r>
      <w:r>
        <w:rPr>
          <w:rFonts w:hint="eastAsia" w:cs="Times New Roman"/>
          <w:caps w:val="0"/>
          <w:snapToGrid/>
          <w:color w:val="auto"/>
          <w:spacing w:val="0"/>
          <w:w w:val="100"/>
          <w:kern w:val="0"/>
          <w:position w:val="0"/>
          <w:highlight w:val="none"/>
          <w:lang w:eastAsia="zh-CN"/>
        </w:rPr>
        <w:t>、</w:t>
      </w:r>
      <w:r>
        <w:rPr>
          <w:rFonts w:hint="default" w:ascii="Times New Roman" w:hAnsi="Times New Roman" w:eastAsia="宋体" w:cs="Times New Roman"/>
          <w:caps w:val="0"/>
          <w:snapToGrid/>
          <w:color w:val="auto"/>
          <w:spacing w:val="0"/>
          <w:w w:val="100"/>
          <w:kern w:val="0"/>
          <w:position w:val="0"/>
          <w:highlight w:val="none"/>
        </w:rPr>
        <w:t>除尘器收集粉尘</w:t>
      </w:r>
      <w:r>
        <w:rPr>
          <w:rFonts w:hint="eastAsia" w:cs="Times New Roman"/>
          <w:caps w:val="0"/>
          <w:snapToGrid/>
          <w:color w:val="auto"/>
          <w:spacing w:val="0"/>
          <w:w w:val="100"/>
          <w:kern w:val="0"/>
          <w:position w:val="0"/>
          <w:highlight w:val="none"/>
          <w:lang w:eastAsia="zh-CN"/>
        </w:rPr>
        <w:t>、</w:t>
      </w:r>
      <w:r>
        <w:rPr>
          <w:rFonts w:hint="default" w:ascii="Times New Roman" w:hAnsi="Times New Roman" w:eastAsia="宋体" w:cs="Times New Roman"/>
          <w:caps w:val="0"/>
          <w:snapToGrid/>
          <w:color w:val="auto"/>
          <w:spacing w:val="0"/>
          <w:w w:val="100"/>
          <w:kern w:val="0"/>
          <w:position w:val="0"/>
          <w:highlight w:val="none"/>
        </w:rPr>
        <w:t>废布袋等。危险废物主要为沾油废手套、抹布</w:t>
      </w:r>
      <w:r>
        <w:rPr>
          <w:rFonts w:hint="eastAsia" w:cs="Times New Roman"/>
          <w:caps w:val="0"/>
          <w:snapToGrid/>
          <w:color w:val="auto"/>
          <w:spacing w:val="0"/>
          <w:w w:val="100"/>
          <w:kern w:val="0"/>
          <w:position w:val="0"/>
          <w:highlight w:val="none"/>
          <w:lang w:eastAsia="zh-CN"/>
        </w:rPr>
        <w:t>、</w:t>
      </w:r>
      <w:r>
        <w:rPr>
          <w:rFonts w:hint="default" w:ascii="Times New Roman" w:hAnsi="Times New Roman" w:eastAsia="宋体" w:cs="Times New Roman"/>
          <w:caps w:val="0"/>
          <w:snapToGrid/>
          <w:color w:val="auto"/>
          <w:spacing w:val="0"/>
          <w:w w:val="100"/>
          <w:kern w:val="0"/>
          <w:position w:val="0"/>
          <w:highlight w:val="none"/>
        </w:rPr>
        <w:t>废机油</w:t>
      </w:r>
      <w:r>
        <w:rPr>
          <w:rFonts w:hint="eastAsia" w:cs="Times New Roman"/>
          <w:caps w:val="0"/>
          <w:snapToGrid/>
          <w:color w:val="auto"/>
          <w:spacing w:val="0"/>
          <w:w w:val="100"/>
          <w:kern w:val="0"/>
          <w:position w:val="0"/>
          <w:highlight w:val="none"/>
          <w:lang w:eastAsia="zh-CN"/>
        </w:rPr>
        <w:t>、</w:t>
      </w:r>
      <w:r>
        <w:rPr>
          <w:rFonts w:hint="default" w:ascii="Times New Roman" w:hAnsi="Times New Roman" w:eastAsia="宋体" w:cs="Times New Roman"/>
          <w:caps w:val="0"/>
          <w:snapToGrid/>
          <w:color w:val="auto"/>
          <w:spacing w:val="0"/>
          <w:w w:val="100"/>
          <w:kern w:val="0"/>
          <w:position w:val="0"/>
          <w:highlight w:val="none"/>
        </w:rPr>
        <w:t>废机油桶</w:t>
      </w:r>
      <w:r>
        <w:rPr>
          <w:rFonts w:hint="eastAsia" w:cs="Times New Roman"/>
          <w:caps w:val="0"/>
          <w:snapToGrid/>
          <w:color w:val="auto"/>
          <w:spacing w:val="0"/>
          <w:w w:val="100"/>
          <w:kern w:val="0"/>
          <w:position w:val="0"/>
          <w:highlight w:val="none"/>
          <w:lang w:eastAsia="zh-CN"/>
        </w:rPr>
        <w:t>、</w:t>
      </w:r>
      <w:r>
        <w:rPr>
          <w:rFonts w:hint="default" w:ascii="Times New Roman" w:hAnsi="Times New Roman" w:eastAsia="宋体" w:cs="Times New Roman"/>
          <w:caps w:val="0"/>
          <w:snapToGrid/>
          <w:color w:val="auto"/>
          <w:spacing w:val="0"/>
          <w:w w:val="100"/>
          <w:kern w:val="0"/>
          <w:position w:val="0"/>
          <w:highlight w:val="none"/>
        </w:rPr>
        <w:t>废催化剂</w:t>
      </w:r>
      <w:r>
        <w:rPr>
          <w:rFonts w:hint="eastAsia" w:cs="Times New Roman"/>
          <w:caps w:val="0"/>
          <w:snapToGrid/>
          <w:color w:val="auto"/>
          <w:spacing w:val="0"/>
          <w:w w:val="100"/>
          <w:kern w:val="0"/>
          <w:position w:val="0"/>
          <w:highlight w:val="none"/>
          <w:lang w:eastAsia="zh-CN"/>
        </w:rPr>
        <w:t>、</w:t>
      </w:r>
      <w:r>
        <w:rPr>
          <w:rFonts w:hint="eastAsia" w:cs="Times New Roman"/>
          <w:caps w:val="0"/>
          <w:snapToGrid/>
          <w:color w:val="auto"/>
          <w:spacing w:val="0"/>
          <w:w w:val="100"/>
          <w:kern w:val="0"/>
          <w:position w:val="0"/>
          <w:highlight w:val="none"/>
          <w:lang w:val="en-US" w:eastAsia="zh-CN"/>
        </w:rPr>
        <w:t>废过滤棉、</w:t>
      </w:r>
      <w:r>
        <w:rPr>
          <w:rFonts w:hint="default" w:ascii="Times New Roman" w:hAnsi="Times New Roman" w:eastAsia="宋体" w:cs="Times New Roman"/>
          <w:caps w:val="0"/>
          <w:snapToGrid/>
          <w:color w:val="auto"/>
          <w:spacing w:val="0"/>
          <w:w w:val="100"/>
          <w:kern w:val="0"/>
          <w:position w:val="0"/>
          <w:highlight w:val="none"/>
        </w:rPr>
        <w:t>废活性炭等</w:t>
      </w:r>
      <w:r>
        <w:rPr>
          <w:rFonts w:hint="default" w:ascii="Times New Roman" w:hAnsi="Times New Roman" w:eastAsia="宋体" w:cs="Times New Roman"/>
          <w:caps w:val="0"/>
          <w:snapToGrid/>
          <w:color w:val="auto"/>
          <w:spacing w:val="0"/>
          <w:w w:val="100"/>
          <w:kern w:val="0"/>
          <w:position w:val="0"/>
          <w:highlight w:val="none"/>
          <w:shd w:val="clear" w:color="auto" w:fill="auto"/>
        </w:rPr>
        <w:t>。</w:t>
      </w:r>
    </w:p>
    <w:p w14:paraId="6E957E8D">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5.2.4.1一般固体废物影响分析</w:t>
      </w:r>
    </w:p>
    <w:p w14:paraId="1D958DDA">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eastAsia"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rPr>
        <w:t>本项目</w:t>
      </w:r>
      <w:r>
        <w:rPr>
          <w:rFonts w:hint="default" w:ascii="Times New Roman" w:hAnsi="Times New Roman" w:eastAsia="宋体" w:cs="Times New Roman"/>
          <w:caps w:val="0"/>
          <w:snapToGrid/>
          <w:color w:val="auto"/>
          <w:spacing w:val="0"/>
          <w:w w:val="100"/>
          <w:kern w:val="0"/>
          <w:position w:val="0"/>
          <w:highlight w:val="none"/>
        </w:rPr>
        <w:t>废包装材料</w:t>
      </w:r>
      <w:r>
        <w:rPr>
          <w:rFonts w:hint="eastAsia" w:cs="Times New Roman"/>
          <w:caps w:val="0"/>
          <w:snapToGrid/>
          <w:color w:val="auto"/>
          <w:spacing w:val="0"/>
          <w:w w:val="100"/>
          <w:kern w:val="0"/>
          <w:position w:val="0"/>
          <w:highlight w:val="none"/>
          <w:lang w:eastAsia="zh-CN"/>
        </w:rPr>
        <w:t>、</w:t>
      </w:r>
      <w:r>
        <w:rPr>
          <w:rFonts w:hint="default" w:ascii="Times New Roman" w:hAnsi="Times New Roman" w:eastAsia="宋体" w:cs="Times New Roman"/>
          <w:caps w:val="0"/>
          <w:snapToGrid/>
          <w:color w:val="auto"/>
          <w:spacing w:val="0"/>
          <w:w w:val="100"/>
          <w:kern w:val="0"/>
          <w:position w:val="0"/>
          <w:highlight w:val="none"/>
        </w:rPr>
        <w:t>废过滤渣和废过滤网</w:t>
      </w:r>
      <w:r>
        <w:rPr>
          <w:rFonts w:hint="eastAsia" w:cs="Times New Roman"/>
          <w:caps w:val="0"/>
          <w:snapToGrid/>
          <w:color w:val="auto"/>
          <w:spacing w:val="0"/>
          <w:w w:val="100"/>
          <w:kern w:val="0"/>
          <w:position w:val="0"/>
          <w:highlight w:val="none"/>
          <w:lang w:eastAsia="zh-CN"/>
        </w:rPr>
        <w:t>、</w:t>
      </w:r>
      <w:r>
        <w:rPr>
          <w:rFonts w:hint="default" w:ascii="Times New Roman" w:hAnsi="Times New Roman" w:eastAsia="宋体" w:cs="Times New Roman"/>
          <w:caps w:val="0"/>
          <w:snapToGrid/>
          <w:color w:val="auto"/>
          <w:spacing w:val="0"/>
          <w:w w:val="100"/>
          <w:kern w:val="0"/>
          <w:position w:val="0"/>
          <w:highlight w:val="none"/>
        </w:rPr>
        <w:t>边角料</w:t>
      </w:r>
      <w:r>
        <w:rPr>
          <w:rFonts w:hint="eastAsia" w:cs="Times New Roman"/>
          <w:caps w:val="0"/>
          <w:snapToGrid/>
          <w:color w:val="auto"/>
          <w:spacing w:val="0"/>
          <w:w w:val="100"/>
          <w:kern w:val="0"/>
          <w:position w:val="0"/>
          <w:highlight w:val="none"/>
          <w:lang w:eastAsia="zh-CN"/>
        </w:rPr>
        <w:t>、</w:t>
      </w:r>
      <w:r>
        <w:rPr>
          <w:rFonts w:hint="default" w:ascii="Times New Roman" w:hAnsi="Times New Roman" w:eastAsia="宋体" w:cs="Times New Roman"/>
          <w:caps w:val="0"/>
          <w:snapToGrid/>
          <w:color w:val="auto"/>
          <w:spacing w:val="0"/>
          <w:w w:val="100"/>
          <w:kern w:val="0"/>
          <w:position w:val="0"/>
          <w:highlight w:val="none"/>
        </w:rPr>
        <w:t>废布袋</w:t>
      </w:r>
      <w:r>
        <w:rPr>
          <w:rFonts w:hint="default" w:ascii="Times New Roman" w:hAnsi="Times New Roman" w:eastAsia="宋体" w:cs="Times New Roman"/>
          <w:caps w:val="0"/>
          <w:snapToGrid/>
          <w:color w:val="auto"/>
          <w:spacing w:val="0"/>
          <w:w w:val="100"/>
          <w:kern w:val="0"/>
          <w:position w:val="0"/>
          <w:highlight w:val="none"/>
          <w:shd w:val="clear" w:color="auto" w:fill="auto"/>
        </w:rPr>
        <w:t>产生量</w:t>
      </w:r>
      <w:r>
        <w:rPr>
          <w:rFonts w:hint="eastAsia" w:cs="Times New Roman"/>
          <w:caps w:val="0"/>
          <w:snapToGrid/>
          <w:color w:val="auto"/>
          <w:spacing w:val="0"/>
          <w:w w:val="100"/>
          <w:kern w:val="0"/>
          <w:position w:val="0"/>
          <w:highlight w:val="none"/>
          <w:shd w:val="clear" w:color="auto" w:fill="auto"/>
          <w:lang w:val="en-US" w:eastAsia="zh-CN"/>
        </w:rPr>
        <w:t>分别</w:t>
      </w:r>
      <w:r>
        <w:rPr>
          <w:rFonts w:hint="default" w:ascii="Times New Roman" w:hAnsi="Times New Roman" w:eastAsia="宋体" w:cs="Times New Roman"/>
          <w:caps w:val="0"/>
          <w:snapToGrid/>
          <w:color w:val="auto"/>
          <w:spacing w:val="0"/>
          <w:w w:val="100"/>
          <w:kern w:val="0"/>
          <w:position w:val="0"/>
          <w:highlight w:val="none"/>
          <w:shd w:val="clear" w:color="auto" w:fill="auto"/>
        </w:rPr>
        <w:t>为</w:t>
      </w:r>
      <w:r>
        <w:rPr>
          <w:rFonts w:hint="eastAsia" w:cs="Times New Roman"/>
          <w:caps w:val="0"/>
          <w:snapToGrid/>
          <w:color w:val="auto"/>
          <w:spacing w:val="0"/>
          <w:w w:val="100"/>
          <w:kern w:val="0"/>
          <w:position w:val="0"/>
          <w:highlight w:val="none"/>
          <w:shd w:val="clear" w:color="auto" w:fill="auto"/>
          <w:lang w:val="en-US" w:eastAsia="zh-CN"/>
        </w:rPr>
        <w:t>0.5t</w:t>
      </w:r>
      <w:r>
        <w:rPr>
          <w:rFonts w:hint="default" w:ascii="Times New Roman" w:hAnsi="Times New Roman" w:eastAsia="宋体" w:cs="Times New Roman"/>
          <w:caps w:val="0"/>
          <w:snapToGrid/>
          <w:color w:val="auto"/>
          <w:spacing w:val="0"/>
          <w:w w:val="100"/>
          <w:kern w:val="0"/>
          <w:position w:val="0"/>
          <w:highlight w:val="none"/>
          <w:shd w:val="clear" w:color="auto" w:fill="auto"/>
        </w:rPr>
        <w:t>/a</w:t>
      </w:r>
      <w:r>
        <w:rPr>
          <w:rFonts w:hint="eastAsia" w:cs="Times New Roman"/>
          <w:caps w:val="0"/>
          <w:snapToGrid/>
          <w:color w:val="auto"/>
          <w:spacing w:val="0"/>
          <w:w w:val="100"/>
          <w:kern w:val="0"/>
          <w:position w:val="0"/>
          <w:highlight w:val="none"/>
          <w:shd w:val="clear" w:color="auto" w:fill="auto"/>
          <w:lang w:eastAsia="zh-CN"/>
        </w:rPr>
        <w:t>、</w:t>
      </w:r>
      <w:r>
        <w:rPr>
          <w:rFonts w:hint="eastAsia" w:cs="Times New Roman"/>
          <w:caps w:val="0"/>
          <w:snapToGrid/>
          <w:color w:val="auto"/>
          <w:spacing w:val="0"/>
          <w:w w:val="100"/>
          <w:kern w:val="0"/>
          <w:position w:val="0"/>
          <w:highlight w:val="none"/>
          <w:shd w:val="clear" w:color="auto" w:fill="auto"/>
          <w:lang w:val="en-US" w:eastAsia="zh-CN"/>
        </w:rPr>
        <w:t>0.05t</w:t>
      </w:r>
      <w:r>
        <w:rPr>
          <w:rFonts w:hint="default" w:ascii="Times New Roman" w:hAnsi="Times New Roman" w:eastAsia="宋体" w:cs="Times New Roman"/>
          <w:caps w:val="0"/>
          <w:snapToGrid/>
          <w:color w:val="auto"/>
          <w:spacing w:val="0"/>
          <w:w w:val="100"/>
          <w:kern w:val="0"/>
          <w:position w:val="0"/>
          <w:highlight w:val="none"/>
          <w:shd w:val="clear" w:color="auto" w:fill="auto"/>
        </w:rPr>
        <w:t>/a</w:t>
      </w:r>
      <w:r>
        <w:rPr>
          <w:rFonts w:hint="eastAsia" w:cs="Times New Roman"/>
          <w:caps w:val="0"/>
          <w:snapToGrid/>
          <w:color w:val="auto"/>
          <w:spacing w:val="0"/>
          <w:w w:val="100"/>
          <w:kern w:val="0"/>
          <w:position w:val="0"/>
          <w:highlight w:val="none"/>
          <w:shd w:val="clear" w:color="auto" w:fill="auto"/>
          <w:lang w:eastAsia="zh-CN"/>
        </w:rPr>
        <w:t>、</w:t>
      </w:r>
      <w:r>
        <w:rPr>
          <w:rFonts w:hint="eastAsia" w:cs="Times New Roman"/>
          <w:caps w:val="0"/>
          <w:snapToGrid/>
          <w:color w:val="auto"/>
          <w:spacing w:val="0"/>
          <w:w w:val="100"/>
          <w:kern w:val="0"/>
          <w:position w:val="0"/>
          <w:highlight w:val="none"/>
          <w:shd w:val="clear" w:color="auto" w:fill="auto"/>
          <w:lang w:val="en-US" w:eastAsia="zh-CN"/>
        </w:rPr>
        <w:t>3.694t</w:t>
      </w:r>
      <w:r>
        <w:rPr>
          <w:rFonts w:hint="default" w:ascii="Times New Roman" w:hAnsi="Times New Roman" w:eastAsia="宋体" w:cs="Times New Roman"/>
          <w:caps w:val="0"/>
          <w:snapToGrid/>
          <w:color w:val="auto"/>
          <w:spacing w:val="0"/>
          <w:w w:val="100"/>
          <w:kern w:val="0"/>
          <w:position w:val="0"/>
          <w:highlight w:val="none"/>
          <w:shd w:val="clear" w:color="auto" w:fill="auto"/>
        </w:rPr>
        <w:t>/a</w:t>
      </w:r>
      <w:r>
        <w:rPr>
          <w:rFonts w:hint="eastAsia" w:cs="Times New Roman"/>
          <w:caps w:val="0"/>
          <w:snapToGrid/>
          <w:color w:val="auto"/>
          <w:spacing w:val="0"/>
          <w:w w:val="100"/>
          <w:kern w:val="0"/>
          <w:position w:val="0"/>
          <w:highlight w:val="none"/>
          <w:shd w:val="clear" w:color="auto" w:fill="auto"/>
          <w:lang w:eastAsia="zh-CN"/>
        </w:rPr>
        <w:t>、</w:t>
      </w:r>
      <w:r>
        <w:rPr>
          <w:rFonts w:hint="eastAsia" w:cs="Times New Roman"/>
          <w:caps w:val="0"/>
          <w:snapToGrid/>
          <w:color w:val="auto"/>
          <w:spacing w:val="0"/>
          <w:w w:val="100"/>
          <w:kern w:val="0"/>
          <w:position w:val="0"/>
          <w:highlight w:val="none"/>
          <w:shd w:val="clear" w:color="auto" w:fill="auto"/>
          <w:lang w:val="en-US" w:eastAsia="zh-CN"/>
        </w:rPr>
        <w:t>0.9t</w:t>
      </w:r>
      <w:r>
        <w:rPr>
          <w:rFonts w:hint="default" w:ascii="Times New Roman" w:hAnsi="Times New Roman" w:eastAsia="宋体" w:cs="Times New Roman"/>
          <w:caps w:val="0"/>
          <w:snapToGrid/>
          <w:color w:val="auto"/>
          <w:spacing w:val="0"/>
          <w:w w:val="100"/>
          <w:kern w:val="0"/>
          <w:position w:val="0"/>
          <w:highlight w:val="none"/>
          <w:shd w:val="clear" w:color="auto" w:fill="auto"/>
        </w:rPr>
        <w:t>/a，集中收集后外售综合利用；</w:t>
      </w:r>
      <w:r>
        <w:rPr>
          <w:rFonts w:hint="default" w:ascii="Times New Roman" w:hAnsi="Times New Roman" w:eastAsia="宋体" w:cs="Times New Roman"/>
          <w:caps w:val="0"/>
          <w:snapToGrid/>
          <w:color w:val="auto"/>
          <w:spacing w:val="0"/>
          <w:w w:val="100"/>
          <w:kern w:val="0"/>
          <w:position w:val="0"/>
          <w:highlight w:val="none"/>
        </w:rPr>
        <w:t>除尘器收集粉尘</w:t>
      </w:r>
      <w:r>
        <w:rPr>
          <w:rFonts w:hint="eastAsia" w:ascii="Times New Roman" w:hAnsi="Times New Roman" w:eastAsia="宋体" w:cs="Times New Roman"/>
          <w:caps w:val="0"/>
          <w:snapToGrid/>
          <w:color w:val="auto"/>
          <w:spacing w:val="0"/>
          <w:w w:val="100"/>
          <w:kern w:val="0"/>
          <w:position w:val="0"/>
          <w:highlight w:val="none"/>
          <w:shd w:val="clear" w:color="auto" w:fill="auto"/>
          <w:lang w:val="en-US" w:eastAsia="zh-CN"/>
        </w:rPr>
        <w:t>产生量为</w:t>
      </w:r>
      <w:r>
        <w:rPr>
          <w:rFonts w:hint="eastAsia" w:cs="Times New Roman"/>
          <w:caps w:val="0"/>
          <w:snapToGrid/>
          <w:color w:val="auto"/>
          <w:spacing w:val="0"/>
          <w:w w:val="100"/>
          <w:kern w:val="0"/>
          <w:position w:val="0"/>
          <w:highlight w:val="none"/>
          <w:shd w:val="clear" w:color="auto" w:fill="auto"/>
          <w:lang w:val="en-US" w:eastAsia="zh-CN"/>
        </w:rPr>
        <w:t>20.76</w:t>
      </w:r>
      <w:r>
        <w:rPr>
          <w:rFonts w:hint="eastAsia" w:ascii="Times New Roman" w:hAnsi="Times New Roman" w:eastAsia="宋体" w:cs="Times New Roman"/>
          <w:caps w:val="0"/>
          <w:snapToGrid/>
          <w:color w:val="auto"/>
          <w:spacing w:val="0"/>
          <w:w w:val="100"/>
          <w:kern w:val="0"/>
          <w:position w:val="0"/>
          <w:highlight w:val="none"/>
          <w:shd w:val="clear" w:color="auto" w:fill="auto"/>
          <w:lang w:val="en-US" w:eastAsia="zh-CN"/>
        </w:rPr>
        <w:t>t/a，</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密闭容器</w:t>
      </w:r>
      <w:r>
        <w:rPr>
          <w:rFonts w:hint="default" w:ascii="Times New Roman" w:hAnsi="Times New Roman" w:eastAsia="宋体" w:cs="Times New Roman"/>
          <w:caps w:val="0"/>
          <w:snapToGrid/>
          <w:color w:val="auto"/>
          <w:spacing w:val="0"/>
          <w:w w:val="100"/>
          <w:kern w:val="0"/>
          <w:position w:val="0"/>
          <w:highlight w:val="none"/>
          <w:shd w:val="clear" w:color="auto" w:fill="auto"/>
        </w:rPr>
        <w:t>集中收集后外售</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废品回收站</w:t>
      </w:r>
      <w:r>
        <w:rPr>
          <w:rFonts w:hint="default" w:ascii="Times New Roman" w:hAnsi="Times New Roman" w:eastAsia="宋体" w:cs="Times New Roman"/>
          <w:caps w:val="0"/>
          <w:snapToGrid/>
          <w:color w:val="auto"/>
          <w:spacing w:val="0"/>
          <w:w w:val="100"/>
          <w:kern w:val="0"/>
          <w:position w:val="0"/>
          <w:highlight w:val="none"/>
          <w:shd w:val="clear" w:color="auto" w:fill="auto"/>
        </w:rPr>
        <w:t>综合利用</w:t>
      </w:r>
      <w:r>
        <w:rPr>
          <w:rFonts w:hint="eastAsia"/>
          <w:color w:val="auto"/>
          <w:spacing w:val="0"/>
          <w:w w:val="100"/>
          <w:position w:val="0"/>
          <w:highlight w:val="none"/>
          <w:lang w:val="en-US" w:eastAsia="zh-CN"/>
        </w:rPr>
        <w:t>。</w:t>
      </w:r>
    </w:p>
    <w:p w14:paraId="17E2787B">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rPr>
      </w:pPr>
      <w:r>
        <w:rPr>
          <w:rFonts w:hint="default" w:ascii="Times New Roman" w:hAnsi="Times New Roman" w:eastAsia="宋体" w:cs="Times New Roman"/>
          <w:caps w:val="0"/>
          <w:snapToGrid/>
          <w:color w:val="auto"/>
          <w:spacing w:val="0"/>
          <w:w w:val="100"/>
          <w:kern w:val="0"/>
          <w:position w:val="0"/>
          <w:highlight w:val="none"/>
          <w:shd w:val="clear" w:color="auto" w:fill="auto"/>
        </w:rPr>
        <w:t>本项目一般固体废</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物拟</w:t>
      </w:r>
      <w:r>
        <w:rPr>
          <w:rFonts w:hint="default" w:ascii="Times New Roman" w:hAnsi="Times New Roman" w:eastAsia="宋体" w:cs="Times New Roman"/>
          <w:caps w:val="0"/>
          <w:snapToGrid/>
          <w:color w:val="auto"/>
          <w:spacing w:val="0"/>
          <w:w w:val="100"/>
          <w:kern w:val="0"/>
          <w:position w:val="0"/>
          <w:highlight w:val="none"/>
          <w:shd w:val="clear" w:color="auto" w:fill="auto"/>
        </w:rPr>
        <w:t>在厂区</w:t>
      </w:r>
      <w:r>
        <w:rPr>
          <w:rFonts w:hint="eastAsia" w:cs="Times New Roman"/>
          <w:caps w:val="0"/>
          <w:snapToGrid/>
          <w:color w:val="auto"/>
          <w:spacing w:val="0"/>
          <w:w w:val="100"/>
          <w:kern w:val="0"/>
          <w:position w:val="0"/>
          <w:highlight w:val="none"/>
          <w:shd w:val="clear" w:color="auto" w:fill="auto"/>
          <w:lang w:val="en-US" w:eastAsia="zh-CN"/>
        </w:rPr>
        <w:t>西南角</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设置</w:t>
      </w:r>
      <w:r>
        <w:rPr>
          <w:rFonts w:hint="default" w:ascii="Times New Roman" w:hAnsi="Times New Roman" w:eastAsia="宋体" w:cs="Times New Roman"/>
          <w:caps w:val="0"/>
          <w:snapToGrid/>
          <w:color w:val="auto"/>
          <w:spacing w:val="0"/>
          <w:w w:val="100"/>
          <w:kern w:val="0"/>
          <w:position w:val="0"/>
          <w:highlight w:val="none"/>
          <w:shd w:val="clear" w:color="auto" w:fill="auto"/>
        </w:rPr>
        <w:t>一般固废</w:t>
      </w:r>
      <w:r>
        <w:rPr>
          <w:rFonts w:hint="eastAsia" w:cs="Times New Roman"/>
          <w:caps w:val="0"/>
          <w:snapToGrid/>
          <w:color w:val="auto"/>
          <w:spacing w:val="0"/>
          <w:w w:val="100"/>
          <w:kern w:val="0"/>
          <w:position w:val="0"/>
          <w:highlight w:val="none"/>
          <w:shd w:val="clear" w:color="auto" w:fill="auto"/>
          <w:lang w:val="en-US" w:eastAsia="zh-CN"/>
        </w:rPr>
        <w:t>贮存区</w:t>
      </w:r>
      <w:r>
        <w:rPr>
          <w:rFonts w:hint="default" w:ascii="Times New Roman" w:hAnsi="Times New Roman" w:eastAsia="宋体" w:cs="Times New Roman"/>
          <w:caps w:val="0"/>
          <w:snapToGrid/>
          <w:color w:val="auto"/>
          <w:spacing w:val="0"/>
          <w:w w:val="100"/>
          <w:kern w:val="0"/>
          <w:position w:val="0"/>
          <w:highlight w:val="none"/>
          <w:shd w:val="clear" w:color="auto" w:fill="auto"/>
        </w:rPr>
        <w:t>，</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存储区面积约</w:t>
      </w:r>
      <w:r>
        <w:rPr>
          <w:rFonts w:hint="eastAsia" w:cs="Times New Roman"/>
          <w:caps w:val="0"/>
          <w:snapToGrid/>
          <w:color w:val="auto"/>
          <w:spacing w:val="0"/>
          <w:w w:val="100"/>
          <w:kern w:val="0"/>
          <w:position w:val="0"/>
          <w:highlight w:val="none"/>
          <w:shd w:val="clear" w:color="auto" w:fill="auto"/>
          <w:lang w:val="en-US" w:eastAsia="zh-CN"/>
        </w:rPr>
        <w:t>1</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0m</w:t>
      </w:r>
      <w:r>
        <w:rPr>
          <w:rFonts w:hint="default" w:ascii="Times New Roman" w:hAnsi="Times New Roman" w:eastAsia="宋体" w:cs="Times New Roman"/>
          <w:caps w:val="0"/>
          <w:snapToGrid/>
          <w:color w:val="auto"/>
          <w:spacing w:val="0"/>
          <w:w w:val="100"/>
          <w:kern w:val="0"/>
          <w:position w:val="0"/>
          <w:highlight w:val="none"/>
          <w:shd w:val="clear" w:color="auto" w:fill="auto"/>
          <w:vertAlign w:val="superscript"/>
          <w:lang w:val="en-US" w:eastAsia="zh-CN"/>
        </w:rPr>
        <w:t>2</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w:t>
      </w:r>
      <w:r>
        <w:rPr>
          <w:rFonts w:hint="default" w:ascii="Times New Roman" w:hAnsi="Times New Roman" w:eastAsia="宋体" w:cs="Times New Roman"/>
          <w:caps w:val="0"/>
          <w:snapToGrid/>
          <w:color w:val="auto"/>
          <w:spacing w:val="0"/>
          <w:w w:val="100"/>
          <w:kern w:val="0"/>
          <w:position w:val="0"/>
          <w:highlight w:val="none"/>
          <w:shd w:val="clear" w:color="auto" w:fill="auto"/>
        </w:rPr>
        <w:t>定期</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外售综合利用</w:t>
      </w:r>
      <w:r>
        <w:rPr>
          <w:rFonts w:hint="default" w:ascii="Times New Roman" w:hAnsi="Times New Roman" w:eastAsia="宋体" w:cs="Times New Roman"/>
          <w:caps w:val="0"/>
          <w:snapToGrid/>
          <w:color w:val="auto"/>
          <w:spacing w:val="0"/>
          <w:w w:val="100"/>
          <w:kern w:val="0"/>
          <w:position w:val="0"/>
          <w:highlight w:val="none"/>
          <w:shd w:val="clear" w:color="auto" w:fill="auto"/>
        </w:rPr>
        <w:t>。一般固废在厂内暂存时，应按性质不同分类进行贮存，贮存场所采取防风、防雨、防渗措施。一般固废的收集、贮运环节需严格按照《</w:t>
      </w:r>
      <w:r>
        <w:rPr>
          <w:rFonts w:hint="default" w:ascii="Times New Roman" w:hAnsi="Times New Roman" w:eastAsia="宋体" w:cs="Times New Roman"/>
          <w:caps w:val="0"/>
          <w:snapToGrid/>
          <w:color w:val="auto"/>
          <w:spacing w:val="0"/>
          <w:w w:val="100"/>
          <w:kern w:val="0"/>
          <w:position w:val="0"/>
          <w:highlight w:val="none"/>
          <w:shd w:val="clear" w:color="auto" w:fill="auto"/>
          <w:lang w:eastAsia="zh-CN"/>
        </w:rPr>
        <w:t>一般工业固体废物贮存和填埋污染控制标准</w:t>
      </w:r>
      <w:r>
        <w:rPr>
          <w:rFonts w:hint="default" w:ascii="Times New Roman" w:hAnsi="Times New Roman" w:eastAsia="宋体" w:cs="Times New Roman"/>
          <w:caps w:val="0"/>
          <w:snapToGrid/>
          <w:color w:val="auto"/>
          <w:spacing w:val="0"/>
          <w:w w:val="100"/>
          <w:kern w:val="0"/>
          <w:position w:val="0"/>
          <w:highlight w:val="none"/>
          <w:shd w:val="clear" w:color="auto" w:fill="auto"/>
        </w:rPr>
        <w:t>》（GB</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1</w:t>
      </w:r>
      <w:r>
        <w:rPr>
          <w:rFonts w:hint="default" w:ascii="Times New Roman" w:hAnsi="Times New Roman" w:eastAsia="宋体" w:cs="Times New Roman"/>
          <w:caps w:val="0"/>
          <w:snapToGrid/>
          <w:color w:val="auto"/>
          <w:spacing w:val="0"/>
          <w:w w:val="100"/>
          <w:kern w:val="0"/>
          <w:position w:val="0"/>
          <w:highlight w:val="none"/>
          <w:shd w:val="clear" w:color="auto" w:fill="auto"/>
        </w:rPr>
        <w:t>8599-20</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20</w:t>
      </w:r>
      <w:r>
        <w:rPr>
          <w:rFonts w:hint="default" w:ascii="Times New Roman" w:hAnsi="Times New Roman" w:eastAsia="宋体" w:cs="Times New Roman"/>
          <w:caps w:val="0"/>
          <w:snapToGrid/>
          <w:color w:val="auto"/>
          <w:spacing w:val="0"/>
          <w:w w:val="100"/>
          <w:kern w:val="0"/>
          <w:position w:val="0"/>
          <w:highlight w:val="none"/>
          <w:shd w:val="clear" w:color="auto" w:fill="auto"/>
        </w:rPr>
        <w:t>）的要求进行。因此本项目一般固体废物只要加强管理，及时收集</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暂存，定期外售综合利用</w:t>
      </w:r>
      <w:r>
        <w:rPr>
          <w:rFonts w:hint="default" w:ascii="Times New Roman" w:hAnsi="Times New Roman" w:eastAsia="宋体" w:cs="Times New Roman"/>
          <w:caps w:val="0"/>
          <w:snapToGrid/>
          <w:color w:val="auto"/>
          <w:spacing w:val="0"/>
          <w:w w:val="100"/>
          <w:kern w:val="0"/>
          <w:position w:val="0"/>
          <w:highlight w:val="none"/>
          <w:shd w:val="clear" w:color="auto" w:fill="auto"/>
        </w:rPr>
        <w:t>，对周围环境影响较小。</w:t>
      </w:r>
    </w:p>
    <w:p w14:paraId="6A92B435">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eastAsia" w:ascii="Times New Roman" w:hAnsi="Times New Roman" w:eastAsia="宋体" w:cs="Times New Roman"/>
          <w:caps w:val="0"/>
          <w:snapToGrid/>
          <w:color w:val="auto"/>
          <w:spacing w:val="0"/>
          <w:w w:val="100"/>
          <w:kern w:val="0"/>
          <w:position w:val="0"/>
          <w:highlight w:val="none"/>
          <w:shd w:val="clear" w:color="auto" w:fill="auto"/>
          <w:lang w:eastAsia="zh"/>
        </w:rPr>
      </w:pPr>
      <w:r>
        <w:rPr>
          <w:rFonts w:hint="eastAsia" w:ascii="Times New Roman" w:hAnsi="Times New Roman" w:eastAsia="宋体" w:cs="Times New Roman"/>
          <w:caps w:val="0"/>
          <w:snapToGrid/>
          <w:color w:val="auto"/>
          <w:spacing w:val="0"/>
          <w:w w:val="100"/>
          <w:kern w:val="0"/>
          <w:position w:val="0"/>
          <w:highlight w:val="none"/>
          <w:shd w:val="clear" w:color="auto" w:fill="auto"/>
          <w:lang w:eastAsia="zh"/>
        </w:rPr>
        <w:t>生活垃圾</w:t>
      </w:r>
      <w:r>
        <w:rPr>
          <w:rFonts w:hint="eastAsia" w:ascii="Times New Roman" w:hAnsi="Times New Roman" w:eastAsia="宋体" w:cs="Times New Roman"/>
          <w:caps w:val="0"/>
          <w:snapToGrid/>
          <w:color w:val="auto"/>
          <w:spacing w:val="0"/>
          <w:w w:val="100"/>
          <w:kern w:val="0"/>
          <w:position w:val="0"/>
          <w:highlight w:val="none"/>
          <w:shd w:val="clear" w:color="auto" w:fill="auto"/>
        </w:rPr>
        <w:t>设置垃圾桶统一收集后交由环卫部门定期清运至生活垃圾填埋场处理</w:t>
      </w:r>
      <w:r>
        <w:rPr>
          <w:rFonts w:hint="eastAsia" w:eastAsia="宋体" w:cs="Times New Roman"/>
          <w:caps w:val="0"/>
          <w:snapToGrid/>
          <w:color w:val="auto"/>
          <w:spacing w:val="0"/>
          <w:w w:val="100"/>
          <w:kern w:val="0"/>
          <w:position w:val="0"/>
          <w:highlight w:val="none"/>
          <w:shd w:val="clear" w:color="auto" w:fill="auto"/>
          <w:lang w:eastAsia="zh"/>
        </w:rPr>
        <w:t>。</w:t>
      </w:r>
    </w:p>
    <w:p w14:paraId="491BD9AB">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5.2.4.2危险废物影响分析</w:t>
      </w:r>
    </w:p>
    <w:p w14:paraId="4DC84040">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eastAsia="zh-CN"/>
        </w:rPr>
        <w:t>（</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1</w:t>
      </w:r>
      <w:r>
        <w:rPr>
          <w:rFonts w:hint="default" w:ascii="Times New Roman" w:hAnsi="Times New Roman" w:eastAsia="宋体" w:cs="Times New Roman"/>
          <w:caps w:val="0"/>
          <w:snapToGrid/>
          <w:color w:val="auto"/>
          <w:spacing w:val="0"/>
          <w:w w:val="100"/>
          <w:kern w:val="0"/>
          <w:position w:val="0"/>
          <w:highlight w:val="none"/>
          <w:shd w:val="clear" w:color="auto" w:fill="auto"/>
          <w:lang w:eastAsia="zh-CN"/>
        </w:rPr>
        <w:t>）</w:t>
      </w:r>
      <w:r>
        <w:rPr>
          <w:rFonts w:hint="default" w:ascii="Times New Roman" w:hAnsi="Times New Roman" w:eastAsia="宋体" w:cs="Times New Roman"/>
          <w:caps w:val="0"/>
          <w:snapToGrid/>
          <w:color w:val="auto"/>
          <w:spacing w:val="0"/>
          <w:w w:val="100"/>
          <w:kern w:val="0"/>
          <w:position w:val="0"/>
          <w:highlight w:val="none"/>
          <w:shd w:val="clear" w:color="auto" w:fill="auto"/>
        </w:rPr>
        <w:t>危险废物产生</w:t>
      </w:r>
      <w:r>
        <w:rPr>
          <w:rFonts w:hint="eastAsia" w:cs="Times New Roman"/>
          <w:caps w:val="0"/>
          <w:snapToGrid/>
          <w:color w:val="auto"/>
          <w:spacing w:val="0"/>
          <w:w w:val="100"/>
          <w:kern w:val="0"/>
          <w:position w:val="0"/>
          <w:highlight w:val="none"/>
          <w:shd w:val="clear" w:color="auto" w:fill="auto"/>
          <w:lang w:val="en-US" w:eastAsia="zh-CN"/>
        </w:rPr>
        <w:t>量及属性判定</w:t>
      </w:r>
    </w:p>
    <w:p w14:paraId="5AB910B5">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eastAsia" w:cs="Times New Roman"/>
          <w:caps w:val="0"/>
          <w:snapToGrid/>
          <w:color w:val="auto"/>
          <w:spacing w:val="0"/>
          <w:w w:val="100"/>
          <w:kern w:val="0"/>
          <w:position w:val="0"/>
          <w:highlight w:val="none"/>
          <w:shd w:val="clear" w:color="auto" w:fill="auto"/>
          <w:lang w:val="en-US" w:eastAsia="zh-CN"/>
        </w:rPr>
        <w:t>根据3.4.4章节分析，本项目</w:t>
      </w:r>
      <w:r>
        <w:rPr>
          <w:rFonts w:hint="default" w:ascii="Times New Roman" w:hAnsi="Times New Roman" w:eastAsia="宋体" w:cs="Times New Roman"/>
          <w:caps w:val="0"/>
          <w:snapToGrid/>
          <w:color w:val="auto"/>
          <w:spacing w:val="0"/>
          <w:w w:val="100"/>
          <w:kern w:val="0"/>
          <w:position w:val="0"/>
          <w:highlight w:val="none"/>
          <w:shd w:val="clear" w:color="auto" w:fill="auto"/>
        </w:rPr>
        <w:t>危险废物</w:t>
      </w:r>
      <w:r>
        <w:rPr>
          <w:rFonts w:hint="default" w:ascii="Times New Roman" w:hAnsi="Times New Roman" w:eastAsia="宋体" w:cs="Times New Roman"/>
          <w:caps w:val="0"/>
          <w:snapToGrid/>
          <w:color w:val="auto"/>
          <w:spacing w:val="0"/>
          <w:w w:val="100"/>
          <w:kern w:val="0"/>
          <w:position w:val="0"/>
          <w:highlight w:val="none"/>
        </w:rPr>
        <w:t>沾油废手套、抹布</w:t>
      </w:r>
      <w:r>
        <w:rPr>
          <w:rFonts w:hint="eastAsia" w:cs="Times New Roman"/>
          <w:caps w:val="0"/>
          <w:snapToGrid/>
          <w:color w:val="auto"/>
          <w:spacing w:val="0"/>
          <w:w w:val="100"/>
          <w:kern w:val="0"/>
          <w:position w:val="0"/>
          <w:highlight w:val="none"/>
          <w:lang w:val="en-US" w:eastAsia="zh-CN"/>
        </w:rPr>
        <w:t>产生量为0.01t/a，</w:t>
      </w:r>
      <w:r>
        <w:rPr>
          <w:rFonts w:hint="default" w:ascii="Times New Roman" w:hAnsi="Times New Roman" w:eastAsia="宋体" w:cs="Times New Roman"/>
          <w:caps w:val="0"/>
          <w:snapToGrid/>
          <w:color w:val="auto"/>
          <w:spacing w:val="0"/>
          <w:w w:val="100"/>
          <w:kern w:val="0"/>
          <w:position w:val="0"/>
          <w:highlight w:val="none"/>
        </w:rPr>
        <w:t>废机油</w:t>
      </w:r>
      <w:r>
        <w:rPr>
          <w:rFonts w:hint="eastAsia" w:cs="Times New Roman"/>
          <w:caps w:val="0"/>
          <w:snapToGrid/>
          <w:color w:val="auto"/>
          <w:spacing w:val="0"/>
          <w:w w:val="100"/>
          <w:kern w:val="0"/>
          <w:position w:val="0"/>
          <w:highlight w:val="none"/>
          <w:lang w:eastAsia="zh-CN"/>
        </w:rPr>
        <w:t>、</w:t>
      </w:r>
      <w:r>
        <w:rPr>
          <w:rFonts w:hint="default" w:ascii="Times New Roman" w:hAnsi="Times New Roman" w:eastAsia="宋体" w:cs="Times New Roman"/>
          <w:caps w:val="0"/>
          <w:snapToGrid/>
          <w:color w:val="auto"/>
          <w:spacing w:val="0"/>
          <w:w w:val="100"/>
          <w:kern w:val="0"/>
          <w:position w:val="0"/>
          <w:highlight w:val="none"/>
        </w:rPr>
        <w:t>废机油桶</w:t>
      </w:r>
      <w:r>
        <w:rPr>
          <w:rFonts w:hint="eastAsia" w:cs="Times New Roman"/>
          <w:caps w:val="0"/>
          <w:snapToGrid/>
          <w:color w:val="auto"/>
          <w:spacing w:val="0"/>
          <w:w w:val="100"/>
          <w:kern w:val="0"/>
          <w:position w:val="0"/>
          <w:highlight w:val="none"/>
          <w:lang w:eastAsia="zh-CN"/>
        </w:rPr>
        <w:t>、</w:t>
      </w:r>
      <w:r>
        <w:rPr>
          <w:rFonts w:hint="default" w:ascii="Times New Roman" w:hAnsi="Times New Roman" w:eastAsia="宋体" w:cs="Times New Roman"/>
          <w:caps w:val="0"/>
          <w:snapToGrid/>
          <w:color w:val="auto"/>
          <w:spacing w:val="0"/>
          <w:w w:val="100"/>
          <w:kern w:val="0"/>
          <w:position w:val="0"/>
          <w:highlight w:val="none"/>
        </w:rPr>
        <w:t>废催化剂</w:t>
      </w:r>
      <w:r>
        <w:rPr>
          <w:rFonts w:hint="eastAsia" w:cs="Times New Roman"/>
          <w:caps w:val="0"/>
          <w:snapToGrid/>
          <w:color w:val="auto"/>
          <w:spacing w:val="0"/>
          <w:w w:val="100"/>
          <w:kern w:val="0"/>
          <w:position w:val="0"/>
          <w:highlight w:val="none"/>
          <w:lang w:eastAsia="zh-CN"/>
        </w:rPr>
        <w:t>、</w:t>
      </w:r>
      <w:r>
        <w:rPr>
          <w:rFonts w:hint="eastAsia" w:cs="Times New Roman"/>
          <w:caps w:val="0"/>
          <w:snapToGrid/>
          <w:color w:val="auto"/>
          <w:spacing w:val="0"/>
          <w:w w:val="100"/>
          <w:kern w:val="0"/>
          <w:position w:val="0"/>
          <w:highlight w:val="none"/>
          <w:lang w:val="en-US" w:eastAsia="zh-CN"/>
        </w:rPr>
        <w:t>废过滤棉、</w:t>
      </w:r>
      <w:r>
        <w:rPr>
          <w:rFonts w:hint="default" w:ascii="Times New Roman" w:hAnsi="Times New Roman" w:eastAsia="宋体" w:cs="Times New Roman"/>
          <w:caps w:val="0"/>
          <w:snapToGrid/>
          <w:color w:val="auto"/>
          <w:spacing w:val="0"/>
          <w:w w:val="100"/>
          <w:kern w:val="0"/>
          <w:position w:val="0"/>
          <w:highlight w:val="none"/>
        </w:rPr>
        <w:t>废活性炭</w:t>
      </w:r>
      <w:r>
        <w:rPr>
          <w:rFonts w:hint="eastAsia" w:cs="Times New Roman"/>
          <w:caps w:val="0"/>
          <w:snapToGrid/>
          <w:color w:val="auto"/>
          <w:spacing w:val="0"/>
          <w:w w:val="100"/>
          <w:kern w:val="0"/>
          <w:position w:val="0"/>
          <w:highlight w:val="none"/>
          <w:lang w:val="en-US" w:eastAsia="zh-CN"/>
        </w:rPr>
        <w:t>产生量分别为0.1t/a、0.01t/a、0.5t/3a、0.5t/a、2.5t/a</w:t>
      </w:r>
      <w:r>
        <w:rPr>
          <w:rFonts w:hint="eastAsia" w:cs="Times New Roman"/>
          <w:caps w:val="0"/>
          <w:snapToGrid/>
          <w:color w:val="auto"/>
          <w:spacing w:val="0"/>
          <w:w w:val="100"/>
          <w:kern w:val="0"/>
          <w:position w:val="0"/>
          <w:highlight w:val="none"/>
          <w:shd w:val="clear" w:color="auto" w:fill="auto"/>
          <w:lang w:val="en-US" w:eastAsia="zh-CN"/>
        </w:rPr>
        <w:t>，</w:t>
      </w:r>
      <w:r>
        <w:rPr>
          <w:rFonts w:hint="default" w:ascii="Times New Roman" w:hAnsi="Times New Roman" w:eastAsia="宋体" w:cs="Times New Roman"/>
          <w:caps w:val="0"/>
          <w:snapToGrid/>
          <w:color w:val="auto"/>
          <w:spacing w:val="0"/>
          <w:w w:val="100"/>
          <w:kern w:val="0"/>
          <w:position w:val="0"/>
          <w:highlight w:val="none"/>
          <w:shd w:val="clear" w:color="auto" w:fill="auto"/>
        </w:rPr>
        <w:t>集中</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分类</w:t>
      </w:r>
      <w:r>
        <w:rPr>
          <w:rFonts w:hint="default" w:ascii="Times New Roman" w:hAnsi="Times New Roman" w:eastAsia="宋体" w:cs="Times New Roman"/>
          <w:caps w:val="0"/>
          <w:snapToGrid/>
          <w:color w:val="auto"/>
          <w:spacing w:val="0"/>
          <w:w w:val="100"/>
          <w:kern w:val="0"/>
          <w:position w:val="0"/>
          <w:highlight w:val="none"/>
          <w:shd w:val="clear" w:color="auto" w:fill="auto"/>
        </w:rPr>
        <w:t>收集后</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分区</w:t>
      </w:r>
      <w:r>
        <w:rPr>
          <w:rFonts w:hint="default" w:ascii="Times New Roman" w:hAnsi="Times New Roman" w:eastAsia="宋体" w:cs="Times New Roman"/>
          <w:caps w:val="0"/>
          <w:snapToGrid/>
          <w:color w:val="auto"/>
          <w:spacing w:val="0"/>
          <w:w w:val="100"/>
          <w:kern w:val="0"/>
          <w:position w:val="0"/>
          <w:highlight w:val="none"/>
          <w:shd w:val="clear" w:color="auto" w:fill="auto"/>
        </w:rPr>
        <w:t>暂存于</w:t>
      </w:r>
      <w:r>
        <w:rPr>
          <w:rFonts w:hint="default" w:ascii="Times New Roman" w:hAnsi="Times New Roman" w:eastAsia="宋体" w:cs="Times New Roman"/>
          <w:caps w:val="0"/>
          <w:snapToGrid/>
          <w:color w:val="auto"/>
          <w:spacing w:val="0"/>
          <w:w w:val="100"/>
          <w:kern w:val="0"/>
          <w:position w:val="0"/>
          <w:highlight w:val="none"/>
          <w:shd w:val="clear" w:color="auto" w:fill="auto"/>
          <w:lang w:eastAsia="zh-CN"/>
        </w:rPr>
        <w:t>危废贮存库</w:t>
      </w:r>
      <w:r>
        <w:rPr>
          <w:rFonts w:hint="default" w:ascii="Times New Roman" w:hAnsi="Times New Roman" w:eastAsia="宋体" w:cs="Times New Roman"/>
          <w:caps w:val="0"/>
          <w:snapToGrid/>
          <w:color w:val="auto"/>
          <w:spacing w:val="0"/>
          <w:w w:val="100"/>
          <w:kern w:val="0"/>
          <w:position w:val="0"/>
          <w:highlight w:val="none"/>
          <w:shd w:val="clear" w:color="auto" w:fill="auto"/>
        </w:rPr>
        <w:t>，定期交由有资质单位处置</w:t>
      </w:r>
      <w:r>
        <w:rPr>
          <w:rFonts w:hint="eastAsia" w:cs="Times New Roman"/>
          <w:caps w:val="0"/>
          <w:snapToGrid/>
          <w:color w:val="auto"/>
          <w:spacing w:val="0"/>
          <w:w w:val="100"/>
          <w:kern w:val="0"/>
          <w:position w:val="0"/>
          <w:highlight w:val="none"/>
          <w:shd w:val="clear" w:color="auto" w:fill="auto"/>
          <w:lang w:val="en-US" w:eastAsia="zh-CN"/>
        </w:rPr>
        <w:t>。</w:t>
      </w:r>
    </w:p>
    <w:p w14:paraId="50D43C1A">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rPr>
      </w:pPr>
      <w:r>
        <w:rPr>
          <w:rFonts w:hint="default" w:ascii="Times New Roman" w:hAnsi="Times New Roman" w:eastAsia="宋体" w:cs="Times New Roman"/>
          <w:caps w:val="0"/>
          <w:snapToGrid/>
          <w:color w:val="auto"/>
          <w:spacing w:val="0"/>
          <w:w w:val="100"/>
          <w:kern w:val="0"/>
          <w:position w:val="0"/>
          <w:highlight w:val="none"/>
          <w:shd w:val="clear" w:color="auto" w:fill="auto"/>
          <w:lang w:eastAsia="zh-CN"/>
        </w:rPr>
        <w:t>（</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2</w:t>
      </w:r>
      <w:r>
        <w:rPr>
          <w:rFonts w:hint="default" w:ascii="Times New Roman" w:hAnsi="Times New Roman" w:eastAsia="宋体" w:cs="Times New Roman"/>
          <w:caps w:val="0"/>
          <w:snapToGrid/>
          <w:color w:val="auto"/>
          <w:spacing w:val="0"/>
          <w:w w:val="100"/>
          <w:kern w:val="0"/>
          <w:position w:val="0"/>
          <w:highlight w:val="none"/>
          <w:shd w:val="clear" w:color="auto" w:fill="auto"/>
          <w:lang w:eastAsia="zh-CN"/>
        </w:rPr>
        <w:t>）</w:t>
      </w:r>
      <w:r>
        <w:rPr>
          <w:rFonts w:hint="default" w:ascii="Times New Roman" w:hAnsi="Times New Roman" w:eastAsia="宋体" w:cs="Times New Roman"/>
          <w:caps w:val="0"/>
          <w:snapToGrid/>
          <w:color w:val="auto"/>
          <w:spacing w:val="0"/>
          <w:w w:val="100"/>
          <w:kern w:val="0"/>
          <w:position w:val="0"/>
          <w:highlight w:val="none"/>
          <w:shd w:val="clear" w:color="auto" w:fill="auto"/>
        </w:rPr>
        <w:t>危险废物</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贮存</w:t>
      </w:r>
      <w:r>
        <w:rPr>
          <w:rFonts w:hint="default" w:ascii="Times New Roman" w:hAnsi="Times New Roman" w:eastAsia="宋体" w:cs="Times New Roman"/>
          <w:caps w:val="0"/>
          <w:snapToGrid/>
          <w:color w:val="auto"/>
          <w:spacing w:val="0"/>
          <w:w w:val="100"/>
          <w:kern w:val="0"/>
          <w:position w:val="0"/>
          <w:highlight w:val="none"/>
          <w:shd w:val="clear" w:color="auto" w:fill="auto"/>
        </w:rPr>
        <w:t>环境影响分析</w:t>
      </w:r>
    </w:p>
    <w:p w14:paraId="25E2644E">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rPr>
        <w:t>本项目危险废物集中收集后暂存于</w:t>
      </w:r>
      <w:r>
        <w:rPr>
          <w:rFonts w:hint="default" w:ascii="Times New Roman" w:hAnsi="Times New Roman" w:eastAsia="宋体" w:cs="Times New Roman"/>
          <w:caps w:val="0"/>
          <w:snapToGrid/>
          <w:color w:val="auto"/>
          <w:spacing w:val="0"/>
          <w:w w:val="100"/>
          <w:kern w:val="0"/>
          <w:position w:val="0"/>
          <w:highlight w:val="none"/>
          <w:shd w:val="clear" w:color="auto" w:fill="auto"/>
          <w:lang w:eastAsia="zh-CN"/>
        </w:rPr>
        <w:t>危废贮存库</w:t>
      </w:r>
      <w:r>
        <w:rPr>
          <w:rFonts w:hint="default" w:ascii="Times New Roman" w:hAnsi="Times New Roman" w:eastAsia="宋体" w:cs="Times New Roman"/>
          <w:caps w:val="0"/>
          <w:snapToGrid/>
          <w:color w:val="auto"/>
          <w:spacing w:val="0"/>
          <w:w w:val="100"/>
          <w:kern w:val="0"/>
          <w:position w:val="0"/>
          <w:highlight w:val="none"/>
          <w:shd w:val="clear" w:color="auto" w:fill="auto"/>
        </w:rPr>
        <w:t>，定期交由有资质单位处置</w:t>
      </w:r>
      <w:r>
        <w:rPr>
          <w:rFonts w:hint="default" w:ascii="Times New Roman" w:hAnsi="Times New Roman" w:eastAsia="宋体" w:cs="Times New Roman"/>
          <w:caps w:val="0"/>
          <w:snapToGrid/>
          <w:color w:val="auto"/>
          <w:spacing w:val="0"/>
          <w:w w:val="100"/>
          <w:kern w:val="0"/>
          <w:position w:val="0"/>
          <w:highlight w:val="none"/>
          <w:shd w:val="clear" w:color="auto" w:fill="auto"/>
          <w:lang w:eastAsia="zh-CN"/>
        </w:rPr>
        <w:t>。危废贮存库</w:t>
      </w:r>
      <w:r>
        <w:rPr>
          <w:rFonts w:hint="default" w:ascii="Times New Roman" w:hAnsi="Times New Roman" w:eastAsia="宋体" w:cs="Times New Roman"/>
          <w:caps w:val="0"/>
          <w:snapToGrid/>
          <w:color w:val="auto"/>
          <w:spacing w:val="0"/>
          <w:w w:val="100"/>
          <w:kern w:val="0"/>
          <w:position w:val="0"/>
          <w:highlight w:val="none"/>
          <w:shd w:val="clear" w:color="auto" w:fill="auto"/>
        </w:rPr>
        <w:t>需采取全封闭、严格的防腐防渗处理。</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根据《建设项目危险废物环境影响评价指南》，本项目危险废物影响分析内容如下：</w:t>
      </w:r>
    </w:p>
    <w:p w14:paraId="4A50D8A2">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eastAsia" w:cs="Times New Roman"/>
          <w:caps w:val="0"/>
          <w:snapToGrid/>
          <w:color w:val="auto"/>
          <w:spacing w:val="0"/>
          <w:w w:val="100"/>
          <w:kern w:val="0"/>
          <w:position w:val="0"/>
          <w:highlight w:val="none"/>
          <w:shd w:val="clear" w:color="auto" w:fill="auto"/>
          <w:lang w:val="en-US" w:eastAsia="zh-CN"/>
        </w:rPr>
        <w:t>1）本项目危险废物汇总</w:t>
      </w:r>
    </w:p>
    <w:p w14:paraId="2342B12D">
      <w:pPr>
        <w:pStyle w:val="1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rPr>
        <w:t>表5.2</w:t>
      </w:r>
      <w:r>
        <w:rPr>
          <w:rFonts w:hint="eastAsia" w:cs="Times New Roman"/>
          <w:b/>
          <w:bCs/>
          <w:caps w:val="0"/>
          <w:snapToGrid/>
          <w:color w:val="auto"/>
          <w:spacing w:val="0"/>
          <w:w w:val="100"/>
          <w:kern w:val="0"/>
          <w:position w:val="0"/>
          <w:sz w:val="21"/>
          <w:szCs w:val="21"/>
          <w:highlight w:val="none"/>
          <w:lang w:val="en-US" w:eastAsia="zh-CN"/>
        </w:rPr>
        <w:t>.4-1</w:t>
      </w:r>
      <w:r>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rPr>
        <w:t xml:space="preserve"> </w:t>
      </w:r>
      <w:r>
        <w:rPr>
          <w:rFonts w:hint="eastAsia" w:ascii="Times New Roman" w:hAnsi="Times New Roman" w:eastAsia="宋体" w:cs="Times New Roman"/>
          <w:b/>
          <w:bCs/>
          <w:caps w:val="0"/>
          <w:snapToGrid/>
          <w:color w:val="auto"/>
          <w:spacing w:val="0"/>
          <w:w w:val="100"/>
          <w:kern w:val="0"/>
          <w:position w:val="0"/>
          <w:sz w:val="21"/>
          <w:szCs w:val="21"/>
          <w:highlight w:val="none"/>
          <w:lang w:val="en-US" w:eastAsia="zh-CN"/>
        </w:rPr>
        <w:t xml:space="preserve"> 本项目危险废物汇总表</w:t>
      </w:r>
    </w:p>
    <w:tbl>
      <w:tblPr>
        <w:tblStyle w:val="25"/>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577"/>
        <w:gridCol w:w="1863"/>
        <w:gridCol w:w="1438"/>
        <w:gridCol w:w="1044"/>
        <w:gridCol w:w="1138"/>
        <w:gridCol w:w="926"/>
        <w:gridCol w:w="647"/>
        <w:gridCol w:w="1319"/>
      </w:tblGrid>
      <w:tr w14:paraId="0A1F71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322" w:type="pct"/>
            <w:shd w:val="clear" w:color="auto" w:fill="auto"/>
            <w:noWrap w:val="0"/>
            <w:vAlign w:val="center"/>
          </w:tcPr>
          <w:p w14:paraId="0F1F487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textAlignment w:val="auto"/>
              <w:rPr>
                <w:rFonts w:hint="default"/>
                <w:b/>
                <w:bCs/>
                <w:color w:val="auto"/>
                <w:spacing w:val="0"/>
                <w:w w:val="100"/>
                <w:position w:val="0"/>
                <w:sz w:val="21"/>
                <w:szCs w:val="21"/>
                <w:highlight w:val="none"/>
              </w:rPr>
            </w:pPr>
            <w:r>
              <w:rPr>
                <w:rFonts w:hint="default"/>
                <w:b/>
                <w:bCs/>
                <w:color w:val="auto"/>
                <w:spacing w:val="0"/>
                <w:w w:val="100"/>
                <w:position w:val="0"/>
                <w:sz w:val="21"/>
                <w:szCs w:val="21"/>
                <w:highlight w:val="none"/>
              </w:rPr>
              <w:t>序号</w:t>
            </w:r>
          </w:p>
        </w:tc>
        <w:tc>
          <w:tcPr>
            <w:tcW w:w="1040" w:type="pct"/>
            <w:shd w:val="clear" w:color="auto" w:fill="auto"/>
            <w:noWrap w:val="0"/>
            <w:vAlign w:val="center"/>
          </w:tcPr>
          <w:p w14:paraId="7A3874C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textAlignment w:val="auto"/>
              <w:rPr>
                <w:rFonts w:hint="default"/>
                <w:b/>
                <w:bCs/>
                <w:color w:val="auto"/>
                <w:spacing w:val="0"/>
                <w:w w:val="100"/>
                <w:position w:val="0"/>
                <w:sz w:val="21"/>
                <w:szCs w:val="21"/>
                <w:highlight w:val="none"/>
              </w:rPr>
            </w:pPr>
            <w:r>
              <w:rPr>
                <w:rFonts w:hint="eastAsia"/>
                <w:b/>
                <w:bCs/>
                <w:color w:val="auto"/>
                <w:spacing w:val="0"/>
                <w:w w:val="100"/>
                <w:position w:val="0"/>
                <w:sz w:val="21"/>
                <w:szCs w:val="21"/>
                <w:highlight w:val="none"/>
                <w:lang w:val="en-US" w:eastAsia="zh-CN"/>
              </w:rPr>
              <w:t>危废</w:t>
            </w:r>
            <w:r>
              <w:rPr>
                <w:rFonts w:hint="default"/>
                <w:b/>
                <w:bCs/>
                <w:color w:val="auto"/>
                <w:spacing w:val="0"/>
                <w:w w:val="100"/>
                <w:position w:val="0"/>
                <w:sz w:val="21"/>
                <w:szCs w:val="21"/>
                <w:highlight w:val="none"/>
              </w:rPr>
              <w:t>名称</w:t>
            </w:r>
          </w:p>
        </w:tc>
        <w:tc>
          <w:tcPr>
            <w:tcW w:w="803" w:type="pct"/>
            <w:shd w:val="clear" w:color="auto" w:fill="auto"/>
            <w:noWrap w:val="0"/>
            <w:vAlign w:val="center"/>
          </w:tcPr>
          <w:p w14:paraId="6B00AFF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textAlignment w:val="auto"/>
              <w:rPr>
                <w:rFonts w:hint="default"/>
                <w:b/>
                <w:bCs/>
                <w:color w:val="auto"/>
                <w:spacing w:val="0"/>
                <w:w w:val="100"/>
                <w:position w:val="0"/>
                <w:sz w:val="21"/>
                <w:szCs w:val="21"/>
                <w:highlight w:val="none"/>
              </w:rPr>
            </w:pPr>
            <w:r>
              <w:rPr>
                <w:rFonts w:hint="default"/>
                <w:b/>
                <w:bCs/>
                <w:color w:val="auto"/>
                <w:spacing w:val="0"/>
                <w:w w:val="100"/>
                <w:position w:val="0"/>
                <w:sz w:val="21"/>
                <w:szCs w:val="21"/>
                <w:highlight w:val="none"/>
              </w:rPr>
              <w:t>危险特性</w:t>
            </w:r>
          </w:p>
        </w:tc>
        <w:tc>
          <w:tcPr>
            <w:tcW w:w="583" w:type="pct"/>
            <w:shd w:val="clear" w:color="auto" w:fill="auto"/>
            <w:noWrap w:val="0"/>
            <w:vAlign w:val="center"/>
          </w:tcPr>
          <w:p w14:paraId="13FA044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textAlignment w:val="auto"/>
              <w:rPr>
                <w:rFonts w:hint="default"/>
                <w:b/>
                <w:bCs/>
                <w:color w:val="auto"/>
                <w:spacing w:val="0"/>
                <w:w w:val="100"/>
                <w:position w:val="0"/>
                <w:sz w:val="21"/>
                <w:szCs w:val="21"/>
                <w:highlight w:val="none"/>
              </w:rPr>
            </w:pPr>
            <w:r>
              <w:rPr>
                <w:rFonts w:hint="default"/>
                <w:b/>
                <w:bCs/>
                <w:color w:val="auto"/>
                <w:spacing w:val="0"/>
                <w:w w:val="100"/>
                <w:position w:val="0"/>
                <w:sz w:val="21"/>
                <w:szCs w:val="21"/>
                <w:highlight w:val="none"/>
              </w:rPr>
              <w:t>废物类别</w:t>
            </w:r>
          </w:p>
        </w:tc>
        <w:tc>
          <w:tcPr>
            <w:tcW w:w="635" w:type="pct"/>
            <w:shd w:val="clear" w:color="auto" w:fill="auto"/>
            <w:noWrap w:val="0"/>
            <w:vAlign w:val="center"/>
          </w:tcPr>
          <w:p w14:paraId="27560B0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textAlignment w:val="auto"/>
              <w:rPr>
                <w:rFonts w:hint="default"/>
                <w:b/>
                <w:bCs/>
                <w:color w:val="auto"/>
                <w:spacing w:val="0"/>
                <w:w w:val="100"/>
                <w:position w:val="0"/>
                <w:sz w:val="21"/>
                <w:szCs w:val="21"/>
                <w:highlight w:val="none"/>
              </w:rPr>
            </w:pPr>
            <w:r>
              <w:rPr>
                <w:rFonts w:hint="default"/>
                <w:b/>
                <w:bCs/>
                <w:color w:val="auto"/>
                <w:spacing w:val="0"/>
                <w:w w:val="100"/>
                <w:position w:val="0"/>
                <w:sz w:val="21"/>
                <w:szCs w:val="21"/>
                <w:highlight w:val="none"/>
              </w:rPr>
              <w:t>废物代码</w:t>
            </w:r>
          </w:p>
        </w:tc>
        <w:tc>
          <w:tcPr>
            <w:tcW w:w="517" w:type="pct"/>
            <w:shd w:val="clear" w:color="auto" w:fill="auto"/>
            <w:noWrap w:val="0"/>
            <w:vAlign w:val="center"/>
          </w:tcPr>
          <w:p w14:paraId="4F05DB5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textAlignment w:val="auto"/>
              <w:rPr>
                <w:rFonts w:hint="default"/>
                <w:b/>
                <w:bCs/>
                <w:color w:val="auto"/>
                <w:spacing w:val="0"/>
                <w:w w:val="100"/>
                <w:position w:val="0"/>
                <w:sz w:val="21"/>
                <w:szCs w:val="21"/>
                <w:highlight w:val="none"/>
              </w:rPr>
            </w:pPr>
            <w:r>
              <w:rPr>
                <w:rFonts w:hint="default"/>
                <w:b/>
                <w:bCs/>
                <w:color w:val="auto"/>
                <w:spacing w:val="0"/>
                <w:w w:val="100"/>
                <w:position w:val="0"/>
                <w:sz w:val="21"/>
                <w:szCs w:val="21"/>
                <w:highlight w:val="none"/>
              </w:rPr>
              <w:t>估算产生量(t/a)</w:t>
            </w:r>
          </w:p>
        </w:tc>
        <w:tc>
          <w:tcPr>
            <w:tcW w:w="361" w:type="pct"/>
            <w:shd w:val="clear" w:color="auto" w:fill="auto"/>
            <w:noWrap w:val="0"/>
            <w:vAlign w:val="center"/>
          </w:tcPr>
          <w:p w14:paraId="3F64AFD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textAlignment w:val="auto"/>
              <w:rPr>
                <w:rFonts w:hint="default"/>
                <w:b/>
                <w:bCs/>
                <w:color w:val="auto"/>
                <w:spacing w:val="0"/>
                <w:w w:val="100"/>
                <w:position w:val="0"/>
                <w:sz w:val="21"/>
                <w:szCs w:val="21"/>
                <w:highlight w:val="none"/>
              </w:rPr>
            </w:pPr>
            <w:r>
              <w:rPr>
                <w:rFonts w:hint="default"/>
                <w:b/>
                <w:bCs/>
                <w:color w:val="auto"/>
                <w:spacing w:val="0"/>
                <w:w w:val="100"/>
                <w:position w:val="0"/>
                <w:sz w:val="21"/>
                <w:szCs w:val="21"/>
                <w:highlight w:val="none"/>
              </w:rPr>
              <w:t>形态</w:t>
            </w:r>
          </w:p>
        </w:tc>
        <w:tc>
          <w:tcPr>
            <w:tcW w:w="736" w:type="pct"/>
            <w:noWrap w:val="0"/>
            <w:vAlign w:val="center"/>
          </w:tcPr>
          <w:p w14:paraId="22539B1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textAlignment w:val="auto"/>
              <w:rPr>
                <w:rFonts w:hint="eastAsia" w:eastAsia="宋体"/>
                <w:b/>
                <w:bCs/>
                <w:color w:val="auto"/>
                <w:spacing w:val="0"/>
                <w:w w:val="100"/>
                <w:position w:val="0"/>
                <w:sz w:val="21"/>
                <w:szCs w:val="21"/>
                <w:highlight w:val="none"/>
                <w:lang w:eastAsia="zh"/>
              </w:rPr>
            </w:pPr>
            <w:r>
              <w:rPr>
                <w:rFonts w:hint="eastAsia"/>
                <w:b/>
                <w:bCs/>
                <w:color w:val="auto"/>
                <w:spacing w:val="0"/>
                <w:w w:val="100"/>
                <w:position w:val="0"/>
                <w:sz w:val="21"/>
                <w:szCs w:val="21"/>
                <w:highlight w:val="none"/>
                <w:lang w:eastAsia="zh"/>
              </w:rPr>
              <w:t>污染防治措施</w:t>
            </w:r>
          </w:p>
        </w:tc>
      </w:tr>
      <w:tr w14:paraId="0925AA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322" w:type="pct"/>
            <w:shd w:val="clear" w:color="auto" w:fill="auto"/>
            <w:noWrap w:val="0"/>
            <w:vAlign w:val="center"/>
          </w:tcPr>
          <w:p w14:paraId="1A02976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textAlignment w:val="auto"/>
              <w:rPr>
                <w:rFonts w:hint="default" w:ascii="Times New Roman" w:hAnsi="Times New Roman" w:eastAsia="宋体" w:cstheme="minorBidi"/>
                <w:color w:val="auto"/>
                <w:spacing w:val="0"/>
                <w:w w:val="100"/>
                <w:kern w:val="0"/>
                <w:position w:val="0"/>
                <w:sz w:val="21"/>
                <w:szCs w:val="21"/>
                <w:highlight w:val="none"/>
                <w:lang w:val="en-US" w:eastAsia="zh-CN" w:bidi="ar-SA"/>
              </w:rPr>
            </w:pPr>
            <w:r>
              <w:rPr>
                <w:rFonts w:hint="eastAsia" w:ascii="Times New Roman" w:hAnsi="Times New Roman" w:eastAsia="宋体" w:cstheme="minorBidi"/>
                <w:color w:val="auto"/>
                <w:spacing w:val="0"/>
                <w:w w:val="100"/>
                <w:kern w:val="0"/>
                <w:position w:val="0"/>
                <w:sz w:val="21"/>
                <w:szCs w:val="21"/>
                <w:highlight w:val="none"/>
                <w:lang w:val="en-US" w:eastAsia="zh-CN" w:bidi="ar-SA"/>
              </w:rPr>
              <w:t>1</w:t>
            </w:r>
          </w:p>
        </w:tc>
        <w:tc>
          <w:tcPr>
            <w:tcW w:w="1040" w:type="pct"/>
            <w:shd w:val="clear" w:color="auto" w:fill="auto"/>
            <w:noWrap w:val="0"/>
            <w:vAlign w:val="center"/>
          </w:tcPr>
          <w:p w14:paraId="355DC113">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
              </w:rPr>
              <w:t>沾油废手套、抹布</w:t>
            </w:r>
          </w:p>
        </w:tc>
        <w:tc>
          <w:tcPr>
            <w:tcW w:w="803" w:type="pct"/>
            <w:shd w:val="clear" w:color="auto" w:fill="auto"/>
            <w:noWrap w:val="0"/>
            <w:vAlign w:val="center"/>
          </w:tcPr>
          <w:p w14:paraId="4EB2F128">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
              </w:rPr>
              <w:t>/</w:t>
            </w:r>
          </w:p>
        </w:tc>
        <w:tc>
          <w:tcPr>
            <w:tcW w:w="583" w:type="pct"/>
            <w:shd w:val="clear" w:color="auto" w:fill="auto"/>
            <w:noWrap w:val="0"/>
            <w:vAlign w:val="center"/>
          </w:tcPr>
          <w:p w14:paraId="4F27EB1F">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
              </w:rPr>
              <w:t>/</w:t>
            </w:r>
          </w:p>
        </w:tc>
        <w:tc>
          <w:tcPr>
            <w:tcW w:w="635" w:type="pct"/>
            <w:shd w:val="clear" w:color="auto" w:fill="auto"/>
            <w:noWrap w:val="0"/>
            <w:vAlign w:val="center"/>
          </w:tcPr>
          <w:p w14:paraId="5D850B3D">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
              </w:rPr>
              <w:t>900-041-49</w:t>
            </w:r>
          </w:p>
        </w:tc>
        <w:tc>
          <w:tcPr>
            <w:tcW w:w="517" w:type="pct"/>
            <w:shd w:val="clear" w:color="auto" w:fill="auto"/>
            <w:noWrap w:val="0"/>
            <w:vAlign w:val="center"/>
          </w:tcPr>
          <w:p w14:paraId="26468EA9">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cs="Times New Roman"/>
                <w:color w:val="auto"/>
                <w:spacing w:val="0"/>
                <w:w w:val="100"/>
                <w:kern w:val="0"/>
                <w:position w:val="0"/>
                <w:sz w:val="21"/>
                <w:szCs w:val="21"/>
                <w:lang w:val="en-US" w:eastAsia="zh-CN" w:bidi="ar"/>
              </w:rPr>
              <w:t>0.01</w:t>
            </w:r>
          </w:p>
        </w:tc>
        <w:tc>
          <w:tcPr>
            <w:tcW w:w="361" w:type="pct"/>
            <w:shd w:val="clear" w:color="auto" w:fill="auto"/>
            <w:noWrap w:val="0"/>
            <w:vAlign w:val="center"/>
          </w:tcPr>
          <w:p w14:paraId="0FDF718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textAlignment w:val="auto"/>
              <w:rPr>
                <w:rFonts w:hint="eastAsia" w:ascii="Times New Roman" w:hAnsi="Times New Roman" w:eastAsia="宋体" w:cstheme="minorBidi"/>
                <w:color w:val="auto"/>
                <w:spacing w:val="0"/>
                <w:w w:val="100"/>
                <w:kern w:val="0"/>
                <w:position w:val="0"/>
                <w:sz w:val="21"/>
                <w:szCs w:val="21"/>
                <w:highlight w:val="none"/>
                <w:lang w:val="en-US" w:eastAsia="zh-CN" w:bidi="ar-SA"/>
              </w:rPr>
            </w:pPr>
            <w:r>
              <w:rPr>
                <w:rFonts w:hint="eastAsia"/>
                <w:color w:val="auto"/>
                <w:spacing w:val="0"/>
                <w:w w:val="100"/>
                <w:position w:val="0"/>
                <w:sz w:val="21"/>
                <w:szCs w:val="21"/>
                <w:highlight w:val="none"/>
                <w:lang w:val="en-US" w:eastAsia="zh-CN"/>
              </w:rPr>
              <w:t>固态</w:t>
            </w:r>
          </w:p>
        </w:tc>
        <w:tc>
          <w:tcPr>
            <w:tcW w:w="736" w:type="pct"/>
            <w:vMerge w:val="restart"/>
            <w:noWrap w:val="0"/>
            <w:vAlign w:val="center"/>
          </w:tcPr>
          <w:p w14:paraId="0A5C7D1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textAlignment w:val="auto"/>
              <w:rPr>
                <w:rFonts w:hint="default" w:eastAsia="宋体"/>
                <w:color w:val="auto"/>
                <w:spacing w:val="0"/>
                <w:w w:val="100"/>
                <w:position w:val="0"/>
                <w:sz w:val="21"/>
                <w:szCs w:val="21"/>
                <w:highlight w:val="none"/>
                <w:lang w:val="en-US" w:eastAsia="zh-CN"/>
              </w:rPr>
            </w:pPr>
            <w:r>
              <w:rPr>
                <w:rFonts w:hint="eastAsia" w:eastAsia="宋体"/>
                <w:color w:val="auto"/>
                <w:spacing w:val="0"/>
                <w:w w:val="100"/>
                <w:position w:val="0"/>
                <w:sz w:val="21"/>
                <w:szCs w:val="21"/>
                <w:highlight w:val="none"/>
                <w:lang w:val="en-US" w:eastAsia="zh-CN"/>
              </w:rPr>
              <w:t>统一收集至危险废物贮存库暂存定期委托有资质的单位进行处理</w:t>
            </w:r>
          </w:p>
        </w:tc>
      </w:tr>
      <w:tr w14:paraId="30C2FE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322" w:type="pct"/>
            <w:shd w:val="clear" w:color="auto" w:fill="auto"/>
            <w:noWrap w:val="0"/>
            <w:vAlign w:val="center"/>
          </w:tcPr>
          <w:p w14:paraId="3A7A830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textAlignment w:val="auto"/>
              <w:rPr>
                <w:rFonts w:hint="default" w:ascii="Times New Roman" w:hAnsi="Times New Roman" w:eastAsia="宋体" w:cstheme="minorBidi"/>
                <w:color w:val="auto"/>
                <w:spacing w:val="0"/>
                <w:w w:val="100"/>
                <w:kern w:val="0"/>
                <w:position w:val="0"/>
                <w:sz w:val="21"/>
                <w:szCs w:val="21"/>
                <w:highlight w:val="none"/>
                <w:lang w:val="en-US" w:eastAsia="zh-CN" w:bidi="ar-SA"/>
              </w:rPr>
            </w:pPr>
            <w:r>
              <w:rPr>
                <w:rFonts w:hint="eastAsia" w:ascii="Times New Roman" w:hAnsi="Times New Roman" w:eastAsia="宋体" w:cstheme="minorBidi"/>
                <w:color w:val="auto"/>
                <w:spacing w:val="0"/>
                <w:w w:val="100"/>
                <w:kern w:val="0"/>
                <w:position w:val="0"/>
                <w:sz w:val="21"/>
                <w:szCs w:val="21"/>
                <w:highlight w:val="none"/>
                <w:lang w:val="en-US" w:eastAsia="zh-CN" w:bidi="ar-SA"/>
              </w:rPr>
              <w:t>2</w:t>
            </w:r>
          </w:p>
        </w:tc>
        <w:tc>
          <w:tcPr>
            <w:tcW w:w="1040" w:type="pct"/>
            <w:shd w:val="clear" w:color="auto" w:fill="auto"/>
            <w:noWrap w:val="0"/>
            <w:vAlign w:val="center"/>
          </w:tcPr>
          <w:p w14:paraId="0595A063">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
              </w:rPr>
              <w:t>废机油</w:t>
            </w:r>
          </w:p>
        </w:tc>
        <w:tc>
          <w:tcPr>
            <w:tcW w:w="803" w:type="pct"/>
            <w:shd w:val="clear" w:color="auto" w:fill="auto"/>
            <w:noWrap w:val="0"/>
            <w:vAlign w:val="center"/>
          </w:tcPr>
          <w:p w14:paraId="79294F26">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
              </w:rPr>
              <w:t>T/In</w:t>
            </w:r>
          </w:p>
        </w:tc>
        <w:tc>
          <w:tcPr>
            <w:tcW w:w="583" w:type="pct"/>
            <w:shd w:val="clear" w:color="auto" w:fill="auto"/>
            <w:noWrap w:val="0"/>
            <w:vAlign w:val="center"/>
          </w:tcPr>
          <w:p w14:paraId="6036011B">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
              </w:rPr>
              <w:t>HW08</w:t>
            </w:r>
          </w:p>
        </w:tc>
        <w:tc>
          <w:tcPr>
            <w:tcW w:w="635" w:type="pct"/>
            <w:shd w:val="clear" w:color="auto" w:fill="auto"/>
            <w:noWrap w:val="0"/>
            <w:vAlign w:val="center"/>
          </w:tcPr>
          <w:p w14:paraId="393DF6BE">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
              </w:rPr>
              <w:t>900-217-08</w:t>
            </w:r>
          </w:p>
        </w:tc>
        <w:tc>
          <w:tcPr>
            <w:tcW w:w="517" w:type="pct"/>
            <w:shd w:val="clear" w:color="auto" w:fill="auto"/>
            <w:noWrap w:val="0"/>
            <w:vAlign w:val="center"/>
          </w:tcPr>
          <w:p w14:paraId="47078E05">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
              </w:rPr>
              <w:t>0.1</w:t>
            </w:r>
          </w:p>
        </w:tc>
        <w:tc>
          <w:tcPr>
            <w:tcW w:w="361" w:type="pct"/>
            <w:shd w:val="clear" w:color="auto" w:fill="auto"/>
            <w:noWrap w:val="0"/>
            <w:vAlign w:val="center"/>
          </w:tcPr>
          <w:p w14:paraId="5744173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textAlignment w:val="auto"/>
              <w:rPr>
                <w:rFonts w:hint="default" w:ascii="Times New Roman" w:hAnsi="Times New Roman" w:eastAsia="宋体" w:cstheme="minorBidi"/>
                <w:color w:val="auto"/>
                <w:spacing w:val="0"/>
                <w:w w:val="100"/>
                <w:kern w:val="0"/>
                <w:position w:val="0"/>
                <w:sz w:val="21"/>
                <w:szCs w:val="21"/>
                <w:highlight w:val="none"/>
                <w:lang w:val="en-US" w:eastAsia="zh-CN" w:bidi="ar-SA"/>
              </w:rPr>
            </w:pPr>
            <w:r>
              <w:rPr>
                <w:rFonts w:hint="eastAsia" w:cstheme="minorBidi"/>
                <w:color w:val="auto"/>
                <w:spacing w:val="0"/>
                <w:w w:val="100"/>
                <w:kern w:val="0"/>
                <w:position w:val="0"/>
                <w:sz w:val="21"/>
                <w:szCs w:val="21"/>
                <w:highlight w:val="none"/>
                <w:lang w:val="en-US" w:eastAsia="zh-CN" w:bidi="ar-SA"/>
              </w:rPr>
              <w:t>液态</w:t>
            </w:r>
          </w:p>
        </w:tc>
        <w:tc>
          <w:tcPr>
            <w:tcW w:w="736" w:type="pct"/>
            <w:vMerge w:val="continue"/>
            <w:shd w:val="clear" w:color="auto" w:fill="auto"/>
            <w:noWrap w:val="0"/>
            <w:vAlign w:val="center"/>
          </w:tcPr>
          <w:p w14:paraId="0CB333D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textAlignment w:val="auto"/>
              <w:rPr>
                <w:rFonts w:hint="default" w:ascii="Times New Roman" w:hAnsi="Times New Roman" w:eastAsia="宋体" w:cstheme="minorBidi"/>
                <w:color w:val="auto"/>
                <w:spacing w:val="0"/>
                <w:w w:val="100"/>
                <w:kern w:val="0"/>
                <w:position w:val="0"/>
                <w:sz w:val="21"/>
                <w:szCs w:val="21"/>
                <w:highlight w:val="none"/>
                <w:lang w:val="en-US" w:eastAsia="zh-CN" w:bidi="ar-SA"/>
              </w:rPr>
            </w:pPr>
          </w:p>
        </w:tc>
      </w:tr>
      <w:tr w14:paraId="02B55E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322" w:type="pct"/>
            <w:shd w:val="clear" w:color="auto" w:fill="auto"/>
            <w:noWrap w:val="0"/>
            <w:vAlign w:val="center"/>
          </w:tcPr>
          <w:p w14:paraId="3B74104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textAlignment w:val="auto"/>
              <w:rPr>
                <w:rFonts w:hint="default" w:ascii="Times New Roman" w:hAnsi="Times New Roman" w:eastAsia="宋体" w:cstheme="minorBidi"/>
                <w:color w:val="auto"/>
                <w:spacing w:val="0"/>
                <w:w w:val="100"/>
                <w:kern w:val="0"/>
                <w:position w:val="0"/>
                <w:sz w:val="21"/>
                <w:szCs w:val="21"/>
                <w:highlight w:val="none"/>
                <w:lang w:val="en-US" w:eastAsia="zh-CN" w:bidi="ar-SA"/>
              </w:rPr>
            </w:pPr>
            <w:r>
              <w:rPr>
                <w:rFonts w:hint="eastAsia" w:ascii="Times New Roman" w:hAnsi="Times New Roman" w:eastAsia="宋体" w:cstheme="minorBidi"/>
                <w:color w:val="auto"/>
                <w:spacing w:val="0"/>
                <w:w w:val="100"/>
                <w:kern w:val="0"/>
                <w:position w:val="0"/>
                <w:sz w:val="21"/>
                <w:szCs w:val="21"/>
                <w:highlight w:val="none"/>
                <w:lang w:val="en-US" w:eastAsia="zh-CN" w:bidi="ar-SA"/>
              </w:rPr>
              <w:t>3</w:t>
            </w:r>
          </w:p>
        </w:tc>
        <w:tc>
          <w:tcPr>
            <w:tcW w:w="1040" w:type="pct"/>
            <w:shd w:val="clear" w:color="auto" w:fill="auto"/>
            <w:noWrap w:val="0"/>
            <w:vAlign w:val="center"/>
          </w:tcPr>
          <w:p w14:paraId="663B3ED0">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
              </w:rPr>
              <w:t>废机油桶</w:t>
            </w:r>
          </w:p>
        </w:tc>
        <w:tc>
          <w:tcPr>
            <w:tcW w:w="803" w:type="pct"/>
            <w:shd w:val="clear" w:color="auto" w:fill="auto"/>
            <w:noWrap w:val="0"/>
            <w:vAlign w:val="center"/>
          </w:tcPr>
          <w:p w14:paraId="26833E2F">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
              </w:rPr>
              <w:t>T/In</w:t>
            </w:r>
          </w:p>
        </w:tc>
        <w:tc>
          <w:tcPr>
            <w:tcW w:w="583" w:type="pct"/>
            <w:shd w:val="clear" w:color="auto" w:fill="auto"/>
            <w:noWrap w:val="0"/>
            <w:vAlign w:val="center"/>
          </w:tcPr>
          <w:p w14:paraId="51C86174">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
              </w:rPr>
              <w:t>HW49</w:t>
            </w:r>
          </w:p>
        </w:tc>
        <w:tc>
          <w:tcPr>
            <w:tcW w:w="635" w:type="pct"/>
            <w:shd w:val="clear" w:color="auto" w:fill="auto"/>
            <w:noWrap w:val="0"/>
            <w:vAlign w:val="center"/>
          </w:tcPr>
          <w:p w14:paraId="66A5A07A">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
              </w:rPr>
              <w:t>900-041-49</w:t>
            </w:r>
          </w:p>
        </w:tc>
        <w:tc>
          <w:tcPr>
            <w:tcW w:w="517" w:type="pct"/>
            <w:shd w:val="clear" w:color="auto" w:fill="auto"/>
            <w:noWrap w:val="0"/>
            <w:vAlign w:val="center"/>
          </w:tcPr>
          <w:p w14:paraId="4783E1D2">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
              </w:rPr>
              <w:t>0.01</w:t>
            </w:r>
          </w:p>
        </w:tc>
        <w:tc>
          <w:tcPr>
            <w:tcW w:w="361" w:type="pct"/>
            <w:shd w:val="clear" w:color="auto" w:fill="auto"/>
            <w:noWrap w:val="0"/>
            <w:vAlign w:val="center"/>
          </w:tcPr>
          <w:p w14:paraId="6EAA616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textAlignment w:val="auto"/>
              <w:rPr>
                <w:rFonts w:hint="default" w:ascii="Times New Roman" w:hAnsi="Times New Roman" w:eastAsia="宋体" w:cstheme="minorBidi"/>
                <w:color w:val="auto"/>
                <w:spacing w:val="0"/>
                <w:w w:val="100"/>
                <w:kern w:val="0"/>
                <w:position w:val="0"/>
                <w:sz w:val="21"/>
                <w:szCs w:val="21"/>
                <w:highlight w:val="none"/>
                <w:lang w:val="en-US" w:eastAsia="zh-CN" w:bidi="ar-SA"/>
              </w:rPr>
            </w:pPr>
            <w:r>
              <w:rPr>
                <w:rFonts w:hint="eastAsia"/>
                <w:color w:val="auto"/>
                <w:spacing w:val="0"/>
                <w:w w:val="100"/>
                <w:position w:val="0"/>
                <w:sz w:val="21"/>
                <w:szCs w:val="21"/>
                <w:highlight w:val="none"/>
                <w:lang w:val="en-US" w:eastAsia="zh-CN"/>
              </w:rPr>
              <w:t>固</w:t>
            </w:r>
            <w:r>
              <w:rPr>
                <w:rFonts w:hint="eastAsia"/>
                <w:color w:val="auto"/>
                <w:spacing w:val="0"/>
                <w:w w:val="100"/>
                <w:position w:val="0"/>
                <w:sz w:val="21"/>
                <w:szCs w:val="21"/>
                <w:highlight w:val="none"/>
              </w:rPr>
              <w:t>态</w:t>
            </w:r>
          </w:p>
        </w:tc>
        <w:tc>
          <w:tcPr>
            <w:tcW w:w="736" w:type="pct"/>
            <w:vMerge w:val="continue"/>
            <w:shd w:val="clear" w:color="auto" w:fill="auto"/>
            <w:noWrap w:val="0"/>
            <w:vAlign w:val="center"/>
          </w:tcPr>
          <w:p w14:paraId="616CD46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textAlignment w:val="auto"/>
              <w:rPr>
                <w:rFonts w:hint="eastAsia" w:ascii="Times New Roman" w:hAnsi="Times New Roman" w:eastAsia="宋体" w:cstheme="minorBidi"/>
                <w:color w:val="auto"/>
                <w:spacing w:val="0"/>
                <w:w w:val="100"/>
                <w:kern w:val="0"/>
                <w:position w:val="0"/>
                <w:sz w:val="21"/>
                <w:szCs w:val="21"/>
                <w:highlight w:val="none"/>
                <w:lang w:val="en-US" w:eastAsia="zh-CN" w:bidi="ar-SA"/>
              </w:rPr>
            </w:pPr>
          </w:p>
        </w:tc>
      </w:tr>
      <w:tr w14:paraId="441DEE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322" w:type="pct"/>
            <w:shd w:val="clear" w:color="auto" w:fill="auto"/>
            <w:noWrap w:val="0"/>
            <w:vAlign w:val="center"/>
          </w:tcPr>
          <w:p w14:paraId="2417211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textAlignment w:val="auto"/>
              <w:rPr>
                <w:rFonts w:hint="default" w:eastAsia="宋体"/>
                <w:color w:val="auto"/>
                <w:spacing w:val="0"/>
                <w:w w:val="100"/>
                <w:position w:val="0"/>
                <w:sz w:val="21"/>
                <w:szCs w:val="21"/>
                <w:highlight w:val="none"/>
                <w:lang w:val="en-US" w:eastAsia="zh-CN"/>
              </w:rPr>
            </w:pPr>
            <w:r>
              <w:rPr>
                <w:rFonts w:hint="eastAsia" w:eastAsia="宋体"/>
                <w:color w:val="auto"/>
                <w:spacing w:val="0"/>
                <w:w w:val="100"/>
                <w:position w:val="0"/>
                <w:sz w:val="21"/>
                <w:szCs w:val="21"/>
                <w:highlight w:val="none"/>
                <w:lang w:val="en-US" w:eastAsia="zh-CN"/>
              </w:rPr>
              <w:t>4</w:t>
            </w:r>
          </w:p>
        </w:tc>
        <w:tc>
          <w:tcPr>
            <w:tcW w:w="1040" w:type="pct"/>
            <w:shd w:val="clear" w:color="auto" w:fill="auto"/>
            <w:noWrap w:val="0"/>
            <w:vAlign w:val="center"/>
          </w:tcPr>
          <w:p w14:paraId="16D45CC0">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废催化剂</w:t>
            </w:r>
          </w:p>
        </w:tc>
        <w:tc>
          <w:tcPr>
            <w:tcW w:w="803" w:type="pct"/>
            <w:shd w:val="clear" w:color="auto" w:fill="auto"/>
            <w:noWrap w:val="0"/>
            <w:vAlign w:val="center"/>
          </w:tcPr>
          <w:p w14:paraId="09B86D43">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T</w:t>
            </w:r>
          </w:p>
        </w:tc>
        <w:tc>
          <w:tcPr>
            <w:tcW w:w="583" w:type="pct"/>
            <w:shd w:val="clear" w:color="auto" w:fill="auto"/>
            <w:noWrap w:val="0"/>
            <w:vAlign w:val="center"/>
          </w:tcPr>
          <w:p w14:paraId="09802B10">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HW50</w:t>
            </w:r>
          </w:p>
        </w:tc>
        <w:tc>
          <w:tcPr>
            <w:tcW w:w="635" w:type="pct"/>
            <w:shd w:val="clear" w:color="auto" w:fill="auto"/>
            <w:noWrap w:val="0"/>
            <w:vAlign w:val="center"/>
          </w:tcPr>
          <w:p w14:paraId="2761F44B">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eastAsia" w:ascii="Times New Roman" w:hAnsi="Times New Roman" w:cs="Times New Roman"/>
                <w:color w:val="auto"/>
                <w:spacing w:val="0"/>
                <w:w w:val="100"/>
                <w:kern w:val="0"/>
                <w:position w:val="0"/>
                <w:sz w:val="21"/>
                <w:szCs w:val="21"/>
                <w:lang w:val="en-US" w:eastAsia="zh-CN" w:bidi="ar"/>
              </w:rPr>
              <w:t>900-049-50</w:t>
            </w:r>
          </w:p>
        </w:tc>
        <w:tc>
          <w:tcPr>
            <w:tcW w:w="517" w:type="pct"/>
            <w:shd w:val="clear" w:color="auto" w:fill="auto"/>
            <w:noWrap w:val="0"/>
            <w:vAlign w:val="center"/>
          </w:tcPr>
          <w:p w14:paraId="7474E3B2">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eastAsia" w:ascii="Times New Roman" w:hAnsi="Times New Roman" w:cs="Times New Roman"/>
                <w:color w:val="auto"/>
                <w:spacing w:val="0"/>
                <w:w w:val="100"/>
                <w:position w:val="0"/>
                <w:sz w:val="21"/>
                <w:szCs w:val="21"/>
                <w:highlight w:val="none"/>
                <w:lang w:val="en-US" w:eastAsia="zh-CN"/>
              </w:rPr>
              <w:t>0.5t/3a</w:t>
            </w:r>
          </w:p>
        </w:tc>
        <w:tc>
          <w:tcPr>
            <w:tcW w:w="361" w:type="pct"/>
            <w:shd w:val="clear" w:color="auto" w:fill="auto"/>
            <w:noWrap w:val="0"/>
            <w:vAlign w:val="center"/>
          </w:tcPr>
          <w:p w14:paraId="09B9639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textAlignment w:val="auto"/>
              <w:rPr>
                <w:rFonts w:hint="default" w:ascii="Times New Roman" w:hAnsi="Times New Roman" w:eastAsia="宋体" w:cstheme="minorBidi"/>
                <w:color w:val="auto"/>
                <w:spacing w:val="0"/>
                <w:w w:val="100"/>
                <w:kern w:val="0"/>
                <w:position w:val="0"/>
                <w:sz w:val="21"/>
                <w:szCs w:val="21"/>
                <w:highlight w:val="none"/>
                <w:lang w:val="en-US" w:eastAsia="zh-CN" w:bidi="ar-SA"/>
              </w:rPr>
            </w:pPr>
            <w:r>
              <w:rPr>
                <w:rFonts w:hint="eastAsia"/>
                <w:color w:val="auto"/>
                <w:spacing w:val="0"/>
                <w:w w:val="100"/>
                <w:position w:val="0"/>
                <w:sz w:val="21"/>
                <w:szCs w:val="21"/>
                <w:highlight w:val="none"/>
                <w:lang w:val="en-US" w:eastAsia="zh-CN"/>
              </w:rPr>
              <w:t>固态</w:t>
            </w:r>
          </w:p>
        </w:tc>
        <w:tc>
          <w:tcPr>
            <w:tcW w:w="736" w:type="pct"/>
            <w:vMerge w:val="continue"/>
            <w:shd w:val="clear" w:color="auto" w:fill="auto"/>
            <w:noWrap w:val="0"/>
            <w:vAlign w:val="center"/>
          </w:tcPr>
          <w:p w14:paraId="44F3BDB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textAlignment w:val="auto"/>
              <w:rPr>
                <w:rFonts w:hint="eastAsia" w:ascii="Times New Roman" w:hAnsi="Times New Roman" w:eastAsia="宋体" w:cstheme="minorBidi"/>
                <w:color w:val="auto"/>
                <w:spacing w:val="0"/>
                <w:w w:val="100"/>
                <w:kern w:val="0"/>
                <w:position w:val="0"/>
                <w:sz w:val="21"/>
                <w:szCs w:val="21"/>
                <w:highlight w:val="none"/>
                <w:lang w:val="en-US" w:eastAsia="zh-CN" w:bidi="ar-SA"/>
              </w:rPr>
            </w:pPr>
          </w:p>
        </w:tc>
      </w:tr>
      <w:tr w14:paraId="5E476F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322" w:type="pct"/>
            <w:shd w:val="clear" w:color="auto" w:fill="auto"/>
            <w:noWrap w:val="0"/>
            <w:vAlign w:val="center"/>
          </w:tcPr>
          <w:p w14:paraId="1E72A2A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textAlignment w:val="auto"/>
              <w:rPr>
                <w:rFonts w:hint="default" w:eastAsia="宋体"/>
                <w:color w:val="auto"/>
                <w:spacing w:val="0"/>
                <w:w w:val="100"/>
                <w:position w:val="0"/>
                <w:sz w:val="21"/>
                <w:szCs w:val="21"/>
                <w:highlight w:val="none"/>
                <w:lang w:val="en-US" w:eastAsia="zh-CN"/>
              </w:rPr>
            </w:pPr>
            <w:r>
              <w:rPr>
                <w:rFonts w:hint="eastAsia"/>
                <w:color w:val="auto"/>
                <w:spacing w:val="0"/>
                <w:w w:val="100"/>
                <w:position w:val="0"/>
                <w:sz w:val="21"/>
                <w:szCs w:val="21"/>
                <w:highlight w:val="none"/>
                <w:lang w:val="en-US" w:eastAsia="zh-CN"/>
              </w:rPr>
              <w:t>4</w:t>
            </w:r>
          </w:p>
        </w:tc>
        <w:tc>
          <w:tcPr>
            <w:tcW w:w="1040" w:type="pct"/>
            <w:shd w:val="clear" w:color="auto" w:fill="auto"/>
            <w:noWrap w:val="0"/>
            <w:vAlign w:val="center"/>
          </w:tcPr>
          <w:p w14:paraId="41617C54">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r>
              <w:rPr>
                <w:rFonts w:hint="eastAsia" w:ascii="Times New Roman" w:hAnsi="Times New Roman" w:cs="Times New Roman"/>
                <w:color w:val="auto"/>
                <w:spacing w:val="0"/>
                <w:w w:val="100"/>
                <w:kern w:val="0"/>
                <w:position w:val="0"/>
                <w:sz w:val="21"/>
                <w:szCs w:val="21"/>
                <w:lang w:val="en-US" w:eastAsia="zh-CN" w:bidi="ar"/>
              </w:rPr>
              <w:t>废过滤棉</w:t>
            </w:r>
          </w:p>
        </w:tc>
        <w:tc>
          <w:tcPr>
            <w:tcW w:w="803" w:type="pct"/>
            <w:shd w:val="clear" w:color="auto" w:fill="auto"/>
            <w:noWrap w:val="0"/>
            <w:vAlign w:val="center"/>
          </w:tcPr>
          <w:p w14:paraId="4A9E60F5">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r>
              <w:rPr>
                <w:rFonts w:hint="eastAsia" w:ascii="Times New Roman" w:hAnsi="Times New Roman" w:cs="Times New Roman"/>
                <w:color w:val="auto"/>
                <w:spacing w:val="0"/>
                <w:w w:val="100"/>
                <w:kern w:val="0"/>
                <w:position w:val="0"/>
                <w:sz w:val="21"/>
                <w:szCs w:val="21"/>
                <w:lang w:val="en-US" w:eastAsia="zh-CN" w:bidi="ar"/>
              </w:rPr>
              <w:t>T</w:t>
            </w:r>
          </w:p>
        </w:tc>
        <w:tc>
          <w:tcPr>
            <w:tcW w:w="583" w:type="pct"/>
            <w:shd w:val="clear" w:color="auto" w:fill="auto"/>
            <w:noWrap w:val="0"/>
            <w:vAlign w:val="center"/>
          </w:tcPr>
          <w:p w14:paraId="5BFA47D9">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r>
              <w:rPr>
                <w:rFonts w:hint="eastAsia" w:ascii="Times New Roman" w:hAnsi="Times New Roman" w:cs="Times New Roman"/>
                <w:color w:val="auto"/>
                <w:spacing w:val="0"/>
                <w:w w:val="100"/>
                <w:kern w:val="0"/>
                <w:position w:val="0"/>
                <w:sz w:val="21"/>
                <w:szCs w:val="21"/>
                <w:lang w:val="en-US" w:eastAsia="zh-CN" w:bidi="ar"/>
              </w:rPr>
              <w:t>HW49</w:t>
            </w:r>
          </w:p>
        </w:tc>
        <w:tc>
          <w:tcPr>
            <w:tcW w:w="635" w:type="pct"/>
            <w:shd w:val="clear" w:color="auto" w:fill="auto"/>
            <w:noWrap w:val="0"/>
            <w:vAlign w:val="center"/>
          </w:tcPr>
          <w:p w14:paraId="070DDB6E">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color w:val="auto"/>
                <w:spacing w:val="0"/>
                <w:w w:val="100"/>
                <w:kern w:val="0"/>
                <w:position w:val="0"/>
                <w:sz w:val="21"/>
                <w:szCs w:val="21"/>
                <w:lang w:val="en-US" w:eastAsia="zh-CN" w:bidi="ar"/>
              </w:rPr>
            </w:pPr>
            <w:r>
              <w:rPr>
                <w:rFonts w:hint="default" w:ascii="Times New Roman" w:hAnsi="Times New Roman" w:eastAsia="宋体" w:cs="Times New Roman"/>
                <w:color w:val="auto"/>
                <w:spacing w:val="0"/>
                <w:w w:val="100"/>
                <w:position w:val="0"/>
                <w:sz w:val="21"/>
                <w:szCs w:val="21"/>
                <w:highlight w:val="none"/>
                <w:lang w:val="en-US" w:eastAsia="zh-CN"/>
              </w:rPr>
              <w:t>900-041-49</w:t>
            </w:r>
          </w:p>
        </w:tc>
        <w:tc>
          <w:tcPr>
            <w:tcW w:w="517" w:type="pct"/>
            <w:shd w:val="clear" w:color="auto" w:fill="auto"/>
            <w:noWrap w:val="0"/>
            <w:vAlign w:val="center"/>
          </w:tcPr>
          <w:p w14:paraId="7598470B">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position w:val="0"/>
                <w:sz w:val="21"/>
                <w:szCs w:val="21"/>
                <w:highlight w:val="none"/>
                <w:lang w:val="en-US" w:eastAsia="zh-CN"/>
              </w:rPr>
            </w:pPr>
            <w:r>
              <w:rPr>
                <w:rFonts w:hint="eastAsia" w:ascii="Times New Roman" w:hAnsi="Times New Roman" w:cs="Times New Roman"/>
                <w:color w:val="auto"/>
                <w:spacing w:val="0"/>
                <w:w w:val="100"/>
                <w:position w:val="0"/>
                <w:sz w:val="21"/>
                <w:szCs w:val="21"/>
                <w:highlight w:val="none"/>
                <w:lang w:val="en-US" w:eastAsia="zh-CN"/>
              </w:rPr>
              <w:t>0.5t/a</w:t>
            </w:r>
          </w:p>
        </w:tc>
        <w:tc>
          <w:tcPr>
            <w:tcW w:w="361" w:type="pct"/>
            <w:shd w:val="clear" w:color="auto" w:fill="auto"/>
            <w:noWrap w:val="0"/>
            <w:vAlign w:val="center"/>
          </w:tcPr>
          <w:p w14:paraId="562B7B8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textAlignment w:val="auto"/>
              <w:rPr>
                <w:rFonts w:hint="default"/>
                <w:color w:val="auto"/>
                <w:spacing w:val="0"/>
                <w:w w:val="100"/>
                <w:position w:val="0"/>
                <w:sz w:val="21"/>
                <w:szCs w:val="21"/>
                <w:highlight w:val="none"/>
                <w:lang w:val="en-US" w:eastAsia="zh-CN"/>
              </w:rPr>
            </w:pPr>
            <w:r>
              <w:rPr>
                <w:rFonts w:hint="eastAsia"/>
                <w:color w:val="auto"/>
                <w:spacing w:val="0"/>
                <w:w w:val="100"/>
                <w:position w:val="0"/>
                <w:sz w:val="21"/>
                <w:szCs w:val="21"/>
                <w:highlight w:val="none"/>
                <w:lang w:val="en-US" w:eastAsia="zh-CN"/>
              </w:rPr>
              <w:t>固态</w:t>
            </w:r>
          </w:p>
        </w:tc>
        <w:tc>
          <w:tcPr>
            <w:tcW w:w="736" w:type="pct"/>
            <w:vMerge w:val="continue"/>
            <w:shd w:val="clear" w:color="auto" w:fill="auto"/>
            <w:noWrap w:val="0"/>
            <w:vAlign w:val="center"/>
          </w:tcPr>
          <w:p w14:paraId="013ACBE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textAlignment w:val="auto"/>
              <w:rPr>
                <w:rFonts w:hint="eastAsia" w:ascii="Times New Roman" w:hAnsi="Times New Roman" w:eastAsia="宋体" w:cstheme="minorBidi"/>
                <w:color w:val="auto"/>
                <w:spacing w:val="0"/>
                <w:w w:val="100"/>
                <w:kern w:val="0"/>
                <w:position w:val="0"/>
                <w:sz w:val="21"/>
                <w:szCs w:val="21"/>
                <w:highlight w:val="none"/>
                <w:lang w:val="en-US" w:eastAsia="zh-CN" w:bidi="ar-SA"/>
              </w:rPr>
            </w:pPr>
          </w:p>
        </w:tc>
      </w:tr>
      <w:tr w14:paraId="6231A8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322" w:type="pct"/>
            <w:shd w:val="clear" w:color="auto" w:fill="auto"/>
            <w:noWrap w:val="0"/>
            <w:vAlign w:val="center"/>
          </w:tcPr>
          <w:p w14:paraId="24CBCF8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textAlignment w:val="auto"/>
              <w:rPr>
                <w:rFonts w:hint="default" w:eastAsia="宋体"/>
                <w:color w:val="auto"/>
                <w:spacing w:val="0"/>
                <w:w w:val="100"/>
                <w:position w:val="0"/>
                <w:sz w:val="21"/>
                <w:szCs w:val="21"/>
                <w:highlight w:val="none"/>
                <w:lang w:val="en-US" w:eastAsia="zh-CN"/>
              </w:rPr>
            </w:pPr>
            <w:r>
              <w:rPr>
                <w:rFonts w:hint="eastAsia"/>
                <w:color w:val="auto"/>
                <w:spacing w:val="0"/>
                <w:w w:val="100"/>
                <w:position w:val="0"/>
                <w:sz w:val="21"/>
                <w:szCs w:val="21"/>
                <w:highlight w:val="none"/>
                <w:lang w:val="en-US" w:eastAsia="zh-CN"/>
              </w:rPr>
              <w:t>5</w:t>
            </w:r>
          </w:p>
        </w:tc>
        <w:tc>
          <w:tcPr>
            <w:tcW w:w="1040" w:type="pct"/>
            <w:shd w:val="clear" w:color="auto" w:fill="auto"/>
            <w:noWrap w:val="0"/>
            <w:vAlign w:val="center"/>
          </w:tcPr>
          <w:p w14:paraId="0B9EF965">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废活性炭</w:t>
            </w:r>
          </w:p>
        </w:tc>
        <w:tc>
          <w:tcPr>
            <w:tcW w:w="803" w:type="pct"/>
            <w:shd w:val="clear" w:color="auto" w:fill="auto"/>
            <w:noWrap w:val="0"/>
            <w:vAlign w:val="center"/>
          </w:tcPr>
          <w:p w14:paraId="1FF54BCE">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T</w:t>
            </w:r>
          </w:p>
        </w:tc>
        <w:tc>
          <w:tcPr>
            <w:tcW w:w="583" w:type="pct"/>
            <w:shd w:val="clear" w:color="auto" w:fill="auto"/>
            <w:noWrap w:val="0"/>
            <w:vAlign w:val="center"/>
          </w:tcPr>
          <w:p w14:paraId="28E193AA">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HW49</w:t>
            </w:r>
          </w:p>
        </w:tc>
        <w:tc>
          <w:tcPr>
            <w:tcW w:w="635" w:type="pct"/>
            <w:shd w:val="clear" w:color="auto" w:fill="auto"/>
            <w:noWrap w:val="0"/>
            <w:vAlign w:val="center"/>
          </w:tcPr>
          <w:p w14:paraId="182DDDEC">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eastAsia="宋体" w:cs="Times New Roman"/>
                <w:color w:val="auto"/>
                <w:spacing w:val="0"/>
                <w:w w:val="100"/>
                <w:position w:val="0"/>
                <w:sz w:val="21"/>
                <w:szCs w:val="21"/>
                <w:highlight w:val="none"/>
                <w:lang w:val="en-US" w:eastAsia="zh-CN"/>
              </w:rPr>
              <w:t>900-039-49</w:t>
            </w:r>
          </w:p>
        </w:tc>
        <w:tc>
          <w:tcPr>
            <w:tcW w:w="517" w:type="pct"/>
            <w:shd w:val="clear" w:color="auto" w:fill="auto"/>
            <w:noWrap w:val="0"/>
            <w:vAlign w:val="center"/>
          </w:tcPr>
          <w:p w14:paraId="4A019719">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w w:val="100"/>
                <w:kern w:val="2"/>
                <w:position w:val="0"/>
                <w:sz w:val="21"/>
                <w:szCs w:val="21"/>
                <w:highlight w:val="none"/>
                <w:lang w:val="en-US" w:eastAsia="zh-CN" w:bidi="ar-SA"/>
              </w:rPr>
            </w:pPr>
            <w:r>
              <w:rPr>
                <w:rFonts w:hint="eastAsia" w:ascii="Times New Roman" w:hAnsi="Times New Roman" w:cs="Times New Roman"/>
                <w:color w:val="auto"/>
                <w:spacing w:val="0"/>
                <w:w w:val="100"/>
                <w:position w:val="0"/>
                <w:sz w:val="21"/>
                <w:szCs w:val="21"/>
                <w:highlight w:val="none"/>
                <w:lang w:val="en-US" w:eastAsia="zh-CN"/>
              </w:rPr>
              <w:t>2.5</w:t>
            </w:r>
          </w:p>
        </w:tc>
        <w:tc>
          <w:tcPr>
            <w:tcW w:w="361" w:type="pct"/>
            <w:shd w:val="clear" w:color="auto" w:fill="auto"/>
            <w:noWrap w:val="0"/>
            <w:vAlign w:val="center"/>
          </w:tcPr>
          <w:p w14:paraId="3AAEA89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textAlignment w:val="auto"/>
              <w:rPr>
                <w:rFonts w:hint="eastAsia" w:ascii="Times New Roman" w:hAnsi="Times New Roman" w:eastAsia="宋体" w:cstheme="minorBidi"/>
                <w:color w:val="auto"/>
                <w:spacing w:val="0"/>
                <w:w w:val="100"/>
                <w:kern w:val="0"/>
                <w:position w:val="0"/>
                <w:sz w:val="21"/>
                <w:szCs w:val="21"/>
                <w:highlight w:val="none"/>
                <w:lang w:val="en-US" w:eastAsia="zh-CN" w:bidi="ar-SA"/>
              </w:rPr>
            </w:pPr>
            <w:r>
              <w:rPr>
                <w:rFonts w:hint="eastAsia"/>
                <w:color w:val="auto"/>
                <w:spacing w:val="0"/>
                <w:w w:val="100"/>
                <w:position w:val="0"/>
                <w:sz w:val="21"/>
                <w:szCs w:val="21"/>
                <w:highlight w:val="none"/>
                <w:lang w:val="en-US" w:eastAsia="zh-CN"/>
              </w:rPr>
              <w:t>固态</w:t>
            </w:r>
          </w:p>
        </w:tc>
        <w:tc>
          <w:tcPr>
            <w:tcW w:w="736" w:type="pct"/>
            <w:vMerge w:val="continue"/>
            <w:noWrap w:val="0"/>
            <w:vAlign w:val="center"/>
          </w:tcPr>
          <w:p w14:paraId="27FD88A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textAlignment w:val="auto"/>
              <w:rPr>
                <w:rFonts w:hint="default" w:eastAsia="宋体"/>
                <w:color w:val="auto"/>
                <w:spacing w:val="0"/>
                <w:w w:val="100"/>
                <w:position w:val="0"/>
                <w:sz w:val="21"/>
                <w:szCs w:val="21"/>
                <w:highlight w:val="none"/>
                <w:lang w:val="en-US" w:eastAsia="zh-CN"/>
              </w:rPr>
            </w:pPr>
          </w:p>
        </w:tc>
      </w:tr>
    </w:tbl>
    <w:p w14:paraId="64ACA452">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eastAsia" w:cs="Times New Roman"/>
          <w:caps w:val="0"/>
          <w:snapToGrid/>
          <w:color w:val="auto"/>
          <w:spacing w:val="0"/>
          <w:w w:val="100"/>
          <w:kern w:val="0"/>
          <w:position w:val="0"/>
          <w:highlight w:val="none"/>
          <w:shd w:val="clear" w:color="auto" w:fill="auto"/>
          <w:lang w:val="en-US" w:eastAsia="zh-CN"/>
        </w:rPr>
        <w:t>2</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）危险废物贮存过程中对周边环境的影响分析</w:t>
      </w:r>
    </w:p>
    <w:p w14:paraId="4D3BCF69">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①对地下水环境影响分析</w:t>
      </w:r>
    </w:p>
    <w:p w14:paraId="315286F6">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本项目危险废物主要为</w:t>
      </w:r>
      <w:r>
        <w:rPr>
          <w:rFonts w:hint="default" w:ascii="Times New Roman" w:hAnsi="Times New Roman" w:eastAsia="宋体" w:cs="Times New Roman"/>
          <w:caps w:val="0"/>
          <w:snapToGrid/>
          <w:color w:val="auto"/>
          <w:spacing w:val="0"/>
          <w:w w:val="100"/>
          <w:kern w:val="0"/>
          <w:position w:val="0"/>
          <w:highlight w:val="none"/>
        </w:rPr>
        <w:t>沾油废手套、抹布</w:t>
      </w:r>
      <w:r>
        <w:rPr>
          <w:rFonts w:hint="eastAsia" w:cs="Times New Roman"/>
          <w:caps w:val="0"/>
          <w:snapToGrid/>
          <w:color w:val="auto"/>
          <w:spacing w:val="0"/>
          <w:w w:val="100"/>
          <w:kern w:val="0"/>
          <w:position w:val="0"/>
          <w:highlight w:val="none"/>
          <w:lang w:eastAsia="zh-CN"/>
        </w:rPr>
        <w:t>、</w:t>
      </w:r>
      <w:r>
        <w:rPr>
          <w:rFonts w:hint="default" w:ascii="Times New Roman" w:hAnsi="Times New Roman" w:eastAsia="宋体" w:cs="Times New Roman"/>
          <w:caps w:val="0"/>
          <w:snapToGrid/>
          <w:color w:val="auto"/>
          <w:spacing w:val="0"/>
          <w:w w:val="100"/>
          <w:kern w:val="0"/>
          <w:position w:val="0"/>
          <w:highlight w:val="none"/>
        </w:rPr>
        <w:t>废机油</w:t>
      </w:r>
      <w:r>
        <w:rPr>
          <w:rFonts w:hint="eastAsia" w:cs="Times New Roman"/>
          <w:caps w:val="0"/>
          <w:snapToGrid/>
          <w:color w:val="auto"/>
          <w:spacing w:val="0"/>
          <w:w w:val="100"/>
          <w:kern w:val="0"/>
          <w:position w:val="0"/>
          <w:highlight w:val="none"/>
          <w:lang w:eastAsia="zh-CN"/>
        </w:rPr>
        <w:t>、</w:t>
      </w:r>
      <w:r>
        <w:rPr>
          <w:rFonts w:hint="default" w:ascii="Times New Roman" w:hAnsi="Times New Roman" w:eastAsia="宋体" w:cs="Times New Roman"/>
          <w:caps w:val="0"/>
          <w:snapToGrid/>
          <w:color w:val="auto"/>
          <w:spacing w:val="0"/>
          <w:w w:val="100"/>
          <w:kern w:val="0"/>
          <w:position w:val="0"/>
          <w:highlight w:val="none"/>
        </w:rPr>
        <w:t>废机油桶</w:t>
      </w:r>
      <w:r>
        <w:rPr>
          <w:rFonts w:hint="eastAsia" w:cs="Times New Roman"/>
          <w:caps w:val="0"/>
          <w:snapToGrid/>
          <w:color w:val="auto"/>
          <w:spacing w:val="0"/>
          <w:w w:val="100"/>
          <w:kern w:val="0"/>
          <w:position w:val="0"/>
          <w:highlight w:val="none"/>
          <w:lang w:eastAsia="zh-CN"/>
        </w:rPr>
        <w:t>、</w:t>
      </w:r>
      <w:r>
        <w:rPr>
          <w:rFonts w:hint="default" w:ascii="Times New Roman" w:hAnsi="Times New Roman" w:eastAsia="宋体" w:cs="Times New Roman"/>
          <w:caps w:val="0"/>
          <w:snapToGrid/>
          <w:color w:val="auto"/>
          <w:spacing w:val="0"/>
          <w:w w:val="100"/>
          <w:kern w:val="0"/>
          <w:position w:val="0"/>
          <w:highlight w:val="none"/>
        </w:rPr>
        <w:t>废催化剂</w:t>
      </w:r>
      <w:r>
        <w:rPr>
          <w:rFonts w:hint="eastAsia" w:cs="Times New Roman"/>
          <w:caps w:val="0"/>
          <w:snapToGrid/>
          <w:color w:val="auto"/>
          <w:spacing w:val="0"/>
          <w:w w:val="100"/>
          <w:kern w:val="0"/>
          <w:position w:val="0"/>
          <w:highlight w:val="none"/>
          <w:lang w:eastAsia="zh-CN"/>
        </w:rPr>
        <w:t>、</w:t>
      </w:r>
      <w:r>
        <w:rPr>
          <w:rFonts w:hint="default" w:ascii="Times New Roman" w:hAnsi="Times New Roman" w:eastAsia="宋体" w:cs="Times New Roman"/>
          <w:caps w:val="0"/>
          <w:snapToGrid/>
          <w:color w:val="auto"/>
          <w:spacing w:val="0"/>
          <w:w w:val="100"/>
          <w:kern w:val="0"/>
          <w:position w:val="0"/>
          <w:highlight w:val="none"/>
        </w:rPr>
        <w:t>废活性炭</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w:t>
      </w:r>
    </w:p>
    <w:p w14:paraId="3DD0CAF7">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eastAsia" w:cs="Times New Roman"/>
          <w:caps w:val="0"/>
          <w:snapToGrid/>
          <w:color w:val="auto"/>
          <w:spacing w:val="0"/>
          <w:w w:val="100"/>
          <w:kern w:val="0"/>
          <w:position w:val="0"/>
          <w:highlight w:val="none"/>
          <w:shd w:val="clear" w:color="auto" w:fill="auto"/>
          <w:lang w:val="en-US" w:eastAsia="zh-CN"/>
        </w:rPr>
        <w:t>废机油</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在厂区暂存时泄漏，未及时收集或者防渗不到位导致危险废物渗入地下，对地下水产生影响，但本项目采取严格的处理措施，对各危险废物均暂存于危废贮存库内，危废贮存库地面及墙角均采取防腐防渗措施，内设分区、围堰，可有效收集泄漏物料，将污染控制在厂区内，对项目区及周边地下水环境影响较小。</w:t>
      </w:r>
    </w:p>
    <w:p w14:paraId="4D11E4C0">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②对环境空气的影响分析</w:t>
      </w:r>
    </w:p>
    <w:p w14:paraId="2259F3A6">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本项目危险废物不露天堆置，不会受到大风天气影响，</w:t>
      </w:r>
      <w:r>
        <w:rPr>
          <w:rFonts w:hint="eastAsia" w:cs="Times New Roman"/>
          <w:caps w:val="0"/>
          <w:snapToGrid/>
          <w:color w:val="auto"/>
          <w:spacing w:val="0"/>
          <w:w w:val="100"/>
          <w:kern w:val="0"/>
          <w:position w:val="0"/>
          <w:highlight w:val="none"/>
          <w:shd w:val="clear" w:color="auto" w:fill="auto"/>
          <w:lang w:val="en-US" w:eastAsia="zh-CN"/>
        </w:rPr>
        <w:t>危险废物存放于危废贮存库中</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，对周围环境空气质量影响较小。</w:t>
      </w:r>
    </w:p>
    <w:p w14:paraId="2C8A951B">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③对土壤环境影响分析</w:t>
      </w:r>
    </w:p>
    <w:p w14:paraId="742CB842">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本项目</w:t>
      </w:r>
      <w:r>
        <w:rPr>
          <w:rFonts w:hint="eastAsia" w:cs="Times New Roman"/>
          <w:caps w:val="0"/>
          <w:snapToGrid/>
          <w:color w:val="auto"/>
          <w:spacing w:val="0"/>
          <w:w w:val="100"/>
          <w:kern w:val="0"/>
          <w:position w:val="0"/>
          <w:highlight w:val="none"/>
          <w:shd w:val="clear" w:color="auto" w:fill="auto"/>
          <w:lang w:val="en-US" w:eastAsia="zh-CN"/>
        </w:rPr>
        <w:t>废机油</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等危险废物在厂区暂存时泄漏，未及时收集或者防渗不到位将会对土壤产生影响，</w:t>
      </w:r>
      <w:r>
        <w:rPr>
          <w:rFonts w:hint="eastAsia" w:cs="Times New Roman"/>
          <w:caps w:val="0"/>
          <w:snapToGrid/>
          <w:color w:val="auto"/>
          <w:spacing w:val="0"/>
          <w:w w:val="100"/>
          <w:kern w:val="0"/>
          <w:position w:val="0"/>
          <w:highlight w:val="none"/>
          <w:shd w:val="clear" w:color="auto" w:fill="auto"/>
          <w:lang w:val="en-US" w:eastAsia="zh-CN"/>
        </w:rPr>
        <w:t>地面防渗</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采取严格的处理措施，各危险废物均暂存于危废贮存库内，危废贮存库地面及墙角均采取防腐防渗措施，内设分区、围堰、导流沟及收集池，可及时收集泄漏的危险废物，将污染控制在厂区内，对土壤环境影响较小。</w:t>
      </w:r>
    </w:p>
    <w:p w14:paraId="6C241CAC">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④对周边环境敏感目标的影响分析</w:t>
      </w:r>
    </w:p>
    <w:p w14:paraId="5F7F3777">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本项目各危险废物均暂存于危废贮存库内，危废贮存库地面及墙角均采取防腐防渗措施，内设分区围堰、导流沟及收集池，可及时收集泄漏的危险废物，基本将污染控制在厂区内，对周边环境敏感目标影响很小。</w:t>
      </w:r>
    </w:p>
    <w:p w14:paraId="78CA12B5">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（3）收集、运输过程环境影响分析</w:t>
      </w:r>
    </w:p>
    <w:p w14:paraId="734D7488">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运输过程主要指将危险废物集中运输到危险废物临时贮存设施的内部转运</w:t>
      </w:r>
      <w:r>
        <w:rPr>
          <w:rFonts w:hint="eastAsia" w:cs="Times New Roman"/>
          <w:caps w:val="0"/>
          <w:snapToGrid/>
          <w:color w:val="auto"/>
          <w:spacing w:val="0"/>
          <w:w w:val="100"/>
          <w:kern w:val="0"/>
          <w:position w:val="0"/>
          <w:highlight w:val="none"/>
          <w:shd w:val="clear" w:color="auto" w:fill="auto"/>
          <w:lang w:val="en-US" w:eastAsia="zh-CN"/>
        </w:rPr>
        <w:t>，</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液态危险废物在内部转运到临时贮存设施时可能发生倾倒、撒漏到厂区地面或车间地面造成对土壤、地下水等的不利影响，为此本项目应按照《危险废物收集</w:t>
      </w:r>
      <w:r>
        <w:rPr>
          <w:rFonts w:hint="eastAsia" w:cs="Times New Roman"/>
          <w:caps w:val="0"/>
          <w:snapToGrid/>
          <w:color w:val="auto"/>
          <w:spacing w:val="0"/>
          <w:w w:val="100"/>
          <w:kern w:val="0"/>
          <w:position w:val="0"/>
          <w:highlight w:val="none"/>
          <w:shd w:val="clear" w:color="auto" w:fill="auto"/>
          <w:lang w:val="en-US" w:eastAsia="zh-CN"/>
        </w:rPr>
        <w:t xml:space="preserve"> </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贮存</w:t>
      </w:r>
      <w:r>
        <w:rPr>
          <w:rFonts w:hint="eastAsia" w:cs="Times New Roman"/>
          <w:caps w:val="0"/>
          <w:snapToGrid/>
          <w:color w:val="auto"/>
          <w:spacing w:val="0"/>
          <w:w w:val="100"/>
          <w:kern w:val="0"/>
          <w:position w:val="0"/>
          <w:highlight w:val="none"/>
          <w:shd w:val="clear" w:color="auto" w:fill="auto"/>
          <w:lang w:val="en-US" w:eastAsia="zh-CN"/>
        </w:rPr>
        <w:t xml:space="preserve"> </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运输技术规范》（HJ2025-2012）的要求采取如下措施：</w:t>
      </w:r>
    </w:p>
    <w:p w14:paraId="791ADEAC">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①危险废物的收集应根据危险废物产生的工艺特征、排放周期、危险废物特性、废物管理计划等因素制定收集计划。</w:t>
      </w:r>
    </w:p>
    <w:p w14:paraId="6D01C727">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②危险废物的收集应制定详细的操作规程，内容至少应包括适用范围、操作程序和方法、专用设备和工具、转移和交接、安全保障和应急防护等。</w:t>
      </w:r>
    </w:p>
    <w:p w14:paraId="2A27DCDB">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③危险废物收集和转运作业人员应根据工作需要配备必要的个人防护装备，如手套、防护镜、防护服、防毒面具或口罩等。</w:t>
      </w:r>
    </w:p>
    <w:p w14:paraId="6CF5C2A9">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fldChar w:fldCharType="begin"/>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instrText xml:space="preserve"> = 4 \* GB3 \* MERGEFORMAT </w:instrTex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fldChar w:fldCharType="separate"/>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④</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fldChar w:fldCharType="end"/>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危险废物收集时应根据危险废物的种类、数量、危险特性、物理形态、运输要求等因素确定包装形式。</w:t>
      </w:r>
    </w:p>
    <w:p w14:paraId="72798DA0">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fldChar w:fldCharType="begin"/>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instrText xml:space="preserve"> = 5 \* GB3 \* MERGEFORMAT </w:instrTex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fldChar w:fldCharType="separate"/>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⑤</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fldChar w:fldCharType="end"/>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危险废物内部转运应综合考虑厂区的实际情况确定转运路线，转运时应避开办公生活区，本项目内部转运道路均已进行硬化，一定程度上可避免撒漏的危险废物立即接触土壤，可及时采取处理措施。</w:t>
      </w:r>
    </w:p>
    <w:p w14:paraId="68BF1F96">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fldChar w:fldCharType="begin"/>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instrText xml:space="preserve"> = 6 \* GB3 \* MERGEFORMAT </w:instrTex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fldChar w:fldCharType="separate"/>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⑥</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fldChar w:fldCharType="end"/>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危险废物内部转运作业应采用专用的工具，危险废物内部转运应参照《危险废物收集 贮存 运输技术规范》（HJ2025-2012）附录B，填写《危险废物厂内转运记录表》。</w:t>
      </w:r>
    </w:p>
    <w:p w14:paraId="034614ED">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fldChar w:fldCharType="begin"/>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instrText xml:space="preserve"> = 7 \* GB3 \* MERGEFORMAT </w:instrTex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fldChar w:fldCharType="separate"/>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⑦</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fldChar w:fldCharType="end"/>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危险废物内部转运结束后，应对转运路线进行检查和清理，确保无危险废物遗失在转运路线上。</w:t>
      </w:r>
    </w:p>
    <w:p w14:paraId="1DACA360">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fldChar w:fldCharType="begin"/>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instrText xml:space="preserve"> = 8 \* GB3 \* MERGEFORMAT </w:instrTex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fldChar w:fldCharType="separate"/>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⑧</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fldChar w:fldCharType="end"/>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在厂区内发生散落、泄漏时，运输人员及时用沙包、木屑等进行堵漏，防止蔓延。</w:t>
      </w:r>
    </w:p>
    <w:p w14:paraId="6A442F8D">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本项目危险废物产生位置和危险废物贮存设施距离较近，运输路线均在厂区内，在采取上述措施的情况下，危险废物在单位内部转运运输基本不会对周围环境造成不利影响。</w:t>
      </w:r>
    </w:p>
    <w:p w14:paraId="295CFD15">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综上所述，本项目危险废物的处理措施和处置方案在满足《危险废物贮存污染控制标准》（GB18597-2023）要求后，对周围环境影响较小。</w:t>
      </w:r>
    </w:p>
    <w:p w14:paraId="1308E069">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5.2.4.3生活垃圾影响分析</w:t>
      </w:r>
    </w:p>
    <w:p w14:paraId="49F2F646">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本项目生活垃圾产生量为</w:t>
      </w:r>
      <w:r>
        <w:rPr>
          <w:rFonts w:hint="eastAsia" w:cs="Times New Roman"/>
          <w:caps w:val="0"/>
          <w:snapToGrid/>
          <w:color w:val="auto"/>
          <w:spacing w:val="0"/>
          <w:w w:val="100"/>
          <w:kern w:val="0"/>
          <w:position w:val="0"/>
          <w:highlight w:val="none"/>
          <w:shd w:val="clear" w:color="auto" w:fill="auto"/>
          <w:lang w:val="en-US" w:eastAsia="zh-CN"/>
        </w:rPr>
        <w:t>10.038</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t/a。生活垃圾通过在厂区内设置垃圾箱集中收集后，由环卫部门定期收集及时清运处理，对当地环境影响较小。</w:t>
      </w:r>
    </w:p>
    <w:p w14:paraId="497D70E8">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综上，项目运行过程中产生的各类固体废物均采取相关措施，得到了合理处置，不会对周边环境造成明显不利影响。</w:t>
      </w:r>
    </w:p>
    <w:p w14:paraId="09CDF7C5">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5.2.5土壤环境影响预测与评价</w:t>
      </w:r>
    </w:p>
    <w:p w14:paraId="5ABDA92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根据</w:t>
      </w:r>
      <w:r>
        <w:rPr>
          <w:rFonts w:hint="eastAsia" w:cs="Times New Roman"/>
          <w:caps w:val="0"/>
          <w:snapToGrid/>
          <w:color w:val="auto"/>
          <w:spacing w:val="0"/>
          <w:w w:val="100"/>
          <w:kern w:val="0"/>
          <w:position w:val="0"/>
          <w:sz w:val="24"/>
          <w:szCs w:val="24"/>
          <w:highlight w:val="none"/>
          <w:lang w:val="en-US" w:eastAsia="zh-CN"/>
        </w:rPr>
        <w:t>“2.3.4土壤环境”章节土壤评价等级判定，</w:t>
      </w:r>
      <w:r>
        <w:rPr>
          <w:rFonts w:hint="default" w:ascii="Times New Roman" w:hAnsi="Times New Roman" w:eastAsia="宋体" w:cs="Times New Roman"/>
          <w:caps w:val="0"/>
          <w:snapToGrid/>
          <w:color w:val="auto"/>
          <w:spacing w:val="0"/>
          <w:w w:val="100"/>
          <w:kern w:val="21"/>
          <w:position w:val="0"/>
          <w:highlight w:val="none"/>
        </w:rPr>
        <w:t>确定本项目可不开展土壤环境影响评价工作</w:t>
      </w:r>
      <w:r>
        <w:rPr>
          <w:rFonts w:hint="eastAsia" w:cs="Times New Roman"/>
          <w:caps w:val="0"/>
          <w:snapToGrid/>
          <w:color w:val="auto"/>
          <w:spacing w:val="0"/>
          <w:w w:val="100"/>
          <w:kern w:val="21"/>
          <w:position w:val="0"/>
          <w:highlight w:val="none"/>
          <w:lang w:eastAsia="zh-CN"/>
        </w:rPr>
        <w:t>，</w:t>
      </w:r>
      <w:r>
        <w:rPr>
          <w:rFonts w:hint="eastAsia" w:ascii="Times New Roman" w:hAnsi="Times New Roman" w:eastAsia="宋体" w:cs="Times New Roman"/>
          <w:caps w:val="0"/>
          <w:snapToGrid/>
          <w:color w:val="auto"/>
          <w:spacing w:val="0"/>
          <w:w w:val="100"/>
          <w:kern w:val="21"/>
          <w:position w:val="0"/>
          <w:highlight w:val="none"/>
          <w:lang w:val="en-US" w:eastAsia="zh-CN"/>
        </w:rPr>
        <w:t>因此本次环评不再进行</w:t>
      </w:r>
      <w:r>
        <w:rPr>
          <w:rFonts w:hint="eastAsia" w:cs="Times New Roman"/>
          <w:caps w:val="0"/>
          <w:snapToGrid/>
          <w:color w:val="auto"/>
          <w:spacing w:val="0"/>
          <w:w w:val="100"/>
          <w:kern w:val="21"/>
          <w:position w:val="0"/>
          <w:highlight w:val="none"/>
          <w:lang w:val="en-US" w:eastAsia="zh-CN"/>
        </w:rPr>
        <w:t>土壤</w:t>
      </w:r>
      <w:r>
        <w:rPr>
          <w:rFonts w:hint="eastAsia" w:ascii="Times New Roman" w:hAnsi="Times New Roman" w:eastAsia="宋体" w:cs="Times New Roman"/>
          <w:caps w:val="0"/>
          <w:snapToGrid/>
          <w:color w:val="auto"/>
          <w:spacing w:val="0"/>
          <w:w w:val="100"/>
          <w:kern w:val="21"/>
          <w:position w:val="0"/>
          <w:highlight w:val="none"/>
          <w:lang w:val="en-US" w:eastAsia="zh-CN"/>
        </w:rPr>
        <w:t>环境影响</w:t>
      </w:r>
      <w:r>
        <w:rPr>
          <w:rFonts w:hint="eastAsia" w:cs="Times New Roman"/>
          <w:caps w:val="0"/>
          <w:snapToGrid/>
          <w:color w:val="auto"/>
          <w:spacing w:val="0"/>
          <w:w w:val="100"/>
          <w:kern w:val="21"/>
          <w:position w:val="0"/>
          <w:highlight w:val="none"/>
          <w:lang w:val="en-US" w:eastAsia="zh-CN"/>
        </w:rPr>
        <w:t>进行</w:t>
      </w:r>
      <w:r>
        <w:rPr>
          <w:rFonts w:hint="eastAsia" w:ascii="Times New Roman" w:hAnsi="Times New Roman" w:eastAsia="宋体" w:cs="Times New Roman"/>
          <w:caps w:val="0"/>
          <w:snapToGrid/>
          <w:color w:val="auto"/>
          <w:spacing w:val="0"/>
          <w:w w:val="100"/>
          <w:kern w:val="21"/>
          <w:position w:val="0"/>
          <w:highlight w:val="none"/>
          <w:lang w:val="en-US" w:eastAsia="zh-CN"/>
        </w:rPr>
        <w:t>评价。</w:t>
      </w:r>
    </w:p>
    <w:p w14:paraId="50193D1E">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5.</w:t>
      </w:r>
      <w:r>
        <w:rPr>
          <w:rFonts w:hint="eastAsia"/>
          <w:color w:val="auto"/>
          <w:spacing w:val="0"/>
          <w:w w:val="100"/>
          <w:position w:val="0"/>
          <w:highlight w:val="none"/>
          <w:lang w:val="en-US" w:eastAsia="zh-CN"/>
        </w:rPr>
        <w:t>2.6</w:t>
      </w:r>
      <w:r>
        <w:rPr>
          <w:rFonts w:hint="default"/>
          <w:color w:val="auto"/>
          <w:spacing w:val="0"/>
          <w:w w:val="100"/>
          <w:position w:val="0"/>
          <w:highlight w:val="none"/>
          <w:lang w:val="en-US" w:eastAsia="zh-CN"/>
        </w:rPr>
        <w:t>环境风险影响分析</w:t>
      </w:r>
    </w:p>
    <w:p w14:paraId="264C3D9D">
      <w:pPr>
        <w:pStyle w:val="5"/>
        <w:keepNext w:val="0"/>
        <w:keepLines w:val="0"/>
        <w:pageBreakBefore w:val="0"/>
        <w:widowControl w:val="0"/>
        <w:kinsoku/>
        <w:wordWrap/>
        <w:overflowPunct/>
        <w:topLinePunct w:val="0"/>
        <w:autoSpaceDE/>
        <w:autoSpaceDN/>
        <w:bidi w:val="0"/>
        <w:rPr>
          <w:rFonts w:hint="default"/>
          <w:color w:val="auto"/>
          <w:spacing w:val="0"/>
          <w:w w:val="100"/>
          <w:position w:val="0"/>
          <w:lang w:val="en-US" w:eastAsia="zh-CN"/>
        </w:rPr>
      </w:pPr>
      <w:r>
        <w:rPr>
          <w:rFonts w:hint="eastAsia"/>
          <w:color w:val="auto"/>
          <w:spacing w:val="0"/>
          <w:w w:val="100"/>
          <w:position w:val="0"/>
          <w:lang w:val="en-US" w:eastAsia="zh-CN"/>
        </w:rPr>
        <w:t>5.2.6.1</w:t>
      </w:r>
      <w:r>
        <w:rPr>
          <w:rFonts w:hint="default"/>
          <w:color w:val="auto"/>
          <w:spacing w:val="0"/>
          <w:w w:val="100"/>
          <w:position w:val="0"/>
          <w:lang w:val="en-US" w:eastAsia="zh-CN"/>
        </w:rPr>
        <w:t>评价依据</w:t>
      </w:r>
    </w:p>
    <w:p w14:paraId="444FC71D">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rPr>
      </w:pP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①风险调查</w:t>
      </w:r>
    </w:p>
    <w:p w14:paraId="44EE0B0F">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按照《建设项目环境风险评价技术导则》（HJ169-2018）的要求，环境风险评价应以突发性事故导致的危险物质环境急性损害防控为目标，对建设项目的环境风险进行分析、预测和评估，提出环境风险预防、控制、减缓措施，明确环境风险监控及应急要求，为建设项目环境风险防控提供科学依据。</w:t>
      </w:r>
    </w:p>
    <w:p w14:paraId="44B27677">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pacing w:val="0"/>
          <w:w w:val="100"/>
          <w:kern w:val="2"/>
          <w:position w:val="0"/>
          <w:sz w:val="24"/>
          <w:szCs w:val="24"/>
        </w:rPr>
      </w:pP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对照《建设项目环境风险评价技术导则》(HJ169-2018)附录B，根据表B.2其他危险物质临界量推荐值，根据GB30000.18《化学品分类和标签规范第18部分：急性毒性》，</w:t>
      </w:r>
      <w:r>
        <w:rPr>
          <w:rFonts w:hint="eastAsia" w:ascii="宋体" w:hAnsi="宋体" w:eastAsia="宋体" w:cs="宋体"/>
          <w:color w:val="auto"/>
          <w:spacing w:val="0"/>
          <w:w w:val="100"/>
          <w:kern w:val="2"/>
          <w:position w:val="0"/>
          <w:sz w:val="24"/>
          <w:szCs w:val="24"/>
          <w:lang w:val="en-US" w:eastAsia="zh-CN" w:bidi="ar"/>
        </w:rPr>
        <w:t>本项目生产过程中涉及的危险物质见表</w:t>
      </w:r>
      <w:r>
        <w:rPr>
          <w:rFonts w:hint="default" w:ascii="Times New Roman" w:hAnsi="Times New Roman" w:eastAsia="宋体" w:cs="Times New Roman"/>
          <w:color w:val="auto"/>
          <w:spacing w:val="0"/>
          <w:w w:val="100"/>
          <w:kern w:val="2"/>
          <w:position w:val="0"/>
          <w:sz w:val="24"/>
          <w:szCs w:val="24"/>
          <w:lang w:val="en-US" w:eastAsia="zh-CN" w:bidi="ar"/>
        </w:rPr>
        <w:t>5.2</w:t>
      </w:r>
      <w:r>
        <w:rPr>
          <w:rFonts w:hint="eastAsia" w:cs="Times New Roman"/>
          <w:color w:val="auto"/>
          <w:spacing w:val="0"/>
          <w:w w:val="100"/>
          <w:kern w:val="2"/>
          <w:position w:val="0"/>
          <w:sz w:val="24"/>
          <w:szCs w:val="24"/>
          <w:lang w:val="en-US" w:eastAsia="zh-CN" w:bidi="ar"/>
        </w:rPr>
        <w:t>.6-1</w:t>
      </w:r>
      <w:r>
        <w:rPr>
          <w:rFonts w:hint="eastAsia" w:ascii="宋体" w:hAnsi="宋体" w:eastAsia="宋体" w:cs="宋体"/>
          <w:color w:val="auto"/>
          <w:spacing w:val="0"/>
          <w:w w:val="100"/>
          <w:kern w:val="2"/>
          <w:position w:val="0"/>
          <w:sz w:val="24"/>
          <w:szCs w:val="24"/>
          <w:lang w:val="en-US" w:eastAsia="zh-CN" w:bidi="ar"/>
        </w:rPr>
        <w:t>。</w:t>
      </w:r>
    </w:p>
    <w:p w14:paraId="739B01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w w:val="100"/>
          <w:kern w:val="24"/>
          <w:position w:val="0"/>
          <w:sz w:val="21"/>
          <w:szCs w:val="21"/>
        </w:rPr>
      </w:pPr>
      <w:r>
        <w:rPr>
          <w:rFonts w:hint="eastAsia" w:ascii="宋体" w:hAnsi="宋体" w:eastAsia="宋体" w:cs="宋体"/>
          <w:b/>
          <w:bCs/>
          <w:color w:val="auto"/>
          <w:spacing w:val="0"/>
          <w:w w:val="100"/>
          <w:kern w:val="24"/>
          <w:position w:val="0"/>
          <w:sz w:val="21"/>
          <w:szCs w:val="21"/>
          <w:lang w:val="en-US" w:eastAsia="zh-CN" w:bidi="ar"/>
        </w:rPr>
        <w:t>表</w:t>
      </w:r>
      <w:r>
        <w:rPr>
          <w:rFonts w:hint="default" w:ascii="Times New Roman" w:hAnsi="Times New Roman" w:eastAsia="宋体" w:cs="Times New Roman"/>
          <w:b/>
          <w:bCs/>
          <w:color w:val="auto"/>
          <w:spacing w:val="0"/>
          <w:w w:val="100"/>
          <w:kern w:val="24"/>
          <w:position w:val="0"/>
          <w:sz w:val="21"/>
          <w:szCs w:val="21"/>
          <w:lang w:val="en-US" w:eastAsia="zh-CN" w:bidi="ar"/>
        </w:rPr>
        <w:t>5.2</w:t>
      </w:r>
      <w:r>
        <w:rPr>
          <w:rFonts w:hint="eastAsia" w:cs="Times New Roman"/>
          <w:b/>
          <w:bCs/>
          <w:color w:val="auto"/>
          <w:spacing w:val="0"/>
          <w:w w:val="100"/>
          <w:kern w:val="24"/>
          <w:position w:val="0"/>
          <w:sz w:val="21"/>
          <w:szCs w:val="21"/>
          <w:lang w:val="en-US" w:eastAsia="zh-CN" w:bidi="ar"/>
        </w:rPr>
        <w:t>.6-1</w:t>
      </w:r>
      <w:r>
        <w:rPr>
          <w:rFonts w:hint="default" w:ascii="Times New Roman" w:hAnsi="Times New Roman" w:eastAsia="宋体" w:cs="Times New Roman"/>
          <w:b/>
          <w:bCs/>
          <w:color w:val="auto"/>
          <w:spacing w:val="0"/>
          <w:w w:val="100"/>
          <w:kern w:val="24"/>
          <w:position w:val="0"/>
          <w:sz w:val="21"/>
          <w:szCs w:val="21"/>
          <w:lang w:val="en-US" w:eastAsia="zh-CN" w:bidi="ar"/>
        </w:rPr>
        <w:t xml:space="preserve">  </w:t>
      </w:r>
      <w:r>
        <w:rPr>
          <w:rFonts w:hint="eastAsia" w:ascii="宋体" w:hAnsi="宋体" w:eastAsia="宋体" w:cs="宋体"/>
          <w:b/>
          <w:bCs/>
          <w:color w:val="auto"/>
          <w:spacing w:val="0"/>
          <w:w w:val="100"/>
          <w:kern w:val="24"/>
          <w:position w:val="0"/>
          <w:sz w:val="21"/>
          <w:szCs w:val="21"/>
          <w:lang w:val="en-US" w:eastAsia="zh-CN" w:bidi="ar"/>
        </w:rPr>
        <w:t>环境风险物质存</w:t>
      </w:r>
      <w:r>
        <w:rPr>
          <w:rFonts w:hint="eastAsia" w:ascii="宋体" w:hAnsi="宋体" w:eastAsia="宋体" w:cs="宋体"/>
          <w:b/>
          <w:bCs/>
          <w:color w:val="auto"/>
          <w:spacing w:val="0"/>
          <w:w w:val="100"/>
          <w:kern w:val="24"/>
          <w:position w:val="0"/>
          <w:sz w:val="21"/>
          <w:szCs w:val="21"/>
          <w:lang w:val="en-US" w:eastAsia="zh" w:bidi="ar"/>
        </w:rPr>
        <w:t>识别</w:t>
      </w:r>
      <w:r>
        <w:rPr>
          <w:rFonts w:hint="eastAsia" w:ascii="宋体" w:hAnsi="宋体" w:eastAsia="宋体" w:cs="宋体"/>
          <w:b/>
          <w:bCs/>
          <w:color w:val="auto"/>
          <w:spacing w:val="0"/>
          <w:w w:val="100"/>
          <w:kern w:val="24"/>
          <w:position w:val="0"/>
          <w:sz w:val="21"/>
          <w:szCs w:val="21"/>
          <w:lang w:val="en-US" w:eastAsia="zh-CN" w:bidi="ar"/>
        </w:rPr>
        <w:t>一览表</w:t>
      </w:r>
    </w:p>
    <w:tbl>
      <w:tblPr>
        <w:tblStyle w:val="25"/>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autofit"/>
        <w:tblCellMar>
          <w:top w:w="57" w:type="dxa"/>
          <w:left w:w="57" w:type="dxa"/>
          <w:bottom w:w="57" w:type="dxa"/>
          <w:right w:w="57" w:type="dxa"/>
        </w:tblCellMar>
      </w:tblPr>
      <w:tblGrid>
        <w:gridCol w:w="761"/>
        <w:gridCol w:w="1755"/>
        <w:gridCol w:w="3720"/>
        <w:gridCol w:w="1365"/>
        <w:gridCol w:w="1351"/>
      </w:tblGrid>
      <w:tr w14:paraId="313C70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57" w:type="dxa"/>
            <w:left w:w="57" w:type="dxa"/>
            <w:bottom w:w="57" w:type="dxa"/>
            <w:right w:w="57" w:type="dxa"/>
          </w:tblCellMar>
        </w:tblPrEx>
        <w:trPr>
          <w:trHeight w:val="0" w:hRule="atLeast"/>
          <w:jc w:val="center"/>
        </w:trPr>
        <w:tc>
          <w:tcPr>
            <w:tcW w:w="425" w:type="pct"/>
            <w:tcBorders>
              <w:tl2br w:val="nil"/>
              <w:tr2bl w:val="nil"/>
            </w:tcBorders>
            <w:shd w:val="clear" w:color="auto" w:fill="auto"/>
            <w:vAlign w:val="center"/>
          </w:tcPr>
          <w:p w14:paraId="3C82B2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w w:val="100"/>
                <w:kern w:val="2"/>
                <w:position w:val="0"/>
                <w:sz w:val="21"/>
                <w:szCs w:val="21"/>
              </w:rPr>
            </w:pPr>
            <w:r>
              <w:rPr>
                <w:rFonts w:hint="eastAsia" w:ascii="宋体" w:hAnsi="宋体" w:eastAsia="宋体" w:cs="宋体"/>
                <w:b/>
                <w:bCs/>
                <w:color w:val="auto"/>
                <w:spacing w:val="0"/>
                <w:w w:val="100"/>
                <w:kern w:val="2"/>
                <w:position w:val="0"/>
                <w:sz w:val="21"/>
                <w:szCs w:val="21"/>
                <w:lang w:val="en-US" w:eastAsia="zh-CN" w:bidi="ar"/>
              </w:rPr>
              <w:t>序号</w:t>
            </w:r>
          </w:p>
        </w:tc>
        <w:tc>
          <w:tcPr>
            <w:tcW w:w="980" w:type="pct"/>
            <w:tcBorders>
              <w:tl2br w:val="nil"/>
              <w:tr2bl w:val="nil"/>
            </w:tcBorders>
            <w:shd w:val="clear" w:color="auto" w:fill="auto"/>
            <w:vAlign w:val="center"/>
          </w:tcPr>
          <w:p w14:paraId="0BFD70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w w:val="100"/>
                <w:kern w:val="2"/>
                <w:position w:val="0"/>
                <w:sz w:val="21"/>
                <w:szCs w:val="21"/>
              </w:rPr>
            </w:pPr>
            <w:r>
              <w:rPr>
                <w:rFonts w:hint="eastAsia" w:ascii="宋体" w:hAnsi="宋体" w:eastAsia="宋体" w:cs="宋体"/>
                <w:b/>
                <w:bCs/>
                <w:color w:val="auto"/>
                <w:spacing w:val="0"/>
                <w:w w:val="100"/>
                <w:kern w:val="2"/>
                <w:position w:val="0"/>
                <w:sz w:val="21"/>
                <w:szCs w:val="21"/>
                <w:lang w:val="en-US" w:eastAsia="zh-CN" w:bidi="ar"/>
              </w:rPr>
              <w:t>物料名称</w:t>
            </w:r>
          </w:p>
        </w:tc>
        <w:tc>
          <w:tcPr>
            <w:tcW w:w="2077" w:type="pct"/>
            <w:tcBorders>
              <w:tl2br w:val="nil"/>
              <w:tr2bl w:val="nil"/>
            </w:tcBorders>
            <w:shd w:val="clear" w:color="auto" w:fill="auto"/>
            <w:vAlign w:val="center"/>
          </w:tcPr>
          <w:p w14:paraId="45D610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bCs/>
                <w:color w:val="auto"/>
                <w:spacing w:val="0"/>
                <w:w w:val="100"/>
                <w:kern w:val="2"/>
                <w:position w:val="0"/>
                <w:sz w:val="21"/>
                <w:szCs w:val="21"/>
              </w:rPr>
            </w:pPr>
            <w:r>
              <w:rPr>
                <w:rFonts w:hint="eastAsia" w:ascii="宋体" w:hAnsi="宋体" w:eastAsia="宋体" w:cs="宋体"/>
                <w:b/>
                <w:bCs/>
                <w:color w:val="auto"/>
                <w:spacing w:val="0"/>
                <w:w w:val="100"/>
                <w:kern w:val="2"/>
                <w:position w:val="0"/>
                <w:sz w:val="21"/>
                <w:szCs w:val="21"/>
                <w:lang w:val="en-US" w:eastAsia="zh-CN" w:bidi="ar"/>
              </w:rPr>
              <w:t>主要成分</w:t>
            </w:r>
          </w:p>
        </w:tc>
        <w:tc>
          <w:tcPr>
            <w:tcW w:w="762" w:type="pct"/>
            <w:tcBorders>
              <w:tl2br w:val="nil"/>
              <w:tr2bl w:val="nil"/>
            </w:tcBorders>
            <w:shd w:val="clear" w:color="auto" w:fill="auto"/>
            <w:vAlign w:val="center"/>
          </w:tcPr>
          <w:p w14:paraId="0E4495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b/>
                <w:bCs/>
                <w:color w:val="auto"/>
                <w:spacing w:val="0"/>
                <w:w w:val="100"/>
                <w:kern w:val="2"/>
                <w:position w:val="0"/>
                <w:sz w:val="21"/>
                <w:szCs w:val="21"/>
              </w:rPr>
            </w:pPr>
            <w:r>
              <w:rPr>
                <w:rFonts w:hint="eastAsia" w:ascii="宋体" w:hAnsi="宋体" w:eastAsia="宋体" w:cs="宋体"/>
                <w:b/>
                <w:bCs/>
                <w:color w:val="auto"/>
                <w:spacing w:val="0"/>
                <w:w w:val="100"/>
                <w:kern w:val="2"/>
                <w:position w:val="0"/>
                <w:sz w:val="21"/>
                <w:szCs w:val="21"/>
                <w:lang w:val="en-US" w:eastAsia="zh-CN" w:bidi="ar"/>
              </w:rPr>
              <w:t>风险物质</w:t>
            </w:r>
          </w:p>
        </w:tc>
        <w:tc>
          <w:tcPr>
            <w:tcW w:w="754" w:type="pct"/>
            <w:tcBorders>
              <w:tl2br w:val="nil"/>
              <w:tr2bl w:val="nil"/>
            </w:tcBorders>
            <w:shd w:val="clear" w:color="auto" w:fill="auto"/>
            <w:vAlign w:val="center"/>
          </w:tcPr>
          <w:p w14:paraId="7E2861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w w:val="100"/>
                <w:kern w:val="2"/>
                <w:position w:val="0"/>
                <w:sz w:val="21"/>
                <w:szCs w:val="21"/>
              </w:rPr>
            </w:pPr>
            <w:r>
              <w:rPr>
                <w:rFonts w:hint="eastAsia" w:ascii="宋体" w:hAnsi="宋体" w:eastAsia="宋体" w:cs="宋体"/>
                <w:b/>
                <w:bCs/>
                <w:color w:val="auto"/>
                <w:spacing w:val="0"/>
                <w:w w:val="100"/>
                <w:kern w:val="2"/>
                <w:position w:val="0"/>
                <w:sz w:val="21"/>
                <w:szCs w:val="21"/>
                <w:lang w:val="en-US" w:eastAsia="zh-CN" w:bidi="ar"/>
              </w:rPr>
              <w:t>风险物质存放地点</w:t>
            </w:r>
          </w:p>
        </w:tc>
      </w:tr>
      <w:tr w14:paraId="487D59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425" w:type="pct"/>
            <w:tcBorders>
              <w:tl2br w:val="nil"/>
              <w:tr2bl w:val="nil"/>
            </w:tcBorders>
            <w:shd w:val="clear" w:color="auto" w:fill="auto"/>
            <w:vAlign w:val="center"/>
          </w:tcPr>
          <w:p w14:paraId="1EEC5B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w w:val="100"/>
                <w:kern w:val="2"/>
                <w:position w:val="0"/>
                <w:sz w:val="21"/>
                <w:szCs w:val="21"/>
              </w:rPr>
            </w:pPr>
            <w:r>
              <w:rPr>
                <w:rFonts w:hint="default" w:ascii="Times New Roman" w:hAnsi="Times New Roman" w:eastAsia="宋体" w:cs="Times New Roman"/>
                <w:color w:val="auto"/>
                <w:spacing w:val="0"/>
                <w:w w:val="100"/>
                <w:kern w:val="2"/>
                <w:position w:val="0"/>
                <w:sz w:val="21"/>
                <w:szCs w:val="21"/>
                <w:lang w:val="en-US" w:eastAsia="zh-CN" w:bidi="ar"/>
              </w:rPr>
              <w:t>1</w:t>
            </w:r>
          </w:p>
        </w:tc>
        <w:tc>
          <w:tcPr>
            <w:tcW w:w="980" w:type="pct"/>
            <w:tcBorders>
              <w:tl2br w:val="nil"/>
              <w:tr2bl w:val="nil"/>
            </w:tcBorders>
            <w:shd w:val="clear" w:color="auto" w:fill="auto"/>
            <w:vAlign w:val="center"/>
          </w:tcPr>
          <w:p w14:paraId="38B132A3">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21"/>
                <w:position w:val="0"/>
                <w:sz w:val="21"/>
                <w:szCs w:val="21"/>
                <w:lang w:val="en-US" w:eastAsia="zh-CN" w:bidi="ar-SA"/>
              </w:rPr>
            </w:pPr>
            <w:r>
              <w:rPr>
                <w:rFonts w:hint="eastAsia" w:ascii="宋体" w:hAnsi="宋体" w:eastAsia="宋体" w:cs="宋体"/>
                <w:color w:val="auto"/>
                <w:spacing w:val="0"/>
                <w:w w:val="100"/>
                <w:kern w:val="21"/>
                <w:position w:val="0"/>
                <w:sz w:val="21"/>
                <w:szCs w:val="21"/>
                <w:lang w:val="en-US" w:eastAsia="zh-CN" w:bidi="ar"/>
              </w:rPr>
              <w:t>废</w:t>
            </w:r>
            <w:r>
              <w:rPr>
                <w:rFonts w:hint="eastAsia" w:cs="宋体"/>
                <w:color w:val="auto"/>
                <w:spacing w:val="0"/>
                <w:w w:val="100"/>
                <w:kern w:val="21"/>
                <w:position w:val="0"/>
                <w:sz w:val="21"/>
                <w:szCs w:val="21"/>
                <w:lang w:val="en-US" w:eastAsia="zh-CN" w:bidi="ar"/>
              </w:rPr>
              <w:t>机</w:t>
            </w:r>
            <w:r>
              <w:rPr>
                <w:rFonts w:hint="eastAsia" w:ascii="宋体" w:hAnsi="宋体" w:eastAsia="宋体" w:cs="宋体"/>
                <w:color w:val="auto"/>
                <w:spacing w:val="0"/>
                <w:w w:val="100"/>
                <w:kern w:val="21"/>
                <w:position w:val="0"/>
                <w:sz w:val="21"/>
                <w:szCs w:val="21"/>
                <w:lang w:val="en-US" w:eastAsia="zh-CN" w:bidi="ar"/>
              </w:rPr>
              <w:t>油</w:t>
            </w:r>
          </w:p>
        </w:tc>
        <w:tc>
          <w:tcPr>
            <w:tcW w:w="2077" w:type="pct"/>
            <w:tcBorders>
              <w:tl2br w:val="nil"/>
              <w:tr2bl w:val="nil"/>
            </w:tcBorders>
            <w:shd w:val="clear" w:color="auto" w:fill="auto"/>
            <w:vAlign w:val="top"/>
          </w:tcPr>
          <w:p w14:paraId="4ACFFD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eastAsia" w:ascii="宋体" w:hAnsi="宋体" w:eastAsia="宋体" w:cs="宋体"/>
                <w:color w:val="auto"/>
                <w:spacing w:val="0"/>
                <w:w w:val="100"/>
                <w:kern w:val="2"/>
                <w:position w:val="0"/>
                <w:sz w:val="21"/>
                <w:szCs w:val="21"/>
                <w:lang w:val="en-US" w:eastAsia="zh-CN" w:bidi="ar"/>
              </w:rPr>
              <w:t>矿物油</w:t>
            </w:r>
          </w:p>
        </w:tc>
        <w:tc>
          <w:tcPr>
            <w:tcW w:w="762" w:type="pct"/>
            <w:tcBorders>
              <w:tl2br w:val="nil"/>
              <w:tr2bl w:val="nil"/>
            </w:tcBorders>
            <w:shd w:val="clear" w:color="auto" w:fill="auto"/>
            <w:vAlign w:val="top"/>
          </w:tcPr>
          <w:p w14:paraId="66E932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0"/>
                <w:w w:val="100"/>
                <w:kern w:val="2"/>
                <w:position w:val="0"/>
                <w:sz w:val="21"/>
                <w:szCs w:val="21"/>
                <w:lang w:val="en-US" w:eastAsia="zh-CN" w:bidi="ar-SA"/>
              </w:rPr>
            </w:pPr>
            <w:r>
              <w:rPr>
                <w:rFonts w:hint="eastAsia" w:ascii="宋体" w:hAnsi="宋体" w:eastAsia="宋体" w:cs="宋体"/>
                <w:color w:val="auto"/>
                <w:spacing w:val="0"/>
                <w:w w:val="100"/>
                <w:kern w:val="2"/>
                <w:position w:val="0"/>
                <w:sz w:val="21"/>
                <w:szCs w:val="21"/>
                <w:lang w:val="en-US" w:eastAsia="zh-CN" w:bidi="ar"/>
              </w:rPr>
              <w:t>油类物质</w:t>
            </w:r>
          </w:p>
        </w:tc>
        <w:tc>
          <w:tcPr>
            <w:tcW w:w="754" w:type="pct"/>
            <w:tcBorders>
              <w:tl2br w:val="nil"/>
              <w:tr2bl w:val="nil"/>
            </w:tcBorders>
            <w:shd w:val="clear" w:color="auto" w:fill="auto"/>
            <w:vAlign w:val="top"/>
          </w:tcPr>
          <w:p w14:paraId="54DDFA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w w:val="100"/>
                <w:kern w:val="2"/>
                <w:position w:val="0"/>
                <w:sz w:val="21"/>
                <w:szCs w:val="21"/>
                <w:lang w:val="en-US" w:eastAsia="zh-CN" w:bidi="ar-SA"/>
              </w:rPr>
            </w:pPr>
            <w:r>
              <w:rPr>
                <w:rFonts w:hint="eastAsia" w:ascii="宋体" w:hAnsi="宋体" w:eastAsia="宋体" w:cs="宋体"/>
                <w:color w:val="auto"/>
                <w:spacing w:val="0"/>
                <w:w w:val="100"/>
                <w:kern w:val="2"/>
                <w:position w:val="0"/>
                <w:sz w:val="21"/>
                <w:szCs w:val="21"/>
                <w:lang w:val="en-US" w:eastAsia="zh-CN" w:bidi="ar"/>
              </w:rPr>
              <w:t>危废贮存库</w:t>
            </w:r>
          </w:p>
        </w:tc>
      </w:tr>
    </w:tbl>
    <w:p w14:paraId="0D61D676">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t>②风险潜势初判</w:t>
      </w:r>
    </w:p>
    <w:p w14:paraId="04430FA1">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t>《建设项目环境风险评价技术导则》（HJ169-2018）中将建设项目环境风险潜势划分为Ⅰ、Ⅱ、Ⅲ、Ⅳ/Ⅳ+级。</w:t>
      </w:r>
    </w:p>
    <w:p w14:paraId="7EEECAAD">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t>对建设项目涉及的物质和工艺系统的危险性及其所在地的环境敏感程度进行分析，结合事故情形下环境影响途径，对建设项目潜在环境危害程度进行概化分析，按照表5.2</w:t>
      </w:r>
      <w:r>
        <w:rPr>
          <w:rFonts w:hint="eastAsia" w:cs="Times New Roman"/>
          <w:caps w:val="0"/>
          <w:snapToGrid/>
          <w:color w:val="auto"/>
          <w:spacing w:val="0"/>
          <w:w w:val="100"/>
          <w:kern w:val="0"/>
          <w:position w:val="0"/>
          <w:sz w:val="24"/>
          <w:szCs w:val="24"/>
          <w:highlight w:val="none"/>
          <w:lang w:val="en-US" w:eastAsia="zh-CN" w:bidi="ar-SA"/>
        </w:rPr>
        <w:t>.6-2</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t>确定环境风险潜势。</w:t>
      </w:r>
    </w:p>
    <w:p w14:paraId="385A7DCE">
      <w:pPr>
        <w:keepNext w:val="0"/>
        <w:keepLines w:val="0"/>
        <w:pageBreakBefore w:val="0"/>
        <w:widowControl w:val="0"/>
        <w:kinsoku/>
        <w:wordWrap/>
        <w:overflowPunct/>
        <w:topLinePunct w:val="0"/>
        <w:autoSpaceDE/>
        <w:autoSpaceDN/>
        <w:bidi w:val="0"/>
        <w:adjustRightInd/>
        <w:snapToGrid/>
        <w:spacing w:before="0" w:after="0" w:line="240" w:lineRule="auto"/>
        <w:ind w:left="0" w:leftChars="0" w:right="0" w:rightChars="0" w:firstLine="0" w:firstLineChars="0"/>
        <w:jc w:val="center"/>
        <w:textAlignment w:val="auto"/>
        <w:outlineLvl w:val="9"/>
        <w:rPr>
          <w:rFonts w:hint="default" w:ascii="Times New Roman" w:hAnsi="Times New Roman" w:eastAsia="宋体" w:cs="Times New Roman"/>
          <w:b/>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b/>
          <w:caps w:val="0"/>
          <w:snapToGrid/>
          <w:color w:val="auto"/>
          <w:spacing w:val="0"/>
          <w:w w:val="100"/>
          <w:kern w:val="0"/>
          <w:position w:val="0"/>
          <w:sz w:val="21"/>
          <w:szCs w:val="21"/>
          <w:highlight w:val="none"/>
          <w:lang w:val="en-US" w:eastAsia="zh-CN" w:bidi="ar-SA"/>
        </w:rPr>
        <w:t>表5.2</w:t>
      </w:r>
      <w:r>
        <w:rPr>
          <w:rFonts w:hint="eastAsia" w:cs="Times New Roman"/>
          <w:b/>
          <w:caps w:val="0"/>
          <w:snapToGrid/>
          <w:color w:val="auto"/>
          <w:spacing w:val="0"/>
          <w:w w:val="100"/>
          <w:kern w:val="0"/>
          <w:position w:val="0"/>
          <w:sz w:val="21"/>
          <w:szCs w:val="21"/>
          <w:highlight w:val="none"/>
          <w:lang w:val="en-US" w:eastAsia="zh-CN" w:bidi="ar-SA"/>
        </w:rPr>
        <w:t>.6-2</w:t>
      </w:r>
      <w:r>
        <w:rPr>
          <w:rFonts w:hint="default" w:ascii="Times New Roman" w:hAnsi="Times New Roman" w:eastAsia="宋体" w:cs="Times New Roman"/>
          <w:b/>
          <w:caps w:val="0"/>
          <w:snapToGrid/>
          <w:color w:val="auto"/>
          <w:spacing w:val="0"/>
          <w:w w:val="100"/>
          <w:kern w:val="0"/>
          <w:position w:val="0"/>
          <w:sz w:val="21"/>
          <w:szCs w:val="21"/>
          <w:highlight w:val="none"/>
          <w:lang w:val="en-US" w:eastAsia="zh-CN" w:bidi="ar-SA"/>
        </w:rPr>
        <w:t xml:space="preserve">  建设项目环境风险潜势划分表</w:t>
      </w:r>
    </w:p>
    <w:tbl>
      <w:tblPr>
        <w:tblStyle w:val="25"/>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2642"/>
        <w:gridCol w:w="1635"/>
        <w:gridCol w:w="1486"/>
        <w:gridCol w:w="1635"/>
        <w:gridCol w:w="1554"/>
      </w:tblGrid>
      <w:tr w14:paraId="2D35C4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blHeader/>
          <w:jc w:val="center"/>
        </w:trPr>
        <w:tc>
          <w:tcPr>
            <w:tcW w:w="1476" w:type="pct"/>
            <w:vMerge w:val="restart"/>
            <w:tcBorders>
              <w:tl2br w:val="nil"/>
              <w:tr2bl w:val="nil"/>
            </w:tcBorders>
            <w:noWrap w:val="0"/>
            <w:vAlign w:val="center"/>
          </w:tcPr>
          <w:p w14:paraId="6EC2B9F4">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b/>
                <w:bCs/>
                <w:snapToGrid/>
                <w:color w:val="auto"/>
                <w:spacing w:val="0"/>
                <w:w w:val="100"/>
                <w:kern w:val="0"/>
                <w:position w:val="0"/>
                <w:sz w:val="21"/>
                <w:szCs w:val="21"/>
                <w:highlight w:val="none"/>
                <w:shd w:val="clear" w:color="auto" w:fill="auto"/>
              </w:rPr>
              <w:t>环境敏感程度（E）</w:t>
            </w:r>
          </w:p>
        </w:tc>
        <w:tc>
          <w:tcPr>
            <w:tcW w:w="3523" w:type="pct"/>
            <w:gridSpan w:val="4"/>
            <w:tcBorders>
              <w:tl2br w:val="nil"/>
              <w:tr2bl w:val="nil"/>
            </w:tcBorders>
            <w:noWrap w:val="0"/>
            <w:vAlign w:val="center"/>
          </w:tcPr>
          <w:p w14:paraId="2E5B19CB">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b/>
                <w:bCs/>
                <w:snapToGrid/>
                <w:color w:val="auto"/>
                <w:spacing w:val="0"/>
                <w:w w:val="100"/>
                <w:kern w:val="0"/>
                <w:position w:val="0"/>
                <w:sz w:val="21"/>
                <w:szCs w:val="21"/>
                <w:highlight w:val="none"/>
                <w:shd w:val="clear" w:color="auto" w:fill="auto"/>
              </w:rPr>
              <w:t>危险物质和工艺系统的危险性（P）</w:t>
            </w:r>
          </w:p>
        </w:tc>
      </w:tr>
      <w:tr w14:paraId="7F3338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blHeader/>
          <w:jc w:val="center"/>
        </w:trPr>
        <w:tc>
          <w:tcPr>
            <w:tcW w:w="1476" w:type="pct"/>
            <w:vMerge w:val="continue"/>
            <w:tcBorders>
              <w:tl2br w:val="nil"/>
              <w:tr2bl w:val="nil"/>
            </w:tcBorders>
            <w:noWrap w:val="0"/>
            <w:vAlign w:val="center"/>
          </w:tcPr>
          <w:p w14:paraId="44703007">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snapToGrid/>
                <w:color w:val="auto"/>
                <w:spacing w:val="0"/>
                <w:w w:val="100"/>
                <w:kern w:val="0"/>
                <w:position w:val="0"/>
                <w:sz w:val="21"/>
                <w:szCs w:val="21"/>
                <w:highlight w:val="none"/>
                <w:shd w:val="clear" w:color="auto" w:fill="auto"/>
              </w:rPr>
            </w:pPr>
          </w:p>
        </w:tc>
        <w:tc>
          <w:tcPr>
            <w:tcW w:w="913" w:type="pct"/>
            <w:tcBorders>
              <w:tl2br w:val="nil"/>
              <w:tr2bl w:val="nil"/>
            </w:tcBorders>
            <w:noWrap w:val="0"/>
            <w:vAlign w:val="center"/>
          </w:tcPr>
          <w:p w14:paraId="5B708869">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b/>
                <w:bCs/>
                <w:snapToGrid/>
                <w:color w:val="auto"/>
                <w:spacing w:val="0"/>
                <w:w w:val="100"/>
                <w:kern w:val="0"/>
                <w:position w:val="0"/>
                <w:sz w:val="21"/>
                <w:szCs w:val="21"/>
                <w:highlight w:val="none"/>
                <w:shd w:val="clear" w:color="auto" w:fill="auto"/>
              </w:rPr>
              <w:t>极度危害P1</w:t>
            </w:r>
          </w:p>
        </w:tc>
        <w:tc>
          <w:tcPr>
            <w:tcW w:w="830" w:type="pct"/>
            <w:tcBorders>
              <w:tl2br w:val="nil"/>
              <w:tr2bl w:val="nil"/>
            </w:tcBorders>
            <w:noWrap w:val="0"/>
            <w:vAlign w:val="center"/>
          </w:tcPr>
          <w:p w14:paraId="2D6C9753">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b/>
                <w:bCs/>
                <w:snapToGrid/>
                <w:color w:val="auto"/>
                <w:spacing w:val="0"/>
                <w:w w:val="100"/>
                <w:kern w:val="0"/>
                <w:position w:val="0"/>
                <w:sz w:val="21"/>
                <w:szCs w:val="21"/>
                <w:highlight w:val="none"/>
                <w:shd w:val="clear" w:color="auto" w:fill="auto"/>
              </w:rPr>
              <w:t>高度危害P2</w:t>
            </w:r>
          </w:p>
        </w:tc>
        <w:tc>
          <w:tcPr>
            <w:tcW w:w="913" w:type="pct"/>
            <w:tcBorders>
              <w:tl2br w:val="nil"/>
              <w:tr2bl w:val="nil"/>
            </w:tcBorders>
            <w:noWrap w:val="0"/>
            <w:vAlign w:val="center"/>
          </w:tcPr>
          <w:p w14:paraId="62E3C25F">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b/>
                <w:bCs/>
                <w:snapToGrid/>
                <w:color w:val="auto"/>
                <w:spacing w:val="0"/>
                <w:w w:val="100"/>
                <w:kern w:val="0"/>
                <w:position w:val="0"/>
                <w:sz w:val="21"/>
                <w:szCs w:val="21"/>
                <w:highlight w:val="none"/>
                <w:shd w:val="clear" w:color="auto" w:fill="auto"/>
              </w:rPr>
              <w:t>中度危害P3</w:t>
            </w:r>
          </w:p>
        </w:tc>
        <w:tc>
          <w:tcPr>
            <w:tcW w:w="865" w:type="pct"/>
            <w:tcBorders>
              <w:tl2br w:val="nil"/>
              <w:tr2bl w:val="nil"/>
            </w:tcBorders>
            <w:noWrap w:val="0"/>
            <w:vAlign w:val="center"/>
          </w:tcPr>
          <w:p w14:paraId="395CB446">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b/>
                <w:bCs/>
                <w:snapToGrid/>
                <w:color w:val="auto"/>
                <w:spacing w:val="0"/>
                <w:w w:val="100"/>
                <w:kern w:val="0"/>
                <w:position w:val="0"/>
                <w:sz w:val="21"/>
                <w:szCs w:val="21"/>
                <w:highlight w:val="none"/>
                <w:shd w:val="clear" w:color="auto" w:fill="auto"/>
              </w:rPr>
              <w:t>轻度危害P4</w:t>
            </w:r>
          </w:p>
        </w:tc>
      </w:tr>
      <w:tr w14:paraId="219CB8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blHeader/>
          <w:jc w:val="center"/>
        </w:trPr>
        <w:tc>
          <w:tcPr>
            <w:tcW w:w="1476" w:type="pct"/>
            <w:tcBorders>
              <w:tl2br w:val="nil"/>
              <w:tr2bl w:val="nil"/>
            </w:tcBorders>
            <w:noWrap w:val="0"/>
            <w:vAlign w:val="center"/>
          </w:tcPr>
          <w:p w14:paraId="0B3DFE3E">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snapToGrid/>
                <w:color w:val="auto"/>
                <w:spacing w:val="0"/>
                <w:w w:val="100"/>
                <w:kern w:val="0"/>
                <w:position w:val="0"/>
                <w:sz w:val="21"/>
                <w:szCs w:val="21"/>
                <w:highlight w:val="none"/>
                <w:shd w:val="clear" w:color="auto" w:fill="auto"/>
              </w:rPr>
              <w:t>环境高度敏感区（E1）</w:t>
            </w:r>
          </w:p>
        </w:tc>
        <w:tc>
          <w:tcPr>
            <w:tcW w:w="913" w:type="pct"/>
            <w:tcBorders>
              <w:tl2br w:val="nil"/>
              <w:tr2bl w:val="nil"/>
            </w:tcBorders>
            <w:noWrap w:val="0"/>
            <w:vAlign w:val="center"/>
          </w:tcPr>
          <w:p w14:paraId="0A882040">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snapToGrid/>
                <w:color w:val="auto"/>
                <w:spacing w:val="0"/>
                <w:w w:val="100"/>
                <w:kern w:val="0"/>
                <w:position w:val="0"/>
                <w:sz w:val="21"/>
                <w:szCs w:val="21"/>
                <w:highlight w:val="none"/>
                <w:shd w:val="clear" w:color="auto" w:fill="auto"/>
              </w:rPr>
              <w:t>Ⅳ</w:t>
            </w:r>
            <w:r>
              <w:rPr>
                <w:rFonts w:hint="default" w:ascii="Times New Roman" w:hAnsi="Times New Roman" w:eastAsia="宋体" w:cs="Times New Roman"/>
                <w:snapToGrid/>
                <w:color w:val="auto"/>
                <w:spacing w:val="0"/>
                <w:w w:val="100"/>
                <w:kern w:val="0"/>
                <w:position w:val="0"/>
                <w:sz w:val="21"/>
                <w:szCs w:val="21"/>
                <w:highlight w:val="none"/>
                <w:shd w:val="clear" w:color="auto" w:fill="auto"/>
                <w:vertAlign w:val="superscript"/>
              </w:rPr>
              <w:t>+</w:t>
            </w:r>
          </w:p>
        </w:tc>
        <w:tc>
          <w:tcPr>
            <w:tcW w:w="830" w:type="pct"/>
            <w:tcBorders>
              <w:tl2br w:val="nil"/>
              <w:tr2bl w:val="nil"/>
            </w:tcBorders>
            <w:noWrap w:val="0"/>
            <w:vAlign w:val="center"/>
          </w:tcPr>
          <w:p w14:paraId="4F2F64C2">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snapToGrid/>
                <w:color w:val="auto"/>
                <w:spacing w:val="0"/>
                <w:w w:val="100"/>
                <w:kern w:val="0"/>
                <w:position w:val="0"/>
                <w:sz w:val="21"/>
                <w:szCs w:val="21"/>
                <w:highlight w:val="none"/>
                <w:shd w:val="clear" w:color="auto" w:fill="auto"/>
              </w:rPr>
              <w:t>Ⅳ</w:t>
            </w:r>
          </w:p>
        </w:tc>
        <w:tc>
          <w:tcPr>
            <w:tcW w:w="913" w:type="pct"/>
            <w:tcBorders>
              <w:tl2br w:val="nil"/>
              <w:tr2bl w:val="nil"/>
            </w:tcBorders>
            <w:noWrap w:val="0"/>
            <w:vAlign w:val="center"/>
          </w:tcPr>
          <w:p w14:paraId="1F90A4D5">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snapToGrid/>
                <w:color w:val="auto"/>
                <w:spacing w:val="0"/>
                <w:w w:val="100"/>
                <w:kern w:val="0"/>
                <w:position w:val="0"/>
                <w:sz w:val="21"/>
                <w:szCs w:val="21"/>
                <w:highlight w:val="none"/>
                <w:shd w:val="clear" w:color="auto" w:fill="auto"/>
              </w:rPr>
              <w:t>Ⅲ</w:t>
            </w:r>
          </w:p>
        </w:tc>
        <w:tc>
          <w:tcPr>
            <w:tcW w:w="865" w:type="pct"/>
            <w:tcBorders>
              <w:tl2br w:val="nil"/>
              <w:tr2bl w:val="nil"/>
            </w:tcBorders>
            <w:noWrap w:val="0"/>
            <w:vAlign w:val="center"/>
          </w:tcPr>
          <w:p w14:paraId="0CDDA207">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snapToGrid/>
                <w:color w:val="auto"/>
                <w:spacing w:val="0"/>
                <w:w w:val="100"/>
                <w:kern w:val="0"/>
                <w:position w:val="0"/>
                <w:sz w:val="21"/>
                <w:szCs w:val="21"/>
                <w:highlight w:val="none"/>
                <w:shd w:val="clear" w:color="auto" w:fill="auto"/>
              </w:rPr>
              <w:t>Ⅲ</w:t>
            </w:r>
          </w:p>
        </w:tc>
      </w:tr>
      <w:tr w14:paraId="309204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blHeader/>
          <w:jc w:val="center"/>
        </w:trPr>
        <w:tc>
          <w:tcPr>
            <w:tcW w:w="1476" w:type="pct"/>
            <w:tcBorders>
              <w:tl2br w:val="nil"/>
              <w:tr2bl w:val="nil"/>
            </w:tcBorders>
            <w:noWrap w:val="0"/>
            <w:vAlign w:val="center"/>
          </w:tcPr>
          <w:p w14:paraId="3F5B7E63">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snapToGrid/>
                <w:color w:val="auto"/>
                <w:spacing w:val="0"/>
                <w:w w:val="100"/>
                <w:kern w:val="0"/>
                <w:position w:val="0"/>
                <w:sz w:val="21"/>
                <w:szCs w:val="21"/>
                <w:highlight w:val="none"/>
                <w:shd w:val="clear" w:color="auto" w:fill="auto"/>
              </w:rPr>
              <w:t>环境中度敏感区（E2）</w:t>
            </w:r>
          </w:p>
        </w:tc>
        <w:tc>
          <w:tcPr>
            <w:tcW w:w="913" w:type="pct"/>
            <w:tcBorders>
              <w:tl2br w:val="nil"/>
              <w:tr2bl w:val="nil"/>
            </w:tcBorders>
            <w:noWrap w:val="0"/>
            <w:vAlign w:val="center"/>
          </w:tcPr>
          <w:p w14:paraId="37B63F05">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snapToGrid/>
                <w:color w:val="auto"/>
                <w:spacing w:val="0"/>
                <w:w w:val="100"/>
                <w:kern w:val="0"/>
                <w:position w:val="0"/>
                <w:sz w:val="21"/>
                <w:szCs w:val="21"/>
                <w:highlight w:val="none"/>
                <w:shd w:val="clear" w:color="auto" w:fill="auto"/>
              </w:rPr>
              <w:t>Ⅳ</w:t>
            </w:r>
          </w:p>
        </w:tc>
        <w:tc>
          <w:tcPr>
            <w:tcW w:w="830" w:type="pct"/>
            <w:tcBorders>
              <w:tl2br w:val="nil"/>
              <w:tr2bl w:val="nil"/>
            </w:tcBorders>
            <w:noWrap w:val="0"/>
            <w:vAlign w:val="center"/>
          </w:tcPr>
          <w:p w14:paraId="06B648DA">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snapToGrid/>
                <w:color w:val="auto"/>
                <w:spacing w:val="0"/>
                <w:w w:val="100"/>
                <w:kern w:val="0"/>
                <w:position w:val="0"/>
                <w:sz w:val="21"/>
                <w:szCs w:val="21"/>
                <w:highlight w:val="none"/>
                <w:shd w:val="clear" w:color="auto" w:fill="auto"/>
              </w:rPr>
              <w:t>Ⅲ</w:t>
            </w:r>
          </w:p>
        </w:tc>
        <w:tc>
          <w:tcPr>
            <w:tcW w:w="913" w:type="pct"/>
            <w:tcBorders>
              <w:tl2br w:val="nil"/>
              <w:tr2bl w:val="nil"/>
            </w:tcBorders>
            <w:noWrap w:val="0"/>
            <w:vAlign w:val="center"/>
          </w:tcPr>
          <w:p w14:paraId="772A45AF">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snapToGrid/>
                <w:color w:val="auto"/>
                <w:spacing w:val="0"/>
                <w:w w:val="100"/>
                <w:kern w:val="0"/>
                <w:position w:val="0"/>
                <w:sz w:val="21"/>
                <w:szCs w:val="21"/>
                <w:highlight w:val="none"/>
                <w:shd w:val="clear" w:color="auto" w:fill="auto"/>
              </w:rPr>
              <w:t>Ⅲ</w:t>
            </w:r>
          </w:p>
        </w:tc>
        <w:tc>
          <w:tcPr>
            <w:tcW w:w="865" w:type="pct"/>
            <w:tcBorders>
              <w:tl2br w:val="nil"/>
              <w:tr2bl w:val="nil"/>
            </w:tcBorders>
            <w:noWrap w:val="0"/>
            <w:vAlign w:val="center"/>
          </w:tcPr>
          <w:p w14:paraId="66751904">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snapToGrid/>
                <w:color w:val="auto"/>
                <w:spacing w:val="0"/>
                <w:w w:val="100"/>
                <w:kern w:val="0"/>
                <w:position w:val="0"/>
                <w:sz w:val="21"/>
                <w:szCs w:val="21"/>
                <w:highlight w:val="none"/>
                <w:shd w:val="clear" w:color="auto" w:fill="auto"/>
              </w:rPr>
              <w:t>Ⅱ</w:t>
            </w:r>
          </w:p>
        </w:tc>
      </w:tr>
      <w:tr w14:paraId="2A118F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blHeader/>
          <w:jc w:val="center"/>
        </w:trPr>
        <w:tc>
          <w:tcPr>
            <w:tcW w:w="1476" w:type="pct"/>
            <w:tcBorders>
              <w:tl2br w:val="nil"/>
              <w:tr2bl w:val="nil"/>
            </w:tcBorders>
            <w:noWrap w:val="0"/>
            <w:vAlign w:val="center"/>
          </w:tcPr>
          <w:p w14:paraId="31DD4F29">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snapToGrid/>
                <w:color w:val="auto"/>
                <w:spacing w:val="0"/>
                <w:w w:val="100"/>
                <w:kern w:val="0"/>
                <w:position w:val="0"/>
                <w:sz w:val="21"/>
                <w:szCs w:val="21"/>
                <w:highlight w:val="none"/>
                <w:shd w:val="clear" w:color="auto" w:fill="auto"/>
              </w:rPr>
              <w:t>环境低度敏感区（E3）</w:t>
            </w:r>
          </w:p>
        </w:tc>
        <w:tc>
          <w:tcPr>
            <w:tcW w:w="913" w:type="pct"/>
            <w:tcBorders>
              <w:tl2br w:val="nil"/>
              <w:tr2bl w:val="nil"/>
            </w:tcBorders>
            <w:noWrap w:val="0"/>
            <w:vAlign w:val="center"/>
          </w:tcPr>
          <w:p w14:paraId="48F87E96">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snapToGrid/>
                <w:color w:val="auto"/>
                <w:spacing w:val="0"/>
                <w:w w:val="100"/>
                <w:kern w:val="0"/>
                <w:position w:val="0"/>
                <w:sz w:val="21"/>
                <w:szCs w:val="21"/>
                <w:highlight w:val="none"/>
                <w:shd w:val="clear" w:color="auto" w:fill="auto"/>
              </w:rPr>
              <w:t>Ⅲ</w:t>
            </w:r>
          </w:p>
        </w:tc>
        <w:tc>
          <w:tcPr>
            <w:tcW w:w="830" w:type="pct"/>
            <w:tcBorders>
              <w:tl2br w:val="nil"/>
              <w:tr2bl w:val="nil"/>
            </w:tcBorders>
            <w:noWrap w:val="0"/>
            <w:vAlign w:val="center"/>
          </w:tcPr>
          <w:p w14:paraId="7887C4BC">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snapToGrid/>
                <w:color w:val="auto"/>
                <w:spacing w:val="0"/>
                <w:w w:val="100"/>
                <w:kern w:val="0"/>
                <w:position w:val="0"/>
                <w:sz w:val="21"/>
                <w:szCs w:val="21"/>
                <w:highlight w:val="none"/>
                <w:shd w:val="clear" w:color="auto" w:fill="auto"/>
              </w:rPr>
              <w:t>Ⅲ</w:t>
            </w:r>
          </w:p>
        </w:tc>
        <w:tc>
          <w:tcPr>
            <w:tcW w:w="913" w:type="pct"/>
            <w:tcBorders>
              <w:tl2br w:val="nil"/>
              <w:tr2bl w:val="nil"/>
            </w:tcBorders>
            <w:noWrap w:val="0"/>
            <w:vAlign w:val="center"/>
          </w:tcPr>
          <w:p w14:paraId="74DA73E0">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snapToGrid/>
                <w:color w:val="auto"/>
                <w:spacing w:val="0"/>
                <w:w w:val="100"/>
                <w:kern w:val="0"/>
                <w:position w:val="0"/>
                <w:sz w:val="21"/>
                <w:szCs w:val="21"/>
                <w:highlight w:val="none"/>
                <w:shd w:val="clear" w:color="auto" w:fill="auto"/>
              </w:rPr>
              <w:t>Ⅱ</w:t>
            </w:r>
          </w:p>
        </w:tc>
        <w:tc>
          <w:tcPr>
            <w:tcW w:w="865" w:type="pct"/>
            <w:tcBorders>
              <w:tl2br w:val="nil"/>
              <w:tr2bl w:val="nil"/>
            </w:tcBorders>
            <w:noWrap w:val="0"/>
            <w:vAlign w:val="center"/>
          </w:tcPr>
          <w:p w14:paraId="7A373273">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snapToGrid/>
                <w:color w:val="auto"/>
                <w:spacing w:val="0"/>
                <w:w w:val="100"/>
                <w:kern w:val="0"/>
                <w:position w:val="0"/>
                <w:sz w:val="21"/>
                <w:szCs w:val="21"/>
                <w:highlight w:val="none"/>
                <w:shd w:val="clear" w:color="auto" w:fill="auto"/>
              </w:rPr>
              <w:t>Ⅰ</w:t>
            </w:r>
          </w:p>
        </w:tc>
      </w:tr>
      <w:tr w14:paraId="726075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blHeader/>
          <w:jc w:val="center"/>
        </w:trPr>
        <w:tc>
          <w:tcPr>
            <w:tcW w:w="5000" w:type="pct"/>
            <w:gridSpan w:val="5"/>
            <w:tcBorders>
              <w:tl2br w:val="nil"/>
              <w:tr2bl w:val="nil"/>
            </w:tcBorders>
            <w:noWrap w:val="0"/>
            <w:vAlign w:val="center"/>
          </w:tcPr>
          <w:p w14:paraId="27C8E4BB">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auto"/>
              <w:rPr>
                <w:rFonts w:hint="default" w:ascii="Times New Roman" w:hAnsi="Times New Roman" w:eastAsia="宋体" w:cs="Times New Roman"/>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b/>
                <w:bCs/>
                <w:snapToGrid/>
                <w:color w:val="auto"/>
                <w:spacing w:val="0"/>
                <w:w w:val="100"/>
                <w:kern w:val="0"/>
                <w:position w:val="0"/>
                <w:sz w:val="18"/>
                <w:szCs w:val="18"/>
                <w:highlight w:val="none"/>
                <w:shd w:val="clear" w:color="auto" w:fill="auto"/>
              </w:rPr>
              <w:t>注：Ⅳ</w:t>
            </w:r>
            <w:r>
              <w:rPr>
                <w:rFonts w:hint="default" w:ascii="Times New Roman" w:hAnsi="Times New Roman" w:eastAsia="宋体" w:cs="Times New Roman"/>
                <w:b/>
                <w:bCs/>
                <w:snapToGrid/>
                <w:color w:val="auto"/>
                <w:spacing w:val="0"/>
                <w:w w:val="100"/>
                <w:kern w:val="0"/>
                <w:position w:val="0"/>
                <w:sz w:val="18"/>
                <w:szCs w:val="18"/>
                <w:highlight w:val="none"/>
                <w:shd w:val="clear" w:color="auto" w:fill="auto"/>
                <w:vertAlign w:val="superscript"/>
              </w:rPr>
              <w:t>+</w:t>
            </w:r>
            <w:r>
              <w:rPr>
                <w:rFonts w:hint="default" w:ascii="Times New Roman" w:hAnsi="Times New Roman" w:eastAsia="宋体" w:cs="Times New Roman"/>
                <w:b/>
                <w:bCs/>
                <w:snapToGrid/>
                <w:color w:val="auto"/>
                <w:spacing w:val="0"/>
                <w:w w:val="100"/>
                <w:kern w:val="0"/>
                <w:position w:val="0"/>
                <w:sz w:val="18"/>
                <w:szCs w:val="18"/>
                <w:highlight w:val="none"/>
                <w:shd w:val="clear" w:color="auto" w:fill="auto"/>
              </w:rPr>
              <w:t>为极高环境风险。</w:t>
            </w:r>
          </w:p>
        </w:tc>
      </w:tr>
    </w:tbl>
    <w:p w14:paraId="0930B4BE">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t>根据《建设项目环境风险评价技术导则》(HJ169-2018)，项目所涉及的每种危险物质在厂界内的最大存在总量与其对应临界量的比值Q来表征危险性。当只涉及一种危险物质时，计算该物质的总量与其临界值比值，即为Q；当存在多种危险物质时，则按下式计算物质总量与其临界量比值（Q）。</w:t>
      </w:r>
    </w:p>
    <w:p w14:paraId="61E75B9E">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drawing>
          <wp:inline distT="0" distB="0" distL="114300" distR="114300">
            <wp:extent cx="1630680" cy="552450"/>
            <wp:effectExtent l="0" t="0" r="7620" b="0"/>
            <wp:docPr id="20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22"/>
                    <pic:cNvPicPr>
                      <a:picLocks noChangeAspect="1"/>
                    </pic:cNvPicPr>
                  </pic:nvPicPr>
                  <pic:blipFill>
                    <a:blip r:embed="rId28"/>
                    <a:srcRect r="57249"/>
                    <a:stretch>
                      <a:fillRect/>
                    </a:stretch>
                  </pic:blipFill>
                  <pic:spPr>
                    <a:xfrm>
                      <a:off x="0" y="0"/>
                      <a:ext cx="1630680" cy="552450"/>
                    </a:xfrm>
                    <a:prstGeom prst="rect">
                      <a:avLst/>
                    </a:prstGeom>
                    <a:noFill/>
                    <a:ln>
                      <a:noFill/>
                    </a:ln>
                  </pic:spPr>
                </pic:pic>
              </a:graphicData>
            </a:graphic>
          </wp:inline>
        </w:drawing>
      </w:r>
    </w:p>
    <w:p w14:paraId="7C75154F">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outlineLvl w:val="9"/>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t>式中：q</w:t>
      </w:r>
      <w:r>
        <w:rPr>
          <w:rFonts w:hint="default" w:ascii="Times New Roman" w:hAnsi="Times New Roman" w:eastAsia="宋体" w:cs="Times New Roman"/>
          <w:caps w:val="0"/>
          <w:snapToGrid/>
          <w:color w:val="auto"/>
          <w:spacing w:val="0"/>
          <w:w w:val="100"/>
          <w:kern w:val="0"/>
          <w:position w:val="0"/>
          <w:sz w:val="24"/>
          <w:szCs w:val="24"/>
          <w:highlight w:val="none"/>
          <w:vertAlign w:val="subscript"/>
          <w:lang w:val="en-US" w:eastAsia="zh-CN" w:bidi="ar-SA"/>
        </w:rPr>
        <w:t>1</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t>，q</w:t>
      </w:r>
      <w:r>
        <w:rPr>
          <w:rFonts w:hint="default" w:ascii="Times New Roman" w:hAnsi="Times New Roman" w:eastAsia="宋体" w:cs="Times New Roman"/>
          <w:caps w:val="0"/>
          <w:snapToGrid/>
          <w:color w:val="auto"/>
          <w:spacing w:val="0"/>
          <w:w w:val="100"/>
          <w:kern w:val="0"/>
          <w:position w:val="0"/>
          <w:sz w:val="24"/>
          <w:szCs w:val="24"/>
          <w:highlight w:val="none"/>
          <w:vertAlign w:val="subscript"/>
          <w:lang w:val="en-US" w:eastAsia="zh-CN" w:bidi="ar-SA"/>
        </w:rPr>
        <w:t>2</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t>…q</w:t>
      </w:r>
      <w:r>
        <w:rPr>
          <w:rFonts w:hint="default" w:ascii="Times New Roman" w:hAnsi="Times New Roman" w:eastAsia="宋体" w:cs="Times New Roman"/>
          <w:caps w:val="0"/>
          <w:snapToGrid/>
          <w:color w:val="auto"/>
          <w:spacing w:val="0"/>
          <w:w w:val="100"/>
          <w:kern w:val="0"/>
          <w:position w:val="0"/>
          <w:sz w:val="24"/>
          <w:szCs w:val="24"/>
          <w:highlight w:val="none"/>
          <w:vertAlign w:val="subscript"/>
          <w:lang w:val="en-US" w:eastAsia="zh-CN" w:bidi="ar-SA"/>
        </w:rPr>
        <w:t>n</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t>——每种危险物质实际存在量，t。</w:t>
      </w:r>
    </w:p>
    <w:p w14:paraId="560DB8E7">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1200" w:firstLineChars="5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t>Q</w:t>
      </w:r>
      <w:r>
        <w:rPr>
          <w:rFonts w:hint="default" w:ascii="Times New Roman" w:hAnsi="Times New Roman" w:eastAsia="宋体" w:cs="Times New Roman"/>
          <w:caps w:val="0"/>
          <w:snapToGrid/>
          <w:color w:val="auto"/>
          <w:spacing w:val="0"/>
          <w:w w:val="100"/>
          <w:kern w:val="0"/>
          <w:position w:val="0"/>
          <w:sz w:val="24"/>
          <w:szCs w:val="24"/>
          <w:highlight w:val="none"/>
          <w:vertAlign w:val="subscript"/>
          <w:lang w:val="en-US" w:eastAsia="zh-CN" w:bidi="ar-SA"/>
        </w:rPr>
        <w:t>1</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t>，Q</w:t>
      </w:r>
      <w:r>
        <w:rPr>
          <w:rFonts w:hint="default" w:ascii="Times New Roman" w:hAnsi="Times New Roman" w:eastAsia="宋体" w:cs="Times New Roman"/>
          <w:caps w:val="0"/>
          <w:snapToGrid/>
          <w:color w:val="auto"/>
          <w:spacing w:val="0"/>
          <w:w w:val="100"/>
          <w:kern w:val="0"/>
          <w:position w:val="0"/>
          <w:sz w:val="24"/>
          <w:szCs w:val="24"/>
          <w:highlight w:val="none"/>
          <w:vertAlign w:val="subscript"/>
          <w:lang w:val="en-US" w:eastAsia="zh-CN" w:bidi="ar-SA"/>
        </w:rPr>
        <w:t>2</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t>…Q</w:t>
      </w:r>
      <w:r>
        <w:rPr>
          <w:rFonts w:hint="default" w:ascii="Times New Roman" w:hAnsi="Times New Roman" w:eastAsia="宋体" w:cs="Times New Roman"/>
          <w:caps w:val="0"/>
          <w:snapToGrid/>
          <w:color w:val="auto"/>
          <w:spacing w:val="0"/>
          <w:w w:val="100"/>
          <w:kern w:val="0"/>
          <w:position w:val="0"/>
          <w:sz w:val="24"/>
          <w:szCs w:val="24"/>
          <w:highlight w:val="none"/>
          <w:vertAlign w:val="subscript"/>
          <w:lang w:val="en-US" w:eastAsia="zh-CN" w:bidi="ar-SA"/>
        </w:rPr>
        <w:t>n</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t>——与各危险物质相对应的生产场所或贮存区的临界量，t。</w:t>
      </w:r>
    </w:p>
    <w:p w14:paraId="4D69F370">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outlineLvl w:val="9"/>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t>当Q＜1时，该项目环境风险潜势为Ⅰ。</w:t>
      </w:r>
    </w:p>
    <w:p w14:paraId="6F122BDA">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outlineLvl w:val="9"/>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t>当Q≥1时，将Q值划分为：（a）1≤Q＜10；（b）10≤Q＜100；（c）Q≥100。</w:t>
      </w:r>
    </w:p>
    <w:p w14:paraId="601DCFFC">
      <w:pPr>
        <w:keepNext w:val="0"/>
        <w:keepLines w:val="0"/>
        <w:pageBreakBefore w:val="0"/>
        <w:widowControl w:val="0"/>
        <w:kinsoku/>
        <w:wordWrap/>
        <w:overflowPunct/>
        <w:topLinePunct w:val="0"/>
        <w:autoSpaceDE/>
        <w:autoSpaceDN/>
        <w:bidi w:val="0"/>
        <w:adjustRightInd/>
        <w:snapToGrid/>
        <w:spacing w:before="0" w:after="0" w:line="240" w:lineRule="auto"/>
        <w:ind w:left="0" w:leftChars="0" w:right="0" w:rightChars="0" w:firstLine="0" w:firstLineChars="0"/>
        <w:jc w:val="center"/>
        <w:textAlignment w:val="auto"/>
        <w:outlineLvl w:val="9"/>
        <w:rPr>
          <w:rFonts w:hint="default" w:ascii="Times New Roman" w:hAnsi="Times New Roman" w:eastAsia="宋体" w:cs="Times New Roman"/>
          <w:b/>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b/>
          <w:caps w:val="0"/>
          <w:snapToGrid/>
          <w:color w:val="auto"/>
          <w:spacing w:val="0"/>
          <w:w w:val="100"/>
          <w:kern w:val="0"/>
          <w:position w:val="0"/>
          <w:sz w:val="21"/>
          <w:szCs w:val="21"/>
          <w:highlight w:val="none"/>
          <w:lang w:val="en-US" w:eastAsia="zh-CN" w:bidi="ar-SA"/>
        </w:rPr>
        <w:t>表5.2</w:t>
      </w:r>
      <w:r>
        <w:rPr>
          <w:rFonts w:hint="eastAsia" w:cs="Times New Roman"/>
          <w:b/>
          <w:caps w:val="0"/>
          <w:snapToGrid/>
          <w:color w:val="auto"/>
          <w:spacing w:val="0"/>
          <w:w w:val="100"/>
          <w:kern w:val="0"/>
          <w:position w:val="0"/>
          <w:sz w:val="21"/>
          <w:szCs w:val="21"/>
          <w:highlight w:val="none"/>
          <w:lang w:val="en-US" w:eastAsia="zh-CN" w:bidi="ar-SA"/>
        </w:rPr>
        <w:t>.6-3</w:t>
      </w:r>
      <w:r>
        <w:rPr>
          <w:rFonts w:hint="default" w:ascii="Times New Roman" w:hAnsi="Times New Roman" w:eastAsia="宋体" w:cs="Times New Roman"/>
          <w:b/>
          <w:caps w:val="0"/>
          <w:snapToGrid/>
          <w:color w:val="auto"/>
          <w:spacing w:val="0"/>
          <w:w w:val="100"/>
          <w:kern w:val="0"/>
          <w:position w:val="0"/>
          <w:sz w:val="21"/>
          <w:szCs w:val="21"/>
          <w:highlight w:val="none"/>
          <w:lang w:val="en-US" w:eastAsia="zh-CN" w:bidi="ar-SA"/>
        </w:rPr>
        <w:t xml:space="preserve">  </w:t>
      </w:r>
      <w:r>
        <w:rPr>
          <w:rFonts w:hint="eastAsia" w:ascii="宋体" w:hAnsi="宋体" w:eastAsia="宋体" w:cs="宋体"/>
          <w:b/>
          <w:bCs w:val="0"/>
          <w:caps w:val="0"/>
          <w:color w:val="auto"/>
          <w:spacing w:val="0"/>
          <w:w w:val="100"/>
          <w:kern w:val="21"/>
          <w:position w:val="0"/>
          <w:sz w:val="21"/>
          <w:szCs w:val="21"/>
        </w:rPr>
        <w:t>建设项目危险物质数量与临界量的比值（</w:t>
      </w:r>
      <w:r>
        <w:rPr>
          <w:rFonts w:hint="default" w:ascii="Times New Roman" w:hAnsi="Times New Roman" w:eastAsia="宋体" w:cs="Times New Roman"/>
          <w:b/>
          <w:bCs w:val="0"/>
          <w:caps w:val="0"/>
          <w:color w:val="auto"/>
          <w:spacing w:val="0"/>
          <w:w w:val="100"/>
          <w:kern w:val="21"/>
          <w:position w:val="0"/>
          <w:sz w:val="21"/>
          <w:szCs w:val="21"/>
        </w:rPr>
        <w:t>Q</w:t>
      </w:r>
      <w:r>
        <w:rPr>
          <w:rFonts w:hint="eastAsia" w:ascii="宋体" w:hAnsi="宋体" w:eastAsia="宋体" w:cs="宋体"/>
          <w:b/>
          <w:bCs w:val="0"/>
          <w:caps w:val="0"/>
          <w:color w:val="auto"/>
          <w:spacing w:val="0"/>
          <w:w w:val="100"/>
          <w:kern w:val="21"/>
          <w:position w:val="0"/>
          <w:sz w:val="21"/>
          <w:szCs w:val="21"/>
        </w:rPr>
        <w:t>）</w:t>
      </w:r>
    </w:p>
    <w:tbl>
      <w:tblPr>
        <w:tblStyle w:val="25"/>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647"/>
        <w:gridCol w:w="953"/>
        <w:gridCol w:w="994"/>
        <w:gridCol w:w="1497"/>
        <w:gridCol w:w="1139"/>
        <w:gridCol w:w="1139"/>
        <w:gridCol w:w="2583"/>
      </w:tblGrid>
      <w:tr w14:paraId="649AFA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361" w:type="pct"/>
            <w:tcBorders>
              <w:tl2br w:val="nil"/>
              <w:tr2bl w:val="nil"/>
            </w:tcBorders>
            <w:noWrap w:val="0"/>
            <w:vAlign w:val="center"/>
          </w:tcPr>
          <w:p w14:paraId="45342D08">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b/>
                <w:bCs/>
                <w:caps w:val="0"/>
                <w:snapToGrid/>
                <w:color w:val="auto"/>
                <w:spacing w:val="0"/>
                <w:w w:val="100"/>
                <w:kern w:val="0"/>
                <w:position w:val="0"/>
                <w:sz w:val="21"/>
                <w:szCs w:val="21"/>
                <w:highlight w:val="none"/>
                <w:shd w:val="clear" w:color="auto" w:fill="auto"/>
              </w:rPr>
              <w:t>序号</w:t>
            </w:r>
          </w:p>
        </w:tc>
        <w:tc>
          <w:tcPr>
            <w:tcW w:w="532" w:type="pct"/>
            <w:tcBorders>
              <w:tl2br w:val="nil"/>
              <w:tr2bl w:val="nil"/>
            </w:tcBorders>
            <w:noWrap w:val="0"/>
            <w:vAlign w:val="center"/>
          </w:tcPr>
          <w:p w14:paraId="32022232">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b/>
                <w:bCs/>
                <w:caps w:val="0"/>
                <w:snapToGrid/>
                <w:color w:val="auto"/>
                <w:spacing w:val="0"/>
                <w:w w:val="100"/>
                <w:kern w:val="0"/>
                <w:position w:val="0"/>
                <w:sz w:val="21"/>
                <w:szCs w:val="21"/>
                <w:highlight w:val="none"/>
                <w:shd w:val="clear" w:color="auto" w:fill="auto"/>
              </w:rPr>
              <w:t>风险物质</w:t>
            </w:r>
          </w:p>
        </w:tc>
        <w:tc>
          <w:tcPr>
            <w:tcW w:w="555" w:type="pct"/>
            <w:tcBorders>
              <w:tl2br w:val="nil"/>
              <w:tr2bl w:val="nil"/>
            </w:tcBorders>
            <w:noWrap w:val="0"/>
            <w:vAlign w:val="center"/>
          </w:tcPr>
          <w:p w14:paraId="38D42E50">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b/>
                <w:bCs/>
                <w:caps w:val="0"/>
                <w:snapToGrid/>
                <w:color w:val="auto"/>
                <w:spacing w:val="0"/>
                <w:w w:val="100"/>
                <w:kern w:val="0"/>
                <w:position w:val="0"/>
                <w:sz w:val="21"/>
                <w:szCs w:val="21"/>
                <w:highlight w:val="none"/>
                <w:shd w:val="clear" w:color="auto" w:fill="auto"/>
              </w:rPr>
              <w:t>临界量（t）</w:t>
            </w:r>
          </w:p>
        </w:tc>
        <w:tc>
          <w:tcPr>
            <w:tcW w:w="836" w:type="pct"/>
            <w:tcBorders>
              <w:tl2br w:val="nil"/>
              <w:tr2bl w:val="nil"/>
            </w:tcBorders>
            <w:noWrap w:val="0"/>
            <w:vAlign w:val="center"/>
          </w:tcPr>
          <w:p w14:paraId="469C87EE">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b/>
                <w:bCs/>
                <w:caps w:val="0"/>
                <w:snapToGrid/>
                <w:color w:val="auto"/>
                <w:spacing w:val="0"/>
                <w:w w:val="100"/>
                <w:kern w:val="0"/>
                <w:position w:val="0"/>
                <w:sz w:val="21"/>
                <w:szCs w:val="21"/>
                <w:highlight w:val="none"/>
                <w:shd w:val="clear" w:color="auto" w:fill="auto"/>
                <w:lang w:val="en-US" w:eastAsia="zh-CN"/>
              </w:rPr>
              <w:t>最大</w:t>
            </w:r>
            <w:r>
              <w:rPr>
                <w:rFonts w:hint="default" w:ascii="Times New Roman" w:hAnsi="Times New Roman" w:eastAsia="宋体" w:cs="Times New Roman"/>
                <w:b/>
                <w:bCs/>
                <w:caps w:val="0"/>
                <w:snapToGrid/>
                <w:color w:val="auto"/>
                <w:spacing w:val="0"/>
                <w:w w:val="100"/>
                <w:kern w:val="0"/>
                <w:position w:val="0"/>
                <w:sz w:val="21"/>
                <w:szCs w:val="21"/>
                <w:highlight w:val="none"/>
                <w:shd w:val="clear" w:color="auto" w:fill="auto"/>
              </w:rPr>
              <w:t>储存量（t）</w:t>
            </w:r>
          </w:p>
        </w:tc>
        <w:tc>
          <w:tcPr>
            <w:tcW w:w="636" w:type="pct"/>
            <w:tcBorders>
              <w:tl2br w:val="nil"/>
              <w:tr2bl w:val="nil"/>
            </w:tcBorders>
            <w:noWrap w:val="0"/>
            <w:vAlign w:val="center"/>
          </w:tcPr>
          <w:p w14:paraId="69017CAC">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b/>
                <w:bCs/>
                <w:caps w:val="0"/>
                <w:snapToGrid/>
                <w:color w:val="auto"/>
                <w:spacing w:val="0"/>
                <w:w w:val="100"/>
                <w:kern w:val="0"/>
                <w:position w:val="0"/>
                <w:sz w:val="21"/>
                <w:szCs w:val="21"/>
                <w:highlight w:val="none"/>
                <w:shd w:val="clear" w:color="auto" w:fill="auto"/>
              </w:rPr>
              <w:t>临界量比值（Q）</w:t>
            </w:r>
          </w:p>
        </w:tc>
        <w:tc>
          <w:tcPr>
            <w:tcW w:w="636" w:type="pct"/>
            <w:tcBorders>
              <w:tl2br w:val="nil"/>
              <w:tr2bl w:val="nil"/>
            </w:tcBorders>
            <w:noWrap w:val="0"/>
            <w:vAlign w:val="center"/>
          </w:tcPr>
          <w:p w14:paraId="658406C2">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b/>
                <w:bCs/>
                <w:caps w:val="0"/>
                <w:snapToGrid/>
                <w:color w:val="auto"/>
                <w:spacing w:val="0"/>
                <w:w w:val="100"/>
                <w:kern w:val="0"/>
                <w:position w:val="0"/>
                <w:sz w:val="21"/>
                <w:szCs w:val="21"/>
                <w:highlight w:val="none"/>
                <w:shd w:val="clear" w:color="auto" w:fill="auto"/>
              </w:rPr>
              <w:t>储存方式</w:t>
            </w:r>
          </w:p>
        </w:tc>
        <w:tc>
          <w:tcPr>
            <w:tcW w:w="1442" w:type="pct"/>
            <w:tcBorders>
              <w:tl2br w:val="nil"/>
              <w:tr2bl w:val="nil"/>
            </w:tcBorders>
            <w:noWrap w:val="0"/>
            <w:vAlign w:val="center"/>
          </w:tcPr>
          <w:p w14:paraId="21CA9959">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b/>
                <w:bCs/>
                <w:caps w:val="0"/>
                <w:snapToGrid/>
                <w:color w:val="auto"/>
                <w:spacing w:val="0"/>
                <w:w w:val="100"/>
                <w:kern w:val="0"/>
                <w:position w:val="0"/>
                <w:sz w:val="21"/>
                <w:szCs w:val="21"/>
                <w:highlight w:val="none"/>
                <w:shd w:val="clear" w:color="auto" w:fill="auto"/>
              </w:rPr>
              <w:t>备注</w:t>
            </w:r>
          </w:p>
        </w:tc>
      </w:tr>
      <w:tr w14:paraId="788060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361" w:type="pct"/>
            <w:tcBorders>
              <w:tl2br w:val="nil"/>
              <w:tr2bl w:val="nil"/>
            </w:tcBorders>
            <w:noWrap w:val="0"/>
            <w:vAlign w:val="center"/>
          </w:tcPr>
          <w:p w14:paraId="24A155FC">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rPr>
              <w:t>1</w:t>
            </w:r>
          </w:p>
        </w:tc>
        <w:tc>
          <w:tcPr>
            <w:tcW w:w="532" w:type="pct"/>
            <w:tcBorders>
              <w:tl2br w:val="nil"/>
              <w:tr2bl w:val="nil"/>
            </w:tcBorders>
            <w:shd w:val="clear" w:color="auto" w:fill="auto"/>
            <w:noWrap w:val="0"/>
            <w:vAlign w:val="center"/>
          </w:tcPr>
          <w:p w14:paraId="02917666">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bidi="ar-SA"/>
              </w:rPr>
            </w:pP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lang w:val="en-US" w:eastAsia="zh-CN"/>
              </w:rPr>
              <w:t>废</w:t>
            </w:r>
            <w:r>
              <w:rPr>
                <w:rFonts w:hint="eastAsia" w:ascii="Times New Roman" w:hAnsi="Times New Roman" w:eastAsia="宋体" w:cs="Times New Roman"/>
                <w:caps w:val="0"/>
                <w:snapToGrid/>
                <w:color w:val="auto"/>
                <w:spacing w:val="0"/>
                <w:w w:val="100"/>
                <w:kern w:val="0"/>
                <w:position w:val="0"/>
                <w:sz w:val="21"/>
                <w:szCs w:val="21"/>
                <w:highlight w:val="none"/>
                <w:shd w:val="clear" w:color="auto" w:fill="auto"/>
                <w:lang w:val="en-US" w:eastAsia="zh-CN"/>
              </w:rPr>
              <w:t>机</w:t>
            </w: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lang w:val="en-US" w:eastAsia="zh-CN"/>
              </w:rPr>
              <w:t>油</w:t>
            </w:r>
          </w:p>
        </w:tc>
        <w:tc>
          <w:tcPr>
            <w:tcW w:w="555" w:type="pct"/>
            <w:tcBorders>
              <w:tl2br w:val="nil"/>
              <w:tr2bl w:val="nil"/>
            </w:tcBorders>
            <w:shd w:val="clear" w:color="auto" w:fill="auto"/>
            <w:noWrap w:val="0"/>
            <w:vAlign w:val="center"/>
          </w:tcPr>
          <w:p w14:paraId="444870A1">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bidi="ar-SA"/>
              </w:rPr>
            </w:pPr>
            <w:r>
              <w:rPr>
                <w:rFonts w:hint="eastAsia" w:cs="Times New Roman"/>
                <w:caps w:val="0"/>
                <w:snapToGrid/>
                <w:color w:val="auto"/>
                <w:spacing w:val="0"/>
                <w:w w:val="100"/>
                <w:kern w:val="21"/>
                <w:position w:val="0"/>
                <w:sz w:val="21"/>
                <w:szCs w:val="21"/>
                <w:highlight w:val="none"/>
                <w:shd w:val="clear" w:color="auto" w:fill="auto"/>
                <w:lang w:val="en-US" w:eastAsia="zh-CN"/>
              </w:rPr>
              <w:t>2500</w:t>
            </w:r>
          </w:p>
        </w:tc>
        <w:tc>
          <w:tcPr>
            <w:tcW w:w="836" w:type="pct"/>
            <w:tcBorders>
              <w:tl2br w:val="nil"/>
              <w:tr2bl w:val="nil"/>
            </w:tcBorders>
            <w:shd w:val="clear" w:color="auto" w:fill="auto"/>
            <w:noWrap w:val="0"/>
            <w:vAlign w:val="center"/>
          </w:tcPr>
          <w:p w14:paraId="73C5F568">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bidi="ar-SA"/>
              </w:rPr>
            </w:pPr>
            <w:r>
              <w:rPr>
                <w:rFonts w:hint="eastAsia" w:cs="Times New Roman"/>
                <w:caps w:val="0"/>
                <w:snapToGrid/>
                <w:color w:val="auto"/>
                <w:spacing w:val="0"/>
                <w:w w:val="100"/>
                <w:kern w:val="21"/>
                <w:position w:val="0"/>
                <w:sz w:val="21"/>
                <w:szCs w:val="21"/>
                <w:highlight w:val="none"/>
                <w:shd w:val="clear" w:color="auto" w:fill="auto"/>
                <w:lang w:val="en-US" w:eastAsia="zh-CN"/>
              </w:rPr>
              <w:t>0.1</w:t>
            </w:r>
          </w:p>
        </w:tc>
        <w:tc>
          <w:tcPr>
            <w:tcW w:w="636" w:type="pct"/>
            <w:tcBorders>
              <w:tl2br w:val="nil"/>
              <w:tr2bl w:val="nil"/>
            </w:tcBorders>
            <w:shd w:val="clear" w:color="auto" w:fill="auto"/>
            <w:noWrap w:val="0"/>
            <w:vAlign w:val="bottom"/>
          </w:tcPr>
          <w:p w14:paraId="6BBE1929">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bidi="ar"/>
              </w:rPr>
            </w:pPr>
            <w:r>
              <w:rPr>
                <w:rFonts w:hint="default" w:cs="Times New Roman"/>
                <w:caps w:val="0"/>
                <w:snapToGrid/>
                <w:color w:val="auto"/>
                <w:spacing w:val="0"/>
                <w:w w:val="100"/>
                <w:kern w:val="21"/>
                <w:position w:val="0"/>
                <w:sz w:val="21"/>
                <w:szCs w:val="21"/>
                <w:highlight w:val="none"/>
                <w:shd w:val="clear" w:color="auto" w:fill="auto"/>
                <w:lang w:val="en-US" w:eastAsia="zh-CN"/>
              </w:rPr>
              <w:t>0.000</w:t>
            </w:r>
            <w:r>
              <w:rPr>
                <w:rFonts w:hint="eastAsia" w:cs="Times New Roman"/>
                <w:caps w:val="0"/>
                <w:snapToGrid/>
                <w:color w:val="auto"/>
                <w:spacing w:val="0"/>
                <w:w w:val="100"/>
                <w:kern w:val="21"/>
                <w:position w:val="0"/>
                <w:sz w:val="21"/>
                <w:szCs w:val="21"/>
                <w:highlight w:val="none"/>
                <w:shd w:val="clear" w:color="auto" w:fill="auto"/>
                <w:lang w:val="en-US" w:eastAsia="zh-CN"/>
              </w:rPr>
              <w:t>04</w:t>
            </w:r>
          </w:p>
        </w:tc>
        <w:tc>
          <w:tcPr>
            <w:tcW w:w="636" w:type="pct"/>
            <w:tcBorders>
              <w:tl2br w:val="nil"/>
              <w:tr2bl w:val="nil"/>
            </w:tcBorders>
            <w:shd w:val="clear" w:color="auto" w:fill="auto"/>
            <w:noWrap w:val="0"/>
            <w:vAlign w:val="center"/>
          </w:tcPr>
          <w:p w14:paraId="3973B201">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rPr>
              <w:t>桶装</w:t>
            </w:r>
          </w:p>
        </w:tc>
        <w:tc>
          <w:tcPr>
            <w:tcW w:w="1442" w:type="pct"/>
            <w:tcBorders>
              <w:tl2br w:val="nil"/>
              <w:tr2bl w:val="nil"/>
            </w:tcBorders>
            <w:shd w:val="clear" w:color="auto" w:fill="auto"/>
            <w:noWrap w:val="0"/>
            <w:vAlign w:val="center"/>
          </w:tcPr>
          <w:p w14:paraId="5BF6F7C6">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shd w:val="clear" w:color="auto" w:fill="auto"/>
                <w:lang w:val="en-US" w:eastAsia="zh-CN" w:bidi="ar-SA"/>
              </w:rPr>
            </w:pPr>
            <w:r>
              <w:rPr>
                <w:rFonts w:hint="eastAsia" w:cs="Times New Roman"/>
                <w:caps w:val="0"/>
                <w:snapToGrid/>
                <w:color w:val="auto"/>
                <w:spacing w:val="0"/>
                <w:w w:val="100"/>
                <w:kern w:val="21"/>
                <w:position w:val="0"/>
                <w:sz w:val="21"/>
                <w:szCs w:val="21"/>
                <w:highlight w:val="none"/>
                <w:shd w:val="clear" w:color="auto" w:fill="auto"/>
                <w:lang w:val="en-US" w:eastAsia="zh-CN"/>
              </w:rPr>
              <w:t>危废贮存库</w:t>
            </w:r>
          </w:p>
        </w:tc>
      </w:tr>
      <w:tr w14:paraId="75FE5D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284" w:type="pct"/>
            <w:gridSpan w:val="4"/>
            <w:tcBorders>
              <w:tl2br w:val="nil"/>
              <w:tr2bl w:val="nil"/>
            </w:tcBorders>
            <w:shd w:val="clear" w:color="auto" w:fill="auto"/>
            <w:noWrap w:val="0"/>
            <w:vAlign w:val="center"/>
          </w:tcPr>
          <w:p w14:paraId="360B54A3">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lang w:val="en-US" w:eastAsia="zh-CN"/>
              </w:rPr>
              <w:t>合计</w:t>
            </w:r>
          </w:p>
        </w:tc>
        <w:tc>
          <w:tcPr>
            <w:tcW w:w="636" w:type="pct"/>
            <w:tcBorders>
              <w:tl2br w:val="nil"/>
              <w:tr2bl w:val="nil"/>
            </w:tcBorders>
            <w:shd w:val="clear" w:color="auto" w:fill="auto"/>
            <w:noWrap w:val="0"/>
            <w:vAlign w:val="bottom"/>
          </w:tcPr>
          <w:p w14:paraId="19E19938">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cs="Times New Roman"/>
                <w:caps w:val="0"/>
                <w:snapToGrid/>
                <w:color w:val="auto"/>
                <w:spacing w:val="0"/>
                <w:w w:val="100"/>
                <w:kern w:val="21"/>
                <w:position w:val="0"/>
                <w:sz w:val="21"/>
                <w:szCs w:val="21"/>
                <w:highlight w:val="none"/>
                <w:shd w:val="clear" w:color="auto" w:fill="auto"/>
                <w:lang w:val="en-US" w:eastAsia="zh-CN"/>
              </w:rPr>
            </w:pPr>
            <w:r>
              <w:rPr>
                <w:rFonts w:hint="default" w:cs="Times New Roman"/>
                <w:caps w:val="0"/>
                <w:snapToGrid/>
                <w:color w:val="auto"/>
                <w:spacing w:val="0"/>
                <w:w w:val="100"/>
                <w:kern w:val="21"/>
                <w:position w:val="0"/>
                <w:sz w:val="21"/>
                <w:szCs w:val="21"/>
                <w:highlight w:val="none"/>
                <w:shd w:val="clear" w:color="auto" w:fill="auto"/>
                <w:lang w:val="en-US" w:eastAsia="zh-CN"/>
              </w:rPr>
              <w:t>0.0</w:t>
            </w:r>
            <w:r>
              <w:rPr>
                <w:rFonts w:hint="eastAsia" w:cs="Times New Roman"/>
                <w:caps w:val="0"/>
                <w:snapToGrid/>
                <w:color w:val="auto"/>
                <w:spacing w:val="0"/>
                <w:w w:val="100"/>
                <w:kern w:val="21"/>
                <w:position w:val="0"/>
                <w:sz w:val="21"/>
                <w:szCs w:val="21"/>
                <w:highlight w:val="none"/>
                <w:shd w:val="clear" w:color="auto" w:fill="auto"/>
                <w:lang w:val="en-US" w:eastAsia="zh-CN"/>
              </w:rPr>
              <w:t>0004</w:t>
            </w:r>
          </w:p>
        </w:tc>
        <w:tc>
          <w:tcPr>
            <w:tcW w:w="636" w:type="pct"/>
            <w:tcBorders>
              <w:tl2br w:val="nil"/>
              <w:tr2bl w:val="nil"/>
            </w:tcBorders>
            <w:shd w:val="clear" w:color="auto" w:fill="auto"/>
            <w:noWrap w:val="0"/>
            <w:vAlign w:val="center"/>
          </w:tcPr>
          <w:p w14:paraId="61297609">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lang w:val="en-US" w:eastAsia="zh-CN"/>
              </w:rPr>
              <w:t>/</w:t>
            </w:r>
          </w:p>
        </w:tc>
        <w:tc>
          <w:tcPr>
            <w:tcW w:w="1442" w:type="pct"/>
            <w:tcBorders>
              <w:tl2br w:val="nil"/>
              <w:tr2bl w:val="nil"/>
            </w:tcBorders>
            <w:shd w:val="clear" w:color="auto" w:fill="auto"/>
            <w:noWrap w:val="0"/>
            <w:vAlign w:val="center"/>
          </w:tcPr>
          <w:p w14:paraId="4270E318">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lang w:val="en-US" w:eastAsia="zh-CN"/>
              </w:rPr>
              <w:t>/</w:t>
            </w:r>
          </w:p>
        </w:tc>
      </w:tr>
    </w:tbl>
    <w:p w14:paraId="7B0B8D41">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lang w:eastAsia="zh-CN"/>
        </w:rPr>
      </w:pPr>
      <w:r>
        <w:rPr>
          <w:rFonts w:hint="default" w:ascii="Times New Roman" w:hAnsi="Times New Roman" w:eastAsia="宋体" w:cs="Times New Roman"/>
          <w:caps w:val="0"/>
          <w:snapToGrid/>
          <w:color w:val="auto"/>
          <w:spacing w:val="0"/>
          <w:w w:val="100"/>
          <w:kern w:val="0"/>
          <w:position w:val="0"/>
          <w:sz w:val="24"/>
          <w:szCs w:val="24"/>
          <w:highlight w:val="none"/>
        </w:rPr>
        <w:t>本项目涉及的危险化学品Q=</w:t>
      </w:r>
      <w:r>
        <w:rPr>
          <w:rFonts w:hint="eastAsia" w:cs="Times New Roman"/>
          <w:caps w:val="0"/>
          <w:snapToGrid/>
          <w:color w:val="auto"/>
          <w:spacing w:val="0"/>
          <w:w w:val="100"/>
          <w:kern w:val="0"/>
          <w:position w:val="0"/>
          <w:sz w:val="24"/>
          <w:szCs w:val="24"/>
          <w:highlight w:val="none"/>
          <w:lang w:eastAsia="zh-CN"/>
        </w:rPr>
        <w:t>0.00004</w:t>
      </w:r>
      <w:r>
        <w:rPr>
          <w:rFonts w:hint="default" w:ascii="Times New Roman" w:hAnsi="Times New Roman" w:eastAsia="宋体" w:cs="Times New Roman"/>
          <w:caps w:val="0"/>
          <w:snapToGrid/>
          <w:color w:val="auto"/>
          <w:spacing w:val="0"/>
          <w:w w:val="100"/>
          <w:kern w:val="0"/>
          <w:position w:val="0"/>
          <w:sz w:val="24"/>
          <w:szCs w:val="24"/>
          <w:highlight w:val="none"/>
        </w:rPr>
        <w:t>＜1。</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本项目</w:t>
      </w:r>
      <w:r>
        <w:rPr>
          <w:rFonts w:hint="default" w:ascii="Times New Roman" w:hAnsi="Times New Roman" w:eastAsia="宋体" w:cs="Times New Roman"/>
          <w:caps w:val="0"/>
          <w:snapToGrid/>
          <w:color w:val="auto"/>
          <w:spacing w:val="0"/>
          <w:w w:val="100"/>
          <w:kern w:val="0"/>
          <w:position w:val="0"/>
          <w:sz w:val="24"/>
          <w:szCs w:val="24"/>
          <w:highlight w:val="none"/>
        </w:rPr>
        <w:t>环境风险潜势为Ⅰ</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，为环境风险简单分析</w:t>
      </w:r>
      <w:r>
        <w:rPr>
          <w:rFonts w:hint="default" w:ascii="Times New Roman" w:hAnsi="Times New Roman" w:eastAsia="宋体" w:cs="Times New Roman"/>
          <w:caps w:val="0"/>
          <w:snapToGrid/>
          <w:color w:val="auto"/>
          <w:spacing w:val="0"/>
          <w:w w:val="100"/>
          <w:kern w:val="0"/>
          <w:position w:val="0"/>
          <w:sz w:val="24"/>
          <w:szCs w:val="24"/>
          <w:highlight w:val="none"/>
          <w:lang w:eastAsia="zh-CN"/>
        </w:rPr>
        <w:t>。</w:t>
      </w:r>
    </w:p>
    <w:p w14:paraId="4E30560C">
      <w:pPr>
        <w:pStyle w:val="5"/>
        <w:keepNext w:val="0"/>
        <w:keepLines w:val="0"/>
        <w:pageBreakBefore w:val="0"/>
        <w:widowControl w:val="0"/>
        <w:kinsoku/>
        <w:wordWrap/>
        <w:overflowPunct/>
        <w:topLinePunct w:val="0"/>
        <w:autoSpaceDE/>
        <w:autoSpaceDN/>
        <w:bidi w:val="0"/>
        <w:rPr>
          <w:rFonts w:hint="default"/>
          <w:color w:val="auto"/>
          <w:spacing w:val="0"/>
          <w:w w:val="100"/>
          <w:position w:val="0"/>
          <w:lang w:val="en-US" w:eastAsia="zh-CN"/>
        </w:rPr>
      </w:pPr>
      <w:r>
        <w:rPr>
          <w:rFonts w:hint="eastAsia"/>
          <w:color w:val="auto"/>
          <w:spacing w:val="0"/>
          <w:w w:val="100"/>
          <w:position w:val="0"/>
          <w:lang w:val="en-US" w:eastAsia="zh-CN"/>
        </w:rPr>
        <w:t>5.2.6.2</w:t>
      </w:r>
      <w:r>
        <w:rPr>
          <w:rFonts w:hint="default"/>
          <w:color w:val="auto"/>
          <w:spacing w:val="0"/>
          <w:w w:val="100"/>
          <w:position w:val="0"/>
          <w:lang w:val="en-US" w:eastAsia="zh-CN"/>
        </w:rPr>
        <w:t>环境敏感目标概况</w:t>
      </w:r>
    </w:p>
    <w:p w14:paraId="5DD45703">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b/>
          <w:caps w:val="0"/>
          <w:snapToGrid/>
          <w:color w:val="auto"/>
          <w:spacing w:val="0"/>
          <w:w w:val="100"/>
          <w:kern w:val="0"/>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0"/>
          <w:position w:val="0"/>
          <w:sz w:val="24"/>
          <w:highlight w:val="none"/>
        </w:rPr>
        <w:t>根据项目涉及的危险物质可能的影响途径和所在区域的实际环境特点</w:t>
      </w:r>
      <w:r>
        <w:rPr>
          <w:rFonts w:hint="default" w:ascii="Times New Roman" w:hAnsi="Times New Roman" w:eastAsia="宋体" w:cs="Times New Roman"/>
          <w:caps w:val="0"/>
          <w:snapToGrid/>
          <w:color w:val="auto"/>
          <w:spacing w:val="0"/>
          <w:w w:val="100"/>
          <w:kern w:val="0"/>
          <w:position w:val="0"/>
          <w:sz w:val="24"/>
          <w:highlight w:val="none"/>
          <w:lang w:eastAsia="zh-CN"/>
        </w:rPr>
        <w:t>，</w:t>
      </w:r>
      <w:r>
        <w:rPr>
          <w:rFonts w:hint="default" w:ascii="Times New Roman" w:hAnsi="Times New Roman" w:eastAsia="宋体" w:cs="Times New Roman"/>
          <w:caps w:val="0"/>
          <w:snapToGrid/>
          <w:color w:val="auto"/>
          <w:spacing w:val="0"/>
          <w:w w:val="100"/>
          <w:kern w:val="0"/>
          <w:position w:val="0"/>
          <w:sz w:val="24"/>
          <w:highlight w:val="none"/>
          <w:lang w:val="en-US" w:eastAsia="zh-CN"/>
        </w:rPr>
        <w:t>本项目周边500m范围内不存在环境保护目标，均为规划的工业企业，全部建成后，周边500m范围内人口总数约500～1000人，为大气环境中度敏感区。</w:t>
      </w:r>
    </w:p>
    <w:p w14:paraId="30D97C66">
      <w:pPr>
        <w:pStyle w:val="5"/>
        <w:keepNext w:val="0"/>
        <w:keepLines w:val="0"/>
        <w:pageBreakBefore w:val="0"/>
        <w:widowControl w:val="0"/>
        <w:kinsoku/>
        <w:wordWrap/>
        <w:overflowPunct/>
        <w:topLinePunct w:val="0"/>
        <w:autoSpaceDE/>
        <w:autoSpaceDN/>
        <w:bidi w:val="0"/>
        <w:rPr>
          <w:rFonts w:hint="default"/>
          <w:color w:val="auto"/>
          <w:spacing w:val="0"/>
          <w:w w:val="100"/>
          <w:position w:val="0"/>
          <w:lang w:val="en-US" w:eastAsia="zh-CN"/>
        </w:rPr>
      </w:pPr>
      <w:r>
        <w:rPr>
          <w:rFonts w:hint="eastAsia"/>
          <w:color w:val="auto"/>
          <w:spacing w:val="0"/>
          <w:w w:val="100"/>
          <w:position w:val="0"/>
          <w:lang w:val="en-US" w:eastAsia="zh-CN"/>
        </w:rPr>
        <w:t>5.2.6.3</w:t>
      </w:r>
      <w:r>
        <w:rPr>
          <w:rFonts w:hint="default"/>
          <w:color w:val="auto"/>
          <w:spacing w:val="0"/>
          <w:w w:val="100"/>
          <w:position w:val="0"/>
          <w:lang w:val="en-US" w:eastAsia="zh-CN"/>
        </w:rPr>
        <w:t>环境风险识别</w:t>
      </w:r>
    </w:p>
    <w:p w14:paraId="49BB0DE3">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b w:val="0"/>
          <w:bCs w:val="0"/>
          <w:caps w:val="0"/>
          <w:snapToGrid/>
          <w:color w:val="auto"/>
          <w:spacing w:val="0"/>
          <w:w w:val="100"/>
          <w:kern w:val="0"/>
          <w:position w:val="0"/>
          <w:sz w:val="24"/>
          <w:szCs w:val="20"/>
          <w:highlight w:val="none"/>
          <w:lang w:val="en-US" w:eastAsia="zh-CN"/>
        </w:rPr>
      </w:pPr>
      <w:r>
        <w:rPr>
          <w:rFonts w:hint="default" w:ascii="Times New Roman" w:hAnsi="Times New Roman" w:eastAsia="宋体" w:cs="Times New Roman"/>
          <w:b w:val="0"/>
          <w:bCs w:val="0"/>
          <w:caps w:val="0"/>
          <w:snapToGrid/>
          <w:color w:val="auto"/>
          <w:spacing w:val="0"/>
          <w:w w:val="100"/>
          <w:kern w:val="0"/>
          <w:position w:val="0"/>
          <w:sz w:val="24"/>
          <w:szCs w:val="20"/>
          <w:highlight w:val="none"/>
          <w:lang w:val="en-US" w:eastAsia="zh-CN"/>
        </w:rPr>
        <w:t>本项目涉及的主要环境风险物质为</w:t>
      </w:r>
      <w:r>
        <w:rPr>
          <w:rFonts w:hint="eastAsia" w:cs="Times New Roman"/>
          <w:b w:val="0"/>
          <w:bCs w:val="0"/>
          <w:caps w:val="0"/>
          <w:snapToGrid/>
          <w:color w:val="auto"/>
          <w:spacing w:val="0"/>
          <w:w w:val="100"/>
          <w:kern w:val="0"/>
          <w:position w:val="0"/>
          <w:sz w:val="24"/>
          <w:szCs w:val="20"/>
          <w:highlight w:val="none"/>
          <w:lang w:val="en-US" w:eastAsia="zh-CN"/>
        </w:rPr>
        <w:t>废机油，废机油</w:t>
      </w:r>
      <w:r>
        <w:rPr>
          <w:rFonts w:hint="default" w:ascii="Times New Roman" w:hAnsi="Times New Roman" w:eastAsia="宋体" w:cs="Times New Roman"/>
          <w:b w:val="0"/>
          <w:bCs w:val="0"/>
          <w:caps w:val="0"/>
          <w:snapToGrid/>
          <w:color w:val="auto"/>
          <w:spacing w:val="0"/>
          <w:w w:val="100"/>
          <w:kern w:val="0"/>
          <w:position w:val="0"/>
          <w:sz w:val="24"/>
          <w:szCs w:val="20"/>
          <w:highlight w:val="none"/>
          <w:lang w:val="en-US" w:eastAsia="zh-CN"/>
        </w:rPr>
        <w:t>采用桶盛装，暂存在危废贮存库内</w:t>
      </w:r>
    </w:p>
    <w:p w14:paraId="1EEEE551">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b w:val="0"/>
          <w:bCs w:val="0"/>
          <w:caps w:val="0"/>
          <w:snapToGrid/>
          <w:color w:val="auto"/>
          <w:spacing w:val="0"/>
          <w:w w:val="100"/>
          <w:kern w:val="0"/>
          <w:position w:val="0"/>
          <w:sz w:val="24"/>
          <w:szCs w:val="20"/>
          <w:highlight w:val="none"/>
          <w:lang w:val="en-US" w:eastAsia="zh-CN"/>
        </w:rPr>
      </w:pPr>
      <w:r>
        <w:rPr>
          <w:rFonts w:hint="default" w:ascii="Times New Roman" w:hAnsi="Times New Roman" w:eastAsia="宋体" w:cs="Times New Roman"/>
          <w:b w:val="0"/>
          <w:bCs w:val="0"/>
          <w:caps w:val="0"/>
          <w:snapToGrid/>
          <w:color w:val="auto"/>
          <w:spacing w:val="0"/>
          <w:w w:val="100"/>
          <w:kern w:val="0"/>
          <w:position w:val="0"/>
          <w:sz w:val="24"/>
          <w:szCs w:val="20"/>
          <w:highlight w:val="none"/>
          <w:lang w:val="en-US" w:eastAsia="zh-CN"/>
        </w:rPr>
        <w:t>环境风险识别主要从生产设施风险和生产过程所涉及的物质风险两方面着手。通过对主要生产装置、生产过程的分析，结合所使用的物料物性及特点，本项目常见的风险类型主要包括以下几类：</w:t>
      </w:r>
    </w:p>
    <w:p w14:paraId="08E92D35">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b w:val="0"/>
          <w:bCs w:val="0"/>
          <w:caps w:val="0"/>
          <w:snapToGrid/>
          <w:color w:val="auto"/>
          <w:spacing w:val="0"/>
          <w:w w:val="100"/>
          <w:kern w:val="0"/>
          <w:position w:val="0"/>
          <w:sz w:val="24"/>
          <w:szCs w:val="20"/>
          <w:highlight w:val="none"/>
          <w:lang w:val="en-US" w:eastAsia="zh-CN"/>
        </w:rPr>
      </w:pPr>
      <w:r>
        <w:rPr>
          <w:rFonts w:hint="eastAsia" w:cs="Times New Roman"/>
          <w:b w:val="0"/>
          <w:bCs w:val="0"/>
          <w:caps w:val="0"/>
          <w:snapToGrid/>
          <w:color w:val="auto"/>
          <w:spacing w:val="0"/>
          <w:w w:val="100"/>
          <w:kern w:val="0"/>
          <w:position w:val="0"/>
          <w:sz w:val="24"/>
          <w:szCs w:val="20"/>
          <w:highlight w:val="none"/>
          <w:lang w:val="en-US" w:eastAsia="zh-CN"/>
        </w:rPr>
        <w:t>（1）</w:t>
      </w:r>
      <w:r>
        <w:rPr>
          <w:rFonts w:hint="default" w:ascii="Times New Roman" w:hAnsi="Times New Roman" w:eastAsia="宋体" w:cs="Times New Roman"/>
          <w:b w:val="0"/>
          <w:bCs w:val="0"/>
          <w:caps w:val="0"/>
          <w:snapToGrid/>
          <w:color w:val="auto"/>
          <w:spacing w:val="0"/>
          <w:w w:val="100"/>
          <w:kern w:val="0"/>
          <w:position w:val="0"/>
          <w:sz w:val="24"/>
          <w:szCs w:val="20"/>
          <w:highlight w:val="none"/>
          <w:lang w:val="en-US" w:eastAsia="zh-CN"/>
        </w:rPr>
        <w:t>生产过程风险识别</w:t>
      </w:r>
    </w:p>
    <w:p w14:paraId="7B7201E3">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b w:val="0"/>
          <w:bCs w:val="0"/>
          <w:caps w:val="0"/>
          <w:snapToGrid/>
          <w:color w:val="auto"/>
          <w:spacing w:val="0"/>
          <w:w w:val="100"/>
          <w:kern w:val="0"/>
          <w:position w:val="0"/>
          <w:sz w:val="24"/>
          <w:szCs w:val="20"/>
          <w:highlight w:val="none"/>
          <w:lang w:val="en-US" w:eastAsia="zh-CN"/>
        </w:rPr>
      </w:pPr>
      <w:r>
        <w:rPr>
          <w:rFonts w:hint="default" w:ascii="Times New Roman" w:hAnsi="Times New Roman" w:eastAsia="宋体" w:cs="Times New Roman"/>
          <w:b w:val="0"/>
          <w:bCs w:val="0"/>
          <w:caps w:val="0"/>
          <w:snapToGrid/>
          <w:color w:val="auto"/>
          <w:spacing w:val="0"/>
          <w:w w:val="100"/>
          <w:kern w:val="0"/>
          <w:position w:val="0"/>
          <w:sz w:val="24"/>
          <w:szCs w:val="20"/>
          <w:highlight w:val="none"/>
          <w:lang w:val="en-US" w:eastAsia="zh-CN"/>
        </w:rPr>
        <w:t>生产过程中主要的潜在危险为使用过程中物料泄漏</w:t>
      </w:r>
      <w:r>
        <w:rPr>
          <w:rFonts w:hint="eastAsia" w:cs="Times New Roman"/>
          <w:b w:val="0"/>
          <w:bCs w:val="0"/>
          <w:caps w:val="0"/>
          <w:snapToGrid/>
          <w:color w:val="auto"/>
          <w:spacing w:val="0"/>
          <w:w w:val="100"/>
          <w:kern w:val="0"/>
          <w:position w:val="0"/>
          <w:sz w:val="24"/>
          <w:szCs w:val="20"/>
          <w:highlight w:val="none"/>
          <w:lang w:val="en-US" w:eastAsia="zh-CN"/>
        </w:rPr>
        <w:t>引起的</w:t>
      </w:r>
      <w:r>
        <w:rPr>
          <w:rFonts w:hint="default" w:ascii="Times New Roman" w:hAnsi="Times New Roman" w:eastAsia="宋体" w:cs="Times New Roman"/>
          <w:b w:val="0"/>
          <w:bCs w:val="0"/>
          <w:caps w:val="0"/>
          <w:snapToGrid/>
          <w:color w:val="auto"/>
          <w:spacing w:val="0"/>
          <w:w w:val="100"/>
          <w:kern w:val="0"/>
          <w:position w:val="0"/>
          <w:sz w:val="24"/>
          <w:szCs w:val="20"/>
          <w:highlight w:val="none"/>
          <w:lang w:val="en-US" w:eastAsia="zh-CN"/>
        </w:rPr>
        <w:t>火灾、爆炸事故。</w:t>
      </w:r>
    </w:p>
    <w:p w14:paraId="101C461F">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b w:val="0"/>
          <w:bCs w:val="0"/>
          <w:caps w:val="0"/>
          <w:snapToGrid/>
          <w:color w:val="auto"/>
          <w:spacing w:val="0"/>
          <w:w w:val="100"/>
          <w:kern w:val="0"/>
          <w:position w:val="0"/>
          <w:sz w:val="24"/>
          <w:szCs w:val="20"/>
          <w:highlight w:val="none"/>
          <w:lang w:val="en-US" w:eastAsia="zh-CN"/>
        </w:rPr>
      </w:pPr>
      <w:r>
        <w:rPr>
          <w:rFonts w:hint="eastAsia" w:cs="Times New Roman"/>
          <w:b w:val="0"/>
          <w:bCs w:val="0"/>
          <w:caps w:val="0"/>
          <w:snapToGrid/>
          <w:color w:val="auto"/>
          <w:spacing w:val="0"/>
          <w:w w:val="100"/>
          <w:kern w:val="0"/>
          <w:position w:val="0"/>
          <w:sz w:val="24"/>
          <w:szCs w:val="20"/>
          <w:highlight w:val="none"/>
          <w:lang w:val="en-US" w:eastAsia="zh-CN"/>
        </w:rPr>
        <w:t>废机油</w:t>
      </w:r>
      <w:r>
        <w:rPr>
          <w:rFonts w:hint="default" w:ascii="Times New Roman" w:hAnsi="Times New Roman" w:eastAsia="宋体" w:cs="Times New Roman"/>
          <w:b w:val="0"/>
          <w:bCs w:val="0"/>
          <w:caps w:val="0"/>
          <w:snapToGrid/>
          <w:color w:val="auto"/>
          <w:spacing w:val="0"/>
          <w:w w:val="100"/>
          <w:kern w:val="0"/>
          <w:position w:val="0"/>
          <w:sz w:val="24"/>
          <w:szCs w:val="20"/>
          <w:highlight w:val="none"/>
          <w:lang w:val="en-US" w:eastAsia="zh-CN"/>
        </w:rPr>
        <w:t>出现泄漏，泄漏的物料以易燃及可燃物质为主，遇到高温物体、明火、电火花会引起火灾、爆炸事故。</w:t>
      </w:r>
    </w:p>
    <w:p w14:paraId="073F1254">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b w:val="0"/>
          <w:bCs w:val="0"/>
          <w:caps w:val="0"/>
          <w:snapToGrid/>
          <w:color w:val="auto"/>
          <w:spacing w:val="0"/>
          <w:w w:val="100"/>
          <w:kern w:val="0"/>
          <w:position w:val="0"/>
          <w:sz w:val="24"/>
          <w:szCs w:val="20"/>
          <w:highlight w:val="none"/>
          <w:lang w:val="en-US" w:eastAsia="zh-CN"/>
        </w:rPr>
      </w:pPr>
      <w:r>
        <w:rPr>
          <w:rFonts w:hint="eastAsia" w:cs="Times New Roman"/>
          <w:b w:val="0"/>
          <w:bCs w:val="0"/>
          <w:caps w:val="0"/>
          <w:snapToGrid/>
          <w:color w:val="auto"/>
          <w:spacing w:val="0"/>
          <w:w w:val="100"/>
          <w:kern w:val="0"/>
          <w:position w:val="0"/>
          <w:sz w:val="24"/>
          <w:szCs w:val="20"/>
          <w:highlight w:val="none"/>
          <w:lang w:val="en-US" w:eastAsia="zh-CN"/>
        </w:rPr>
        <w:t>（2）</w:t>
      </w:r>
      <w:r>
        <w:rPr>
          <w:rFonts w:hint="default" w:ascii="Times New Roman" w:hAnsi="Times New Roman" w:eastAsia="宋体" w:cs="Times New Roman"/>
          <w:b w:val="0"/>
          <w:bCs w:val="0"/>
          <w:caps w:val="0"/>
          <w:snapToGrid/>
          <w:color w:val="auto"/>
          <w:spacing w:val="0"/>
          <w:w w:val="100"/>
          <w:kern w:val="0"/>
          <w:position w:val="0"/>
          <w:sz w:val="24"/>
          <w:szCs w:val="20"/>
          <w:highlight w:val="none"/>
          <w:lang w:val="en-US" w:eastAsia="zh-CN"/>
        </w:rPr>
        <w:t>运输过程中的风险事故影响分析</w:t>
      </w:r>
    </w:p>
    <w:p w14:paraId="1C34B9FF">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b w:val="0"/>
          <w:bCs w:val="0"/>
          <w:caps w:val="0"/>
          <w:snapToGrid/>
          <w:color w:val="auto"/>
          <w:spacing w:val="0"/>
          <w:w w:val="100"/>
          <w:kern w:val="0"/>
          <w:position w:val="0"/>
          <w:sz w:val="24"/>
          <w:szCs w:val="20"/>
          <w:highlight w:val="none"/>
          <w:lang w:val="en-US" w:eastAsia="zh-CN"/>
        </w:rPr>
      </w:pPr>
      <w:r>
        <w:rPr>
          <w:rFonts w:hint="default" w:ascii="Times New Roman" w:hAnsi="Times New Roman" w:eastAsia="宋体" w:cs="Times New Roman"/>
          <w:b w:val="0"/>
          <w:bCs w:val="0"/>
          <w:caps w:val="0"/>
          <w:snapToGrid/>
          <w:color w:val="auto"/>
          <w:spacing w:val="0"/>
          <w:w w:val="100"/>
          <w:kern w:val="0"/>
          <w:position w:val="0"/>
          <w:sz w:val="24"/>
          <w:szCs w:val="20"/>
          <w:highlight w:val="none"/>
          <w:lang w:val="en-US" w:eastAsia="zh-CN"/>
        </w:rPr>
        <w:t>本项目</w:t>
      </w:r>
      <w:r>
        <w:rPr>
          <w:rFonts w:hint="eastAsia" w:ascii="Times New Roman" w:hAnsi="Times New Roman" w:eastAsia="宋体" w:cs="Times New Roman"/>
          <w:b w:val="0"/>
          <w:bCs w:val="0"/>
          <w:caps w:val="0"/>
          <w:snapToGrid/>
          <w:color w:val="auto"/>
          <w:spacing w:val="0"/>
          <w:w w:val="100"/>
          <w:kern w:val="0"/>
          <w:position w:val="0"/>
          <w:sz w:val="24"/>
          <w:szCs w:val="20"/>
          <w:highlight w:val="none"/>
          <w:lang w:val="en-US" w:eastAsia="zh-CN"/>
        </w:rPr>
        <w:t>产生</w:t>
      </w:r>
      <w:r>
        <w:rPr>
          <w:rFonts w:hint="eastAsia" w:cs="Times New Roman"/>
          <w:b w:val="0"/>
          <w:bCs w:val="0"/>
          <w:caps w:val="0"/>
          <w:snapToGrid/>
          <w:color w:val="auto"/>
          <w:spacing w:val="0"/>
          <w:w w:val="100"/>
          <w:kern w:val="0"/>
          <w:position w:val="0"/>
          <w:sz w:val="24"/>
          <w:szCs w:val="20"/>
          <w:highlight w:val="none"/>
          <w:lang w:val="en-US" w:eastAsia="zh-CN"/>
        </w:rPr>
        <w:t>的</w:t>
      </w:r>
      <w:r>
        <w:rPr>
          <w:rFonts w:hint="default" w:ascii="Times New Roman" w:hAnsi="Times New Roman" w:eastAsia="宋体" w:cs="Times New Roman"/>
          <w:b w:val="0"/>
          <w:bCs w:val="0"/>
          <w:caps w:val="0"/>
          <w:snapToGrid/>
          <w:color w:val="auto"/>
          <w:spacing w:val="0"/>
          <w:w w:val="100"/>
          <w:kern w:val="0"/>
          <w:position w:val="0"/>
          <w:sz w:val="24"/>
          <w:szCs w:val="20"/>
          <w:highlight w:val="none"/>
          <w:lang w:val="en-US" w:eastAsia="zh-CN"/>
        </w:rPr>
        <w:t>运输过程如果出现翻车/</w:t>
      </w:r>
      <w:r>
        <w:rPr>
          <w:rFonts w:hint="eastAsia" w:cs="Times New Roman"/>
          <w:b w:val="0"/>
          <w:bCs w:val="0"/>
          <w:caps w:val="0"/>
          <w:snapToGrid/>
          <w:color w:val="auto"/>
          <w:spacing w:val="0"/>
          <w:w w:val="100"/>
          <w:kern w:val="0"/>
          <w:position w:val="0"/>
          <w:sz w:val="24"/>
          <w:szCs w:val="20"/>
          <w:highlight w:val="none"/>
          <w:lang w:val="en-US" w:eastAsia="zh-CN"/>
        </w:rPr>
        <w:t>泄漏</w:t>
      </w:r>
      <w:r>
        <w:rPr>
          <w:rFonts w:hint="default" w:ascii="Times New Roman" w:hAnsi="Times New Roman" w:eastAsia="宋体" w:cs="Times New Roman"/>
          <w:b w:val="0"/>
          <w:bCs w:val="0"/>
          <w:caps w:val="0"/>
          <w:snapToGrid/>
          <w:color w:val="auto"/>
          <w:spacing w:val="0"/>
          <w:w w:val="100"/>
          <w:kern w:val="0"/>
          <w:position w:val="0"/>
          <w:sz w:val="24"/>
          <w:szCs w:val="20"/>
          <w:highlight w:val="none"/>
          <w:lang w:val="en-US" w:eastAsia="zh-CN"/>
        </w:rPr>
        <w:t>事故，则可能污染地表水体、地下水和土壤等环境，但建设单位委托具有危险废物运输资质的专业运输公司，且运输路线避开饮用水源保护区及大型城镇中心，因此运输事故的影响后果也可以得到有效控制。另外，根据数据统计，危险废物运输车辆发生风险事故的概率为0.00011次/年，发生运输风险概率较低</w:t>
      </w:r>
    </w:p>
    <w:p w14:paraId="0B975BBE">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b w:val="0"/>
          <w:bCs w:val="0"/>
          <w:caps w:val="0"/>
          <w:snapToGrid/>
          <w:color w:val="auto"/>
          <w:spacing w:val="0"/>
          <w:w w:val="100"/>
          <w:kern w:val="0"/>
          <w:position w:val="0"/>
          <w:sz w:val="24"/>
          <w:szCs w:val="20"/>
          <w:highlight w:val="none"/>
          <w:lang w:val="en-US" w:eastAsia="zh-CN"/>
        </w:rPr>
      </w:pPr>
      <w:r>
        <w:rPr>
          <w:rFonts w:hint="eastAsia" w:cs="Times New Roman"/>
          <w:b w:val="0"/>
          <w:bCs w:val="0"/>
          <w:caps w:val="0"/>
          <w:snapToGrid/>
          <w:color w:val="auto"/>
          <w:spacing w:val="0"/>
          <w:w w:val="100"/>
          <w:kern w:val="0"/>
          <w:position w:val="0"/>
          <w:sz w:val="24"/>
          <w:szCs w:val="20"/>
          <w:highlight w:val="none"/>
          <w:lang w:val="en-US" w:eastAsia="zh-CN"/>
        </w:rPr>
        <w:t>（3）</w:t>
      </w:r>
      <w:r>
        <w:rPr>
          <w:rFonts w:hint="default" w:ascii="Times New Roman" w:hAnsi="Times New Roman" w:eastAsia="宋体" w:cs="Times New Roman"/>
          <w:b w:val="0"/>
          <w:bCs w:val="0"/>
          <w:caps w:val="0"/>
          <w:snapToGrid/>
          <w:color w:val="auto"/>
          <w:spacing w:val="0"/>
          <w:w w:val="100"/>
          <w:kern w:val="0"/>
          <w:position w:val="0"/>
          <w:sz w:val="24"/>
          <w:szCs w:val="20"/>
          <w:highlight w:val="none"/>
          <w:lang w:val="en-US" w:eastAsia="zh-CN"/>
        </w:rPr>
        <w:t>储存过程风险识别</w:t>
      </w:r>
    </w:p>
    <w:p w14:paraId="6B04A4B3">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b w:val="0"/>
          <w:bCs w:val="0"/>
          <w:caps w:val="0"/>
          <w:snapToGrid/>
          <w:color w:val="auto"/>
          <w:spacing w:val="0"/>
          <w:w w:val="100"/>
          <w:kern w:val="0"/>
          <w:position w:val="0"/>
          <w:sz w:val="24"/>
          <w:szCs w:val="20"/>
          <w:highlight w:val="none"/>
          <w:lang w:val="en-US" w:eastAsia="zh-CN"/>
        </w:rPr>
      </w:pPr>
      <w:r>
        <w:rPr>
          <w:rFonts w:hint="default" w:ascii="Times New Roman" w:hAnsi="Times New Roman" w:eastAsia="宋体" w:cs="Times New Roman"/>
          <w:b w:val="0"/>
          <w:bCs w:val="0"/>
          <w:caps w:val="0"/>
          <w:snapToGrid/>
          <w:color w:val="auto"/>
          <w:spacing w:val="0"/>
          <w:w w:val="100"/>
          <w:kern w:val="0"/>
          <w:position w:val="0"/>
          <w:sz w:val="24"/>
          <w:szCs w:val="20"/>
          <w:highlight w:val="none"/>
          <w:lang w:val="en-US" w:eastAsia="zh-CN"/>
        </w:rPr>
        <w:t>储存过程中存在的主要风险为：装有物料的桶出现破损，泄漏物料遇明火、高热发生火灾或爆炸风险事故。</w:t>
      </w:r>
    </w:p>
    <w:p w14:paraId="0049EB56">
      <w:pPr>
        <w:pStyle w:val="5"/>
        <w:keepNext w:val="0"/>
        <w:keepLines w:val="0"/>
        <w:pageBreakBefore w:val="0"/>
        <w:widowControl w:val="0"/>
        <w:kinsoku/>
        <w:wordWrap/>
        <w:overflowPunct/>
        <w:topLinePunct w:val="0"/>
        <w:autoSpaceDE/>
        <w:autoSpaceDN/>
        <w:bidi w:val="0"/>
        <w:rPr>
          <w:rFonts w:hint="default"/>
          <w:color w:val="auto"/>
          <w:spacing w:val="0"/>
          <w:w w:val="100"/>
          <w:position w:val="0"/>
          <w:lang w:val="en-US" w:eastAsia="zh-CN"/>
        </w:rPr>
      </w:pPr>
      <w:r>
        <w:rPr>
          <w:rFonts w:hint="eastAsia"/>
          <w:color w:val="auto"/>
          <w:spacing w:val="0"/>
          <w:w w:val="100"/>
          <w:position w:val="0"/>
          <w:lang w:val="en-US" w:eastAsia="zh-CN"/>
        </w:rPr>
        <w:t>5.2.6.4</w:t>
      </w:r>
      <w:r>
        <w:rPr>
          <w:rFonts w:hint="default"/>
          <w:color w:val="auto"/>
          <w:spacing w:val="0"/>
          <w:w w:val="100"/>
          <w:position w:val="0"/>
          <w:lang w:val="en-US" w:eastAsia="zh-CN"/>
        </w:rPr>
        <w:t>环境风险分析</w:t>
      </w:r>
    </w:p>
    <w:p w14:paraId="0B74EC33">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b w:val="0"/>
          <w:bCs w:val="0"/>
          <w:caps w:val="0"/>
          <w:snapToGrid/>
          <w:color w:val="auto"/>
          <w:spacing w:val="0"/>
          <w:w w:val="100"/>
          <w:kern w:val="0"/>
          <w:position w:val="0"/>
          <w:sz w:val="24"/>
          <w:szCs w:val="20"/>
          <w:highlight w:val="none"/>
          <w:lang w:val="en-US" w:eastAsia="zh-CN"/>
        </w:rPr>
      </w:pPr>
      <w:r>
        <w:rPr>
          <w:rFonts w:hint="eastAsia" w:cs="Times New Roman"/>
          <w:b w:val="0"/>
          <w:bCs w:val="0"/>
          <w:caps w:val="0"/>
          <w:snapToGrid/>
          <w:color w:val="auto"/>
          <w:spacing w:val="0"/>
          <w:w w:val="100"/>
          <w:kern w:val="0"/>
          <w:position w:val="0"/>
          <w:sz w:val="24"/>
          <w:szCs w:val="20"/>
          <w:highlight w:val="none"/>
          <w:lang w:val="en-US" w:eastAsia="zh-CN"/>
        </w:rPr>
        <w:t>（1）</w:t>
      </w:r>
      <w:r>
        <w:rPr>
          <w:rFonts w:hint="default" w:ascii="Times New Roman" w:hAnsi="Times New Roman" w:eastAsia="宋体" w:cs="Times New Roman"/>
          <w:b w:val="0"/>
          <w:bCs w:val="0"/>
          <w:color w:val="auto"/>
          <w:spacing w:val="0"/>
          <w:w w:val="100"/>
          <w:kern w:val="0"/>
          <w:position w:val="0"/>
          <w:sz w:val="24"/>
          <w:szCs w:val="24"/>
          <w:lang w:val="en-US" w:eastAsia="zh-CN" w:bidi="ar"/>
        </w:rPr>
        <w:t>非正常工况大气环境事故风险评价</w:t>
      </w:r>
    </w:p>
    <w:p w14:paraId="50176282">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b w:val="0"/>
          <w:bCs w:val="0"/>
          <w:caps w:val="0"/>
          <w:snapToGrid/>
          <w:color w:val="auto"/>
          <w:spacing w:val="0"/>
          <w:w w:val="100"/>
          <w:kern w:val="0"/>
          <w:position w:val="0"/>
          <w:sz w:val="24"/>
          <w:szCs w:val="20"/>
          <w:highlight w:val="none"/>
          <w:lang w:val="en-US" w:eastAsia="zh-CN"/>
        </w:rPr>
      </w:pPr>
      <w:r>
        <w:rPr>
          <w:rFonts w:hint="default" w:ascii="Times New Roman" w:hAnsi="Times New Roman" w:eastAsia="宋体" w:cs="Times New Roman"/>
          <w:b w:val="0"/>
          <w:bCs w:val="0"/>
          <w:caps w:val="0"/>
          <w:snapToGrid/>
          <w:color w:val="auto"/>
          <w:spacing w:val="0"/>
          <w:w w:val="100"/>
          <w:kern w:val="0"/>
          <w:position w:val="0"/>
          <w:sz w:val="24"/>
          <w:szCs w:val="20"/>
          <w:highlight w:val="none"/>
          <w:lang w:val="en-US" w:eastAsia="zh-CN"/>
        </w:rPr>
        <w:t>一旦各种工序废气防治措施出现事故，项目在生产过程中产生各种废气，可由呼吸或皮肤进入到人体内，与人体发生化学作用或物理作用，对人体健康产生危害。本项目在生产过程中产生的颗粒物、VOCs等，若不通过机械通排风收集、处理，会弥漫在厂房及周围大气中，对周边环境空气及居民造成一定的影响。因此发现废气处理装置失效事故时，应立即停止生产作业，控制事故影响。只要企业加强监管监控，定期维护和保养，其风险是可以控制的。</w:t>
      </w:r>
    </w:p>
    <w:p w14:paraId="042F1F4D">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b w:val="0"/>
          <w:bCs w:val="0"/>
          <w:caps w:val="0"/>
          <w:snapToGrid/>
          <w:color w:val="auto"/>
          <w:spacing w:val="0"/>
          <w:w w:val="100"/>
          <w:kern w:val="0"/>
          <w:position w:val="0"/>
          <w:sz w:val="24"/>
          <w:szCs w:val="20"/>
          <w:highlight w:val="none"/>
          <w:lang w:val="en-US" w:eastAsia="zh-CN"/>
        </w:rPr>
      </w:pPr>
      <w:r>
        <w:rPr>
          <w:rFonts w:hint="eastAsia" w:cs="Times New Roman"/>
          <w:b w:val="0"/>
          <w:bCs w:val="0"/>
          <w:caps w:val="0"/>
          <w:snapToGrid/>
          <w:color w:val="auto"/>
          <w:spacing w:val="0"/>
          <w:w w:val="100"/>
          <w:kern w:val="0"/>
          <w:position w:val="0"/>
          <w:sz w:val="24"/>
          <w:szCs w:val="20"/>
          <w:highlight w:val="none"/>
          <w:lang w:val="en-US" w:eastAsia="zh-CN"/>
        </w:rPr>
        <w:t>（2）</w:t>
      </w:r>
      <w:r>
        <w:rPr>
          <w:rFonts w:hint="default" w:ascii="Times New Roman" w:hAnsi="Times New Roman" w:eastAsia="宋体" w:cs="Times New Roman"/>
          <w:b w:val="0"/>
          <w:bCs w:val="0"/>
          <w:caps w:val="0"/>
          <w:snapToGrid/>
          <w:color w:val="auto"/>
          <w:spacing w:val="0"/>
          <w:w w:val="100"/>
          <w:kern w:val="0"/>
          <w:position w:val="0"/>
          <w:sz w:val="24"/>
          <w:szCs w:val="20"/>
          <w:highlight w:val="none"/>
          <w:lang w:val="en-US" w:eastAsia="zh-CN"/>
        </w:rPr>
        <w:t>水环境</w:t>
      </w:r>
    </w:p>
    <w:p w14:paraId="403082D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本项目与地表水体不发生水力联系</w:t>
      </w:r>
      <w:r>
        <w:rPr>
          <w:rFonts w:hint="default" w:ascii="Times New Roman" w:hAnsi="Times New Roman" w:eastAsia="宋体" w:cs="Times New Roman"/>
          <w:caps w:val="0"/>
          <w:snapToGrid/>
          <w:color w:val="auto"/>
          <w:spacing w:val="0"/>
          <w:w w:val="100"/>
          <w:kern w:val="0"/>
          <w:position w:val="0"/>
          <w:sz w:val="24"/>
          <w:szCs w:val="24"/>
          <w:highlight w:val="none"/>
          <w:lang w:eastAsia="zh-CN"/>
        </w:rPr>
        <w:t>，</w:t>
      </w:r>
      <w:r>
        <w:rPr>
          <w:rFonts w:hint="default" w:ascii="Times New Roman" w:hAnsi="Times New Roman" w:eastAsia="宋体" w:cs="Times New Roman"/>
          <w:caps w:val="0"/>
          <w:snapToGrid/>
          <w:color w:val="auto"/>
          <w:spacing w:val="0"/>
          <w:w w:val="100"/>
          <w:kern w:val="0"/>
          <w:position w:val="0"/>
          <w:sz w:val="24"/>
          <w:szCs w:val="24"/>
          <w:highlight w:val="none"/>
        </w:rPr>
        <w:t>事故情况下，</w:t>
      </w:r>
      <w:r>
        <w:rPr>
          <w:rFonts w:hint="default" w:ascii="Times New Roman" w:hAnsi="Times New Roman" w:eastAsia="宋体" w:cs="Times New Roman"/>
          <w:caps w:val="0"/>
          <w:snapToGrid/>
          <w:color w:val="auto"/>
          <w:spacing w:val="0"/>
          <w:w w:val="100"/>
          <w:kern w:val="0"/>
          <w:position w:val="0"/>
          <w:sz w:val="24"/>
          <w:szCs w:val="24"/>
          <w:highlight w:val="none"/>
          <w:lang w:eastAsia="zh-CN"/>
        </w:rPr>
        <w:t>泄漏</w:t>
      </w:r>
      <w:r>
        <w:rPr>
          <w:rFonts w:hint="default" w:ascii="Times New Roman" w:hAnsi="Times New Roman" w:eastAsia="宋体" w:cs="Times New Roman"/>
          <w:caps w:val="0"/>
          <w:snapToGrid/>
          <w:color w:val="auto"/>
          <w:spacing w:val="0"/>
          <w:w w:val="100"/>
          <w:kern w:val="0"/>
          <w:position w:val="0"/>
          <w:sz w:val="24"/>
          <w:szCs w:val="24"/>
          <w:highlight w:val="none"/>
        </w:rPr>
        <w:t>的物料均</w:t>
      </w:r>
      <w:r>
        <w:rPr>
          <w:rFonts w:hint="default" w:ascii="Times New Roman" w:hAnsi="Times New Roman" w:eastAsia="宋体" w:cs="Times New Roman"/>
          <w:caps w:val="0"/>
          <w:snapToGrid/>
          <w:color w:val="auto"/>
          <w:spacing w:val="0"/>
          <w:w w:val="100"/>
          <w:kern w:val="0"/>
          <w:position w:val="0"/>
          <w:sz w:val="24"/>
          <w:szCs w:val="24"/>
          <w:highlight w:val="none"/>
          <w:lang w:eastAsia="zh-CN"/>
        </w:rPr>
        <w:t>泄漏</w:t>
      </w:r>
      <w:r>
        <w:rPr>
          <w:rFonts w:hint="default" w:ascii="Times New Roman" w:hAnsi="Times New Roman" w:eastAsia="宋体" w:cs="Times New Roman"/>
          <w:caps w:val="0"/>
          <w:snapToGrid/>
          <w:color w:val="auto"/>
          <w:spacing w:val="0"/>
          <w:w w:val="100"/>
          <w:kern w:val="0"/>
          <w:position w:val="0"/>
          <w:sz w:val="24"/>
          <w:szCs w:val="24"/>
          <w:highlight w:val="none"/>
        </w:rPr>
        <w:t>于</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硬化地面，危废贮存库为重点防渗，其他生产车间为一般防渗</w:t>
      </w:r>
      <w:r>
        <w:rPr>
          <w:rFonts w:hint="default" w:ascii="Times New Roman" w:hAnsi="Times New Roman" w:eastAsia="宋体" w:cs="Times New Roman"/>
          <w:caps w:val="0"/>
          <w:snapToGrid/>
          <w:color w:val="auto"/>
          <w:spacing w:val="0"/>
          <w:w w:val="100"/>
          <w:kern w:val="0"/>
          <w:position w:val="0"/>
          <w:sz w:val="24"/>
          <w:szCs w:val="24"/>
          <w:highlight w:val="none"/>
        </w:rPr>
        <w:t>。</w:t>
      </w:r>
    </w:p>
    <w:p w14:paraId="3B7FB06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lang w:val="en-US" w:eastAsia="zh-CN"/>
        </w:rPr>
      </w:pPr>
      <w:r>
        <w:rPr>
          <w:rFonts w:hint="default" w:ascii="Times New Roman" w:hAnsi="Times New Roman" w:eastAsia="宋体" w:cs="Times New Roman"/>
          <w:caps w:val="0"/>
          <w:snapToGrid/>
          <w:color w:val="auto"/>
          <w:spacing w:val="0"/>
          <w:w w:val="100"/>
          <w:kern w:val="0"/>
          <w:position w:val="0"/>
          <w:sz w:val="24"/>
          <w:szCs w:val="24"/>
          <w:highlight w:val="none"/>
        </w:rPr>
        <w:t>本项目</w:t>
      </w:r>
      <w:r>
        <w:rPr>
          <w:rFonts w:hint="eastAsia" w:cs="Times New Roman"/>
          <w:caps w:val="0"/>
          <w:snapToGrid/>
          <w:color w:val="auto"/>
          <w:spacing w:val="0"/>
          <w:w w:val="100"/>
          <w:kern w:val="0"/>
          <w:position w:val="0"/>
          <w:sz w:val="24"/>
          <w:szCs w:val="24"/>
          <w:highlight w:val="none"/>
          <w:lang w:val="en-US" w:eastAsia="zh-CN"/>
        </w:rPr>
        <w:t>废机油</w:t>
      </w:r>
      <w:r>
        <w:rPr>
          <w:rFonts w:hint="default" w:ascii="Times New Roman" w:hAnsi="Times New Roman" w:eastAsia="宋体" w:cs="Times New Roman"/>
          <w:caps w:val="0"/>
          <w:snapToGrid/>
          <w:color w:val="auto"/>
          <w:spacing w:val="0"/>
          <w:w w:val="100"/>
          <w:kern w:val="0"/>
          <w:position w:val="0"/>
          <w:sz w:val="24"/>
          <w:szCs w:val="24"/>
          <w:highlight w:val="none"/>
        </w:rPr>
        <w:t>在储存或使用过程中可能会发生</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泄漏</w:t>
      </w:r>
      <w:r>
        <w:rPr>
          <w:rFonts w:hint="default" w:ascii="Times New Roman" w:hAnsi="Times New Roman" w:eastAsia="宋体" w:cs="Times New Roman"/>
          <w:caps w:val="0"/>
          <w:snapToGrid/>
          <w:color w:val="auto"/>
          <w:spacing w:val="0"/>
          <w:w w:val="100"/>
          <w:kern w:val="0"/>
          <w:position w:val="0"/>
          <w:sz w:val="24"/>
          <w:szCs w:val="24"/>
          <w:highlight w:val="none"/>
        </w:rPr>
        <w:t>事故，其储存形式为桶装，储存规格较小，因此本项目可能发生的</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泄漏</w:t>
      </w:r>
      <w:r>
        <w:rPr>
          <w:rFonts w:hint="default" w:ascii="Times New Roman" w:hAnsi="Times New Roman" w:eastAsia="宋体" w:cs="Times New Roman"/>
          <w:caps w:val="0"/>
          <w:snapToGrid/>
          <w:color w:val="auto"/>
          <w:spacing w:val="0"/>
          <w:w w:val="100"/>
          <w:kern w:val="0"/>
          <w:position w:val="0"/>
          <w:sz w:val="24"/>
          <w:szCs w:val="24"/>
          <w:highlight w:val="none"/>
        </w:rPr>
        <w:t>事故为小量</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泄漏</w:t>
      </w:r>
      <w:r>
        <w:rPr>
          <w:rFonts w:hint="default" w:ascii="Times New Roman" w:hAnsi="Times New Roman" w:eastAsia="宋体" w:cs="Times New Roman"/>
          <w:caps w:val="0"/>
          <w:snapToGrid/>
          <w:color w:val="auto"/>
          <w:spacing w:val="0"/>
          <w:w w:val="100"/>
          <w:kern w:val="0"/>
          <w:position w:val="0"/>
          <w:sz w:val="24"/>
          <w:szCs w:val="24"/>
          <w:highlight w:val="none"/>
        </w:rPr>
        <w:t>。本项目</w:t>
      </w:r>
      <w:r>
        <w:rPr>
          <w:rFonts w:hint="eastAsia" w:ascii="Times New Roman" w:hAnsi="Times New Roman" w:eastAsia="宋体" w:cs="Times New Roman"/>
          <w:caps w:val="0"/>
          <w:snapToGrid/>
          <w:color w:val="auto"/>
          <w:spacing w:val="0"/>
          <w:w w:val="100"/>
          <w:kern w:val="0"/>
          <w:position w:val="0"/>
          <w:sz w:val="24"/>
          <w:szCs w:val="24"/>
          <w:highlight w:val="none"/>
          <w:lang w:val="en-US" w:eastAsia="zh-CN"/>
        </w:rPr>
        <w:t>危废贮存</w:t>
      </w:r>
      <w:r>
        <w:rPr>
          <w:rFonts w:hint="default" w:ascii="Times New Roman" w:hAnsi="Times New Roman" w:eastAsia="宋体" w:cs="Times New Roman"/>
          <w:caps w:val="0"/>
          <w:snapToGrid/>
          <w:color w:val="auto"/>
          <w:spacing w:val="0"/>
          <w:w w:val="100"/>
          <w:kern w:val="0"/>
          <w:position w:val="0"/>
          <w:sz w:val="24"/>
          <w:szCs w:val="24"/>
          <w:highlight w:val="none"/>
        </w:rPr>
        <w:t>均采取了防渗措施，正常情况下</w:t>
      </w:r>
      <w:r>
        <w:rPr>
          <w:rFonts w:hint="eastAsia" w:cs="Times New Roman"/>
          <w:caps w:val="0"/>
          <w:snapToGrid/>
          <w:color w:val="auto"/>
          <w:spacing w:val="0"/>
          <w:w w:val="100"/>
          <w:kern w:val="0"/>
          <w:position w:val="0"/>
          <w:sz w:val="24"/>
          <w:szCs w:val="24"/>
          <w:highlight w:val="none"/>
          <w:lang w:val="en-US" w:eastAsia="zh-CN"/>
        </w:rPr>
        <w:t>废机油</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的</w:t>
      </w:r>
      <w:r>
        <w:rPr>
          <w:rFonts w:hint="default" w:ascii="Times New Roman" w:hAnsi="Times New Roman" w:eastAsia="宋体" w:cs="Times New Roman"/>
          <w:caps w:val="0"/>
          <w:snapToGrid/>
          <w:color w:val="auto"/>
          <w:spacing w:val="0"/>
          <w:w w:val="100"/>
          <w:kern w:val="0"/>
          <w:position w:val="0"/>
          <w:sz w:val="24"/>
          <w:szCs w:val="24"/>
          <w:highlight w:val="none"/>
        </w:rPr>
        <w:t>暂存均不会发生</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泄漏</w:t>
      </w:r>
      <w:r>
        <w:rPr>
          <w:rFonts w:hint="default" w:ascii="Times New Roman" w:hAnsi="Times New Roman" w:eastAsia="宋体" w:cs="Times New Roman"/>
          <w:caps w:val="0"/>
          <w:snapToGrid/>
          <w:color w:val="auto"/>
          <w:spacing w:val="0"/>
          <w:w w:val="100"/>
          <w:kern w:val="0"/>
          <w:position w:val="0"/>
          <w:sz w:val="24"/>
          <w:szCs w:val="24"/>
          <w:highlight w:val="none"/>
        </w:rPr>
        <w:t>事故。非正常情况或事故状态下，当</w:t>
      </w:r>
      <w:r>
        <w:rPr>
          <w:rFonts w:hint="eastAsia" w:ascii="Times New Roman" w:hAnsi="Times New Roman" w:eastAsia="宋体" w:cs="Times New Roman"/>
          <w:caps w:val="0"/>
          <w:snapToGrid/>
          <w:color w:val="auto"/>
          <w:spacing w:val="0"/>
          <w:w w:val="100"/>
          <w:kern w:val="0"/>
          <w:position w:val="0"/>
          <w:sz w:val="24"/>
          <w:szCs w:val="24"/>
          <w:highlight w:val="none"/>
          <w:lang w:val="en-US" w:eastAsia="zh-CN"/>
        </w:rPr>
        <w:t>危废贮存库</w:t>
      </w:r>
      <w:r>
        <w:rPr>
          <w:rFonts w:hint="default" w:ascii="Times New Roman" w:hAnsi="Times New Roman" w:eastAsia="宋体" w:cs="Times New Roman"/>
          <w:caps w:val="0"/>
          <w:snapToGrid/>
          <w:color w:val="auto"/>
          <w:spacing w:val="0"/>
          <w:w w:val="100"/>
          <w:kern w:val="0"/>
          <w:position w:val="0"/>
          <w:sz w:val="24"/>
          <w:szCs w:val="24"/>
          <w:highlight w:val="none"/>
        </w:rPr>
        <w:t>防渗层断裂破损，同时</w:t>
      </w:r>
      <w:r>
        <w:rPr>
          <w:rFonts w:hint="eastAsia" w:cs="Times New Roman"/>
          <w:caps w:val="0"/>
          <w:snapToGrid/>
          <w:color w:val="auto"/>
          <w:spacing w:val="0"/>
          <w:w w:val="100"/>
          <w:kern w:val="0"/>
          <w:position w:val="0"/>
          <w:sz w:val="24"/>
          <w:szCs w:val="24"/>
          <w:highlight w:val="none"/>
          <w:lang w:val="en-US" w:eastAsia="zh-CN"/>
        </w:rPr>
        <w:t>废机油</w:t>
      </w:r>
      <w:r>
        <w:rPr>
          <w:rFonts w:hint="default" w:ascii="Times New Roman" w:hAnsi="Times New Roman" w:eastAsia="宋体" w:cs="Times New Roman"/>
          <w:caps w:val="0"/>
          <w:snapToGrid/>
          <w:color w:val="auto"/>
          <w:spacing w:val="0"/>
          <w:w w:val="100"/>
          <w:kern w:val="0"/>
          <w:position w:val="0"/>
          <w:sz w:val="24"/>
          <w:szCs w:val="24"/>
          <w:highlight w:val="none"/>
        </w:rPr>
        <w:t>包装破损，导致</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物料</w:t>
      </w:r>
      <w:r>
        <w:rPr>
          <w:rFonts w:hint="default" w:ascii="Times New Roman" w:hAnsi="Times New Roman" w:eastAsia="宋体" w:cs="Times New Roman"/>
          <w:caps w:val="0"/>
          <w:snapToGrid/>
          <w:color w:val="auto"/>
          <w:spacing w:val="0"/>
          <w:w w:val="100"/>
          <w:kern w:val="0"/>
          <w:position w:val="0"/>
          <w:sz w:val="24"/>
          <w:szCs w:val="24"/>
          <w:highlight w:val="none"/>
        </w:rPr>
        <w:t>随裂缝渗入土壤环境中，将有可能进一步对地下水</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造成</w:t>
      </w:r>
      <w:r>
        <w:rPr>
          <w:rFonts w:hint="default" w:ascii="Times New Roman" w:hAnsi="Times New Roman" w:eastAsia="宋体" w:cs="Times New Roman"/>
          <w:caps w:val="0"/>
          <w:snapToGrid/>
          <w:color w:val="auto"/>
          <w:spacing w:val="0"/>
          <w:w w:val="100"/>
          <w:kern w:val="0"/>
          <w:position w:val="0"/>
          <w:sz w:val="24"/>
          <w:szCs w:val="24"/>
          <w:highlight w:val="none"/>
        </w:rPr>
        <w:t>污染。</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因此，本项目地下水环境风险的风险点为</w:t>
      </w:r>
      <w:r>
        <w:rPr>
          <w:rFonts w:hint="eastAsia" w:ascii="Times New Roman" w:hAnsi="Times New Roman" w:eastAsia="宋体" w:cs="Times New Roman"/>
          <w:caps w:val="0"/>
          <w:snapToGrid/>
          <w:color w:val="auto"/>
          <w:spacing w:val="0"/>
          <w:w w:val="100"/>
          <w:kern w:val="0"/>
          <w:position w:val="0"/>
          <w:sz w:val="24"/>
          <w:szCs w:val="24"/>
          <w:highlight w:val="none"/>
          <w:lang w:val="en-US" w:eastAsia="zh-CN"/>
        </w:rPr>
        <w:t>危废贮存库</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，潜在的风险源为</w:t>
      </w:r>
      <w:r>
        <w:rPr>
          <w:rFonts w:hint="eastAsia" w:cs="Times New Roman"/>
          <w:caps w:val="0"/>
          <w:snapToGrid/>
          <w:color w:val="auto"/>
          <w:spacing w:val="0"/>
          <w:w w:val="100"/>
          <w:kern w:val="0"/>
          <w:position w:val="0"/>
          <w:sz w:val="24"/>
          <w:szCs w:val="24"/>
          <w:highlight w:val="none"/>
          <w:lang w:val="en-US" w:eastAsia="zh-CN"/>
        </w:rPr>
        <w:t>废机油</w:t>
      </w:r>
      <w:r>
        <w:rPr>
          <w:rFonts w:hint="default" w:ascii="Times New Roman" w:hAnsi="Times New Roman" w:eastAsia="宋体" w:cs="Times New Roman"/>
          <w:caps w:val="0"/>
          <w:snapToGrid/>
          <w:color w:val="auto"/>
          <w:spacing w:val="0"/>
          <w:w w:val="100"/>
          <w:kern w:val="0"/>
          <w:position w:val="0"/>
          <w:sz w:val="24"/>
          <w:szCs w:val="24"/>
          <w:highlight w:val="none"/>
        </w:rPr>
        <w:t>包装破损</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引发泄漏。</w:t>
      </w:r>
    </w:p>
    <w:p w14:paraId="5986259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一般情况下物料下渗不会直接影响到深层地下水，而是通过土壤渗透影响浅层地下水。发生事故性下渗后，污染物以点源形式渗漏污染地下水，污染迁移途径为地表以下的包气带和含水层，然后随地下水流动而污染地下水，需及时采取必要的处理措施，使造成的污染控制在局部环境而不会造成大面积的区域性污染。</w:t>
      </w:r>
    </w:p>
    <w:p w14:paraId="3FFFAAE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pPr>
      <w:r>
        <w:rPr>
          <w:rFonts w:hint="eastAsia" w:cs="Times New Roman"/>
          <w:caps w:val="0"/>
          <w:snapToGrid/>
          <w:color w:val="auto"/>
          <w:spacing w:val="0"/>
          <w:w w:val="100"/>
          <w:kern w:val="0"/>
          <w:position w:val="0"/>
          <w:sz w:val="24"/>
          <w:szCs w:val="24"/>
          <w:highlight w:val="none"/>
          <w:lang w:val="en-US" w:eastAsia="zh-CN" w:bidi="ar-SA"/>
        </w:rPr>
        <w:t>（3）</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t>土壤环境</w:t>
      </w:r>
    </w:p>
    <w:p w14:paraId="6BAFDBD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lang w:val="en-US" w:eastAsia="zh-CN"/>
        </w:rPr>
      </w:pPr>
      <w:r>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t>营运期内物料若发生泄漏（在不发生爆炸及火灾情况下），泄漏的物料会蔓延至危废贮存库地面，地面采取分区防渗措施进行防护，厂区内地面均做硬化处理，因此，泄漏后不会大面积逸散，在发生泄漏后，厂内工作人员将及时清理，因此，若发生泄漏等事故不会对土壤环境</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造成影响。</w:t>
      </w:r>
    </w:p>
    <w:p w14:paraId="462319C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lang w:val="en-US" w:eastAsia="zh-CN"/>
        </w:rPr>
      </w:pPr>
      <w:r>
        <w:rPr>
          <w:rFonts w:hint="eastAsia" w:cs="Times New Roman"/>
          <w:caps w:val="0"/>
          <w:snapToGrid/>
          <w:color w:val="auto"/>
          <w:spacing w:val="0"/>
          <w:w w:val="100"/>
          <w:kern w:val="0"/>
          <w:position w:val="0"/>
          <w:sz w:val="24"/>
          <w:szCs w:val="24"/>
          <w:highlight w:val="none"/>
          <w:lang w:val="en-US" w:eastAsia="zh-CN"/>
        </w:rPr>
        <w:t>（4）</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泄漏发生火灾、爆炸事件</w:t>
      </w:r>
    </w:p>
    <w:p w14:paraId="5586974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lang w:val="en-US" w:eastAsia="zh-CN"/>
        </w:rPr>
      </w:pP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当废润滑油使用和管理不善，出现泄漏而遇火苗时可能产生火灾、爆炸事故。火灾、爆炸引发的次生环境危害主要：①火灾、爆炸次生污染物CO和火灾事故散发的烟气对周边大气直接造成影响，空气环境质量恶化；②火灾、爆炸产生的洗消废水等对周边地表水环境产生不利影响，污染地表水质。</w:t>
      </w:r>
    </w:p>
    <w:p w14:paraId="37BFFA6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lang w:val="en-US" w:eastAsia="zh-CN"/>
        </w:rPr>
      </w:pP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1）次生大气环境污染事故影响分析</w:t>
      </w:r>
    </w:p>
    <w:p w14:paraId="33D28B7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lang w:val="en-US" w:eastAsia="zh-CN"/>
        </w:rPr>
      </w:pP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企业发生火灾爆炸事故时，在燃烧过程中不仅会产生CO，还可能伴生大量的尘和NO等污染物，会在短时间内对周围环境产生较大的不利影响，其中以CO对人体及周边环境</w:t>
      </w:r>
      <w:r>
        <w:rPr>
          <w:rFonts w:hint="eastAsia" w:cs="Times New Roman"/>
          <w:caps w:val="0"/>
          <w:snapToGrid/>
          <w:color w:val="auto"/>
          <w:spacing w:val="0"/>
          <w:w w:val="100"/>
          <w:kern w:val="0"/>
          <w:position w:val="0"/>
          <w:sz w:val="24"/>
          <w:szCs w:val="24"/>
          <w:highlight w:val="none"/>
          <w:lang w:val="en-US" w:eastAsia="zh-CN"/>
        </w:rPr>
        <w:t>的</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影响最大。CO为有毒气体，进入人体之后会和血液中的血红蛋白结合，进而排挤血红蛋白与氧气的结合，从而使人体出现缺氧现象而导致中毒。</w:t>
      </w:r>
    </w:p>
    <w:p w14:paraId="70C34F6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lang w:val="en-US" w:eastAsia="zh-CN"/>
        </w:rPr>
      </w:pP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2）次生水环境污染事故影响分析</w:t>
      </w:r>
    </w:p>
    <w:p w14:paraId="1FB74D6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lang w:val="en-US" w:eastAsia="zh-CN"/>
        </w:rPr>
      </w:pP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废润滑油发生泄漏和火灾事故时，消防部门迅速到达事故现场取出消防带将消防水引至现场，灭火过程中的消防喷淋水和使用消防泡沫也会产生大量的消防污水，这些污水存在着通过厂区排水管网进入</w:t>
      </w:r>
      <w:r>
        <w:rPr>
          <w:rFonts w:hint="eastAsia" w:cs="Times New Roman"/>
          <w:caps w:val="0"/>
          <w:snapToGrid/>
          <w:color w:val="auto"/>
          <w:spacing w:val="0"/>
          <w:w w:val="100"/>
          <w:kern w:val="0"/>
          <w:position w:val="0"/>
          <w:sz w:val="24"/>
          <w:szCs w:val="24"/>
          <w:highlight w:val="none"/>
          <w:lang w:val="en-US" w:eastAsia="zh-CN"/>
        </w:rPr>
        <w:t>阜西区污水处理厂</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处理，对污水厂处理系统造成冲击，或由雨水管网进入周边地表水体，甚至是渗入地下，对地表、地下水水质造成污染。</w:t>
      </w:r>
    </w:p>
    <w:p w14:paraId="60BD46B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lang w:val="en-US" w:eastAsia="zh-CN"/>
        </w:rPr>
      </w:pPr>
      <w:r>
        <w:rPr>
          <w:rFonts w:hint="eastAsia" w:cs="Times New Roman"/>
          <w:caps w:val="0"/>
          <w:snapToGrid/>
          <w:color w:val="auto"/>
          <w:spacing w:val="0"/>
          <w:w w:val="100"/>
          <w:kern w:val="0"/>
          <w:position w:val="0"/>
          <w:sz w:val="24"/>
          <w:szCs w:val="24"/>
          <w:highlight w:val="none"/>
          <w:lang w:val="en-US" w:eastAsia="zh-CN"/>
        </w:rPr>
        <w:t>（6）</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危险废物暂存场所的风险分析</w:t>
      </w:r>
    </w:p>
    <w:p w14:paraId="741D0F8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 w:val="24"/>
          <w:szCs w:val="24"/>
          <w:highlight w:val="none"/>
          <w:lang w:val="en-US" w:eastAsia="zh-CN"/>
        </w:rPr>
      </w:pPr>
      <w:r>
        <w:rPr>
          <w:rFonts w:hint="eastAsia" w:cs="Times New Roman"/>
          <w:caps w:val="0"/>
          <w:snapToGrid/>
          <w:color w:val="auto"/>
          <w:spacing w:val="0"/>
          <w:w w:val="100"/>
          <w:kern w:val="0"/>
          <w:position w:val="0"/>
          <w:sz w:val="24"/>
          <w:szCs w:val="24"/>
          <w:highlight w:val="none"/>
          <w:lang w:val="en-US" w:eastAsia="zh-CN"/>
        </w:rPr>
        <w:t>本项目</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产生的危险废物量不大，要求企业按规范设置专门收集容器和专门的储存场所，储存场所采取硬底化、防渗处理，存放场设置围挡。收集的危险废物均委托有资质单位专门收运和处置。根据同类企业危险废物储存场的运营调查，在采取以上措施后很难发生危险废弃物泄漏和污染事故。</w:t>
      </w:r>
    </w:p>
    <w:p w14:paraId="3E1D17A2">
      <w:pPr>
        <w:pStyle w:val="5"/>
        <w:keepNext w:val="0"/>
        <w:keepLines w:val="0"/>
        <w:pageBreakBefore w:val="0"/>
        <w:widowControl w:val="0"/>
        <w:kinsoku/>
        <w:wordWrap/>
        <w:overflowPunct/>
        <w:topLinePunct w:val="0"/>
        <w:autoSpaceDE/>
        <w:autoSpaceDN/>
        <w:bidi w:val="0"/>
        <w:rPr>
          <w:rFonts w:hint="default"/>
          <w:color w:val="auto"/>
          <w:spacing w:val="0"/>
          <w:w w:val="100"/>
          <w:position w:val="0"/>
          <w:lang w:val="en-US" w:eastAsia="zh-CN"/>
        </w:rPr>
      </w:pPr>
      <w:r>
        <w:rPr>
          <w:rFonts w:hint="eastAsia"/>
          <w:color w:val="auto"/>
          <w:spacing w:val="0"/>
          <w:w w:val="100"/>
          <w:position w:val="0"/>
          <w:lang w:val="en-US" w:eastAsia="zh-CN"/>
        </w:rPr>
        <w:t>5.2.6.5</w:t>
      </w:r>
      <w:r>
        <w:rPr>
          <w:rFonts w:hint="default"/>
          <w:color w:val="auto"/>
          <w:spacing w:val="0"/>
          <w:w w:val="100"/>
          <w:position w:val="0"/>
          <w:lang w:val="en-US" w:eastAsia="zh-CN"/>
        </w:rPr>
        <w:t>环境风险防范措施</w:t>
      </w:r>
    </w:p>
    <w:p w14:paraId="52DB904C">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rPr>
      </w:pPr>
      <w:r>
        <w:rPr>
          <w:rFonts w:hint="eastAsia" w:cs="Times New Roman"/>
          <w:caps w:val="0"/>
          <w:snapToGrid/>
          <w:color w:val="auto"/>
          <w:spacing w:val="0"/>
          <w:w w:val="100"/>
          <w:kern w:val="0"/>
          <w:position w:val="0"/>
          <w:sz w:val="24"/>
          <w:szCs w:val="20"/>
          <w:highlight w:val="none"/>
          <w:lang w:val="en-US" w:eastAsia="zh-CN"/>
        </w:rPr>
        <w:t>（1）管理措施</w:t>
      </w:r>
    </w:p>
    <w:p w14:paraId="6C2E028E">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rPr>
      </w:pP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企业设置安全环保管理机构，配备管理人员，通过技能培训，承担该公司运行中的环保安全工作。</w:t>
      </w:r>
    </w:p>
    <w:p w14:paraId="40B58D9B">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rPr>
      </w:pP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安全环保机构将根据相关的环境管理要求，结合具体情况，制定企业的各项安全生产管理制度、严格的生产操作规则和完善的事故应急计划及相应的应急处理手段和设施，同时加强安全教育，以提高职工的安全意识和安全防范能力。</w:t>
      </w:r>
    </w:p>
    <w:p w14:paraId="75893A3C">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rPr>
      </w:pPr>
      <w:r>
        <w:rPr>
          <w:rFonts w:hint="eastAsia" w:cs="Times New Roman"/>
          <w:caps w:val="0"/>
          <w:snapToGrid/>
          <w:color w:val="auto"/>
          <w:spacing w:val="0"/>
          <w:w w:val="100"/>
          <w:kern w:val="0"/>
          <w:position w:val="0"/>
          <w:sz w:val="24"/>
          <w:szCs w:val="20"/>
          <w:highlight w:val="none"/>
          <w:lang w:val="en-US" w:eastAsia="zh-CN"/>
        </w:rPr>
        <w:t>（2）</w:t>
      </w: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建筑安全防范措施</w:t>
      </w:r>
    </w:p>
    <w:p w14:paraId="1775F005">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rPr>
      </w:pP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所有建筑、构筑物之间或与其他场所之间留有足够的防火间距，防止在火灾或爆炸时相互影响；严格按工艺处理物料特性，对厂区进行危险区划分。</w:t>
      </w:r>
    </w:p>
    <w:p w14:paraId="08BA47FA">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rPr>
      </w:pP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道路实行人、货流分开（划分人行区域和车辆行驶区域、不重叠），划出专用车辆行驶路线、严禁烟火标志等并严格执行；配套建设应急救援设施、救援通道、应急疏散避难所等防护设施。按《安全标志</w:t>
      </w:r>
      <w:r>
        <w:rPr>
          <w:rFonts w:hint="eastAsia" w:cs="Times New Roman"/>
          <w:caps w:val="0"/>
          <w:snapToGrid/>
          <w:color w:val="auto"/>
          <w:spacing w:val="0"/>
          <w:w w:val="100"/>
          <w:kern w:val="0"/>
          <w:position w:val="0"/>
          <w:sz w:val="24"/>
          <w:szCs w:val="20"/>
          <w:highlight w:val="none"/>
          <w:lang w:val="en-US" w:eastAsia="zh-CN"/>
        </w:rPr>
        <w:t>及其使用导则</w:t>
      </w: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》规定在装置区设置有关的安全标志。道路形成环状，建筑间距符合要求，设置大门，将厂前区和人流、物流分开。</w:t>
      </w:r>
    </w:p>
    <w:p w14:paraId="362CA1C2">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rPr>
      </w:pPr>
      <w:r>
        <w:rPr>
          <w:rFonts w:hint="eastAsia" w:cs="Times New Roman"/>
          <w:caps w:val="0"/>
          <w:snapToGrid/>
          <w:color w:val="auto"/>
          <w:spacing w:val="0"/>
          <w:w w:val="100"/>
          <w:kern w:val="0"/>
          <w:position w:val="0"/>
          <w:sz w:val="24"/>
          <w:szCs w:val="20"/>
          <w:highlight w:val="none"/>
          <w:lang w:val="en-US" w:eastAsia="zh-CN"/>
        </w:rPr>
        <w:t>（3）</w:t>
      </w: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建筑安全防范</w:t>
      </w:r>
    </w:p>
    <w:p w14:paraId="2CFC135E">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rPr>
      </w:pP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根据火灾危险性等级和防火要求，建筑物的防火等级均采用国家现行规范要求的耐火等级设计，满足建筑防火要求。凡禁火区均设置明显标志牌。各种易燃物料均储存在阴凉、通风处，远离火源。安全出口及安全疏散距离、可燃气体以及助燃气体贮存设计应符合《建筑</w:t>
      </w:r>
      <w:r>
        <w:rPr>
          <w:rFonts w:hint="eastAsia" w:cs="Times New Roman"/>
          <w:caps w:val="0"/>
          <w:snapToGrid/>
          <w:color w:val="auto"/>
          <w:spacing w:val="0"/>
          <w:w w:val="100"/>
          <w:kern w:val="0"/>
          <w:position w:val="0"/>
          <w:sz w:val="24"/>
          <w:szCs w:val="20"/>
          <w:highlight w:val="none"/>
          <w:lang w:val="en-US" w:eastAsia="zh-CN"/>
        </w:rPr>
        <w:t>防火通用规范</w:t>
      </w: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》（GB</w:t>
      </w:r>
      <w:r>
        <w:rPr>
          <w:rFonts w:hint="eastAsia" w:cs="Times New Roman"/>
          <w:caps w:val="0"/>
          <w:snapToGrid/>
          <w:color w:val="auto"/>
          <w:spacing w:val="0"/>
          <w:w w:val="100"/>
          <w:kern w:val="0"/>
          <w:position w:val="0"/>
          <w:sz w:val="24"/>
          <w:szCs w:val="20"/>
          <w:highlight w:val="none"/>
          <w:lang w:val="en-US" w:eastAsia="zh-CN"/>
        </w:rPr>
        <w:t>55037-2022</w:t>
      </w: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）的要求。</w:t>
      </w:r>
    </w:p>
    <w:p w14:paraId="78CC5FA1">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rPr>
      </w:pP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根据生产工序的特点，在生产设施按物料性质和人身可能意外接触到的有害物质而引起烧伤、刺激或伤害皮肤的区域内，均设置紧急淋浴和洗眼器，并加以明显标记。并在生产区设置救护箱。工作人员配备必要的个人防护用品。</w:t>
      </w:r>
    </w:p>
    <w:p w14:paraId="2B0497DC">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cs="Times New Roman"/>
          <w:caps w:val="0"/>
          <w:snapToGrid/>
          <w:color w:val="auto"/>
          <w:spacing w:val="0"/>
          <w:w w:val="100"/>
          <w:kern w:val="0"/>
          <w:position w:val="0"/>
          <w:sz w:val="24"/>
          <w:szCs w:val="20"/>
          <w:highlight w:val="none"/>
          <w:lang w:val="en-US" w:eastAsia="zh-CN"/>
        </w:rPr>
      </w:pPr>
      <w:r>
        <w:rPr>
          <w:rFonts w:hint="eastAsia" w:cs="Times New Roman"/>
          <w:caps w:val="0"/>
          <w:snapToGrid/>
          <w:color w:val="auto"/>
          <w:spacing w:val="0"/>
          <w:w w:val="100"/>
          <w:kern w:val="0"/>
          <w:position w:val="0"/>
          <w:sz w:val="24"/>
          <w:szCs w:val="20"/>
          <w:highlight w:val="none"/>
          <w:lang w:val="en-US" w:eastAsia="zh-CN"/>
        </w:rPr>
        <w:t>（4）危险物质贮存风险预防措施</w:t>
      </w:r>
    </w:p>
    <w:p w14:paraId="1E4A990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rPr>
          <w:rFonts w:hint="default" w:ascii="Times New Roman" w:hAnsi="Times New Roman" w:eastAsia="宋体" w:cs="Times New Roman"/>
          <w:color w:val="auto"/>
          <w:spacing w:val="0"/>
          <w:w w:val="100"/>
          <w:position w:val="0"/>
          <w:sz w:val="24"/>
          <w:szCs w:val="24"/>
          <w:highlight w:val="none"/>
          <w:u w:val="none" w:color="auto"/>
        </w:rPr>
      </w:pPr>
      <w:r>
        <w:rPr>
          <w:rFonts w:hint="default" w:ascii="Times New Roman" w:hAnsi="Times New Roman" w:eastAsia="宋体" w:cs="Times New Roman"/>
          <w:color w:val="auto"/>
          <w:spacing w:val="0"/>
          <w:w w:val="100"/>
          <w:position w:val="0"/>
          <w:sz w:val="24"/>
          <w:szCs w:val="24"/>
          <w:highlight w:val="none"/>
          <w:u w:val="none" w:color="auto"/>
          <w:lang w:val="en-US" w:eastAsia="zh-CN"/>
        </w:rPr>
        <w:t>危险</w:t>
      </w:r>
      <w:r>
        <w:rPr>
          <w:rFonts w:hint="eastAsia" w:cs="Times New Roman"/>
          <w:color w:val="auto"/>
          <w:spacing w:val="0"/>
          <w:w w:val="100"/>
          <w:position w:val="0"/>
          <w:sz w:val="24"/>
          <w:szCs w:val="24"/>
          <w:highlight w:val="none"/>
          <w:u w:val="none" w:color="auto"/>
          <w:lang w:val="en-US" w:eastAsia="zh-CN"/>
        </w:rPr>
        <w:t>废物</w:t>
      </w:r>
      <w:r>
        <w:rPr>
          <w:rFonts w:hint="default" w:ascii="Times New Roman" w:hAnsi="Times New Roman" w:eastAsia="宋体" w:cs="Times New Roman"/>
          <w:color w:val="auto"/>
          <w:spacing w:val="0"/>
          <w:w w:val="100"/>
          <w:position w:val="0"/>
          <w:sz w:val="24"/>
          <w:szCs w:val="24"/>
          <w:highlight w:val="none"/>
          <w:u w:val="none" w:color="auto"/>
          <w:lang w:val="en-US" w:eastAsia="zh-CN"/>
        </w:rPr>
        <w:t>贮存过程事故风险主要是因</w:t>
      </w:r>
      <w:r>
        <w:rPr>
          <w:rFonts w:hint="eastAsia" w:cs="Times New Roman"/>
          <w:color w:val="auto"/>
          <w:spacing w:val="0"/>
          <w:w w:val="100"/>
          <w:position w:val="0"/>
          <w:sz w:val="24"/>
          <w:szCs w:val="24"/>
          <w:highlight w:val="none"/>
          <w:u w:val="none" w:color="auto"/>
          <w:lang w:val="en-US" w:eastAsia="zh-CN"/>
        </w:rPr>
        <w:t>废机油</w:t>
      </w:r>
      <w:r>
        <w:rPr>
          <w:rFonts w:hint="default" w:ascii="Times New Roman" w:hAnsi="Times New Roman" w:eastAsia="宋体" w:cs="Times New Roman"/>
          <w:color w:val="auto"/>
          <w:spacing w:val="0"/>
          <w:w w:val="100"/>
          <w:position w:val="0"/>
          <w:sz w:val="24"/>
          <w:szCs w:val="24"/>
          <w:highlight w:val="none"/>
          <w:u w:val="none" w:color="auto"/>
          <w:lang w:val="en-US" w:eastAsia="zh-CN"/>
        </w:rPr>
        <w:t>包装桶侧翻、破损泄漏而造成的火灾爆炸、气体释放和水质污染等事故，是安全生产的重要方面。</w:t>
      </w:r>
    </w:p>
    <w:p w14:paraId="06DA650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rPr>
          <w:rFonts w:hint="default" w:ascii="Times New Roman" w:hAnsi="Times New Roman" w:eastAsia="宋体" w:cs="Times New Roman"/>
          <w:color w:val="auto"/>
          <w:spacing w:val="0"/>
          <w:w w:val="100"/>
          <w:position w:val="0"/>
          <w:sz w:val="24"/>
          <w:szCs w:val="24"/>
          <w:highlight w:val="none"/>
          <w:u w:val="none" w:color="auto"/>
        </w:rPr>
      </w:pPr>
      <w:r>
        <w:rPr>
          <w:rFonts w:hint="eastAsia" w:cs="Times New Roman"/>
          <w:color w:val="auto"/>
          <w:spacing w:val="0"/>
          <w:w w:val="100"/>
          <w:kern w:val="2"/>
          <w:position w:val="0"/>
          <w:sz w:val="24"/>
          <w:szCs w:val="24"/>
          <w:u w:color="auto"/>
          <w:lang w:val="en-US" w:eastAsia="zh-CN" w:bidi="ar-SA"/>
        </w:rPr>
        <w:t>1）</w:t>
      </w:r>
      <w:r>
        <w:rPr>
          <w:rFonts w:hint="default" w:ascii="Times New Roman" w:hAnsi="Times New Roman" w:eastAsia="宋体" w:cs="Times New Roman"/>
          <w:color w:val="auto"/>
          <w:spacing w:val="0"/>
          <w:w w:val="100"/>
          <w:position w:val="0"/>
          <w:sz w:val="24"/>
          <w:szCs w:val="24"/>
          <w:highlight w:val="none"/>
          <w:u w:val="none" w:color="auto"/>
        </w:rPr>
        <w:t>危险废物厂内贮存</w:t>
      </w:r>
      <w:r>
        <w:rPr>
          <w:rFonts w:hint="eastAsia" w:ascii="Times New Roman" w:hAnsi="Times New Roman" w:eastAsia="宋体" w:cs="Times New Roman"/>
          <w:color w:val="auto"/>
          <w:spacing w:val="0"/>
          <w:w w:val="100"/>
          <w:position w:val="0"/>
          <w:sz w:val="24"/>
          <w:szCs w:val="24"/>
          <w:highlight w:val="none"/>
          <w:u w:val="none" w:color="auto"/>
          <w:lang w:val="en-US" w:eastAsia="zh-CN"/>
        </w:rPr>
        <w:t>按照</w:t>
      </w:r>
      <w:r>
        <w:rPr>
          <w:rFonts w:hint="default" w:ascii="Times New Roman" w:hAnsi="Times New Roman" w:eastAsia="宋体" w:cs="Times New Roman"/>
          <w:color w:val="auto"/>
          <w:spacing w:val="0"/>
          <w:w w:val="100"/>
          <w:position w:val="0"/>
          <w:sz w:val="24"/>
          <w:szCs w:val="24"/>
          <w:highlight w:val="none"/>
          <w:u w:val="none" w:color="auto"/>
        </w:rPr>
        <w:t>《危险废物贮存污染控制标准》</w:t>
      </w:r>
      <w:r>
        <w:rPr>
          <w:rFonts w:hint="default" w:ascii="Times New Roman" w:hAnsi="Times New Roman" w:eastAsia="宋体" w:cs="Times New Roman"/>
          <w:color w:val="auto"/>
          <w:spacing w:val="0"/>
          <w:w w:val="100"/>
          <w:position w:val="0"/>
          <w:sz w:val="24"/>
          <w:szCs w:val="24"/>
          <w:highlight w:val="none"/>
          <w:u w:val="none" w:color="auto"/>
          <w:lang w:eastAsia="zh-CN"/>
        </w:rPr>
        <w:t>（</w:t>
      </w:r>
      <w:r>
        <w:rPr>
          <w:rFonts w:hint="default" w:ascii="Times New Roman" w:hAnsi="Times New Roman" w:eastAsia="宋体" w:cs="Times New Roman"/>
          <w:color w:val="auto"/>
          <w:spacing w:val="0"/>
          <w:w w:val="100"/>
          <w:position w:val="0"/>
          <w:sz w:val="24"/>
          <w:szCs w:val="24"/>
          <w:highlight w:val="none"/>
          <w:u w:val="none" w:color="auto"/>
          <w:lang w:val="en-US" w:eastAsia="zh-CN"/>
        </w:rPr>
        <w:t>GB18597-2023</w:t>
      </w:r>
      <w:r>
        <w:rPr>
          <w:rFonts w:hint="default" w:ascii="Times New Roman" w:hAnsi="Times New Roman" w:eastAsia="宋体" w:cs="Times New Roman"/>
          <w:color w:val="auto"/>
          <w:spacing w:val="0"/>
          <w:w w:val="100"/>
          <w:position w:val="0"/>
          <w:sz w:val="24"/>
          <w:szCs w:val="24"/>
          <w:highlight w:val="none"/>
          <w:u w:val="none" w:color="auto"/>
          <w:lang w:eastAsia="zh-CN"/>
        </w:rPr>
        <w:t>）</w:t>
      </w:r>
      <w:r>
        <w:rPr>
          <w:rFonts w:hint="default" w:ascii="Times New Roman" w:hAnsi="Times New Roman" w:eastAsia="宋体" w:cs="Times New Roman"/>
          <w:color w:val="auto"/>
          <w:spacing w:val="0"/>
          <w:w w:val="100"/>
          <w:position w:val="0"/>
          <w:sz w:val="24"/>
          <w:szCs w:val="24"/>
          <w:highlight w:val="none"/>
          <w:u w:val="none" w:color="auto"/>
        </w:rPr>
        <w:t>要求设置危险废物</w:t>
      </w:r>
      <w:r>
        <w:rPr>
          <w:rFonts w:hint="eastAsia" w:cs="Times New Roman"/>
          <w:color w:val="auto"/>
          <w:spacing w:val="0"/>
          <w:w w:val="100"/>
          <w:position w:val="0"/>
          <w:sz w:val="24"/>
          <w:szCs w:val="24"/>
          <w:highlight w:val="none"/>
          <w:u w:val="none" w:color="auto"/>
          <w:lang w:val="en-US" w:eastAsia="zh-CN"/>
        </w:rPr>
        <w:t>贮存库</w:t>
      </w:r>
      <w:r>
        <w:rPr>
          <w:rFonts w:hint="default" w:ascii="Times New Roman" w:hAnsi="Times New Roman" w:eastAsia="宋体" w:cs="Times New Roman"/>
          <w:color w:val="auto"/>
          <w:spacing w:val="0"/>
          <w:w w:val="100"/>
          <w:position w:val="0"/>
          <w:sz w:val="24"/>
          <w:szCs w:val="24"/>
          <w:highlight w:val="none"/>
          <w:u w:val="none" w:color="auto"/>
        </w:rPr>
        <w:t>。</w:t>
      </w:r>
    </w:p>
    <w:p w14:paraId="7DAAA71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rPr>
          <w:rFonts w:hint="default" w:ascii="Times New Roman" w:hAnsi="Times New Roman" w:eastAsia="宋体" w:cs="Times New Roman"/>
          <w:color w:val="auto"/>
          <w:spacing w:val="0"/>
          <w:w w:val="100"/>
          <w:position w:val="0"/>
          <w:sz w:val="24"/>
          <w:szCs w:val="24"/>
          <w:highlight w:val="none"/>
          <w:u w:val="none" w:color="auto"/>
        </w:rPr>
      </w:pPr>
      <w:r>
        <w:rPr>
          <w:rFonts w:hint="eastAsia" w:cs="Times New Roman"/>
          <w:color w:val="auto"/>
          <w:spacing w:val="0"/>
          <w:w w:val="100"/>
          <w:position w:val="0"/>
          <w:sz w:val="24"/>
          <w:szCs w:val="24"/>
          <w:highlight w:val="none"/>
          <w:u w:val="none" w:color="auto"/>
          <w:lang w:val="en-US" w:eastAsia="zh-CN"/>
        </w:rPr>
        <w:t>2）</w:t>
      </w:r>
      <w:r>
        <w:rPr>
          <w:rFonts w:hint="default" w:ascii="Times New Roman" w:hAnsi="Times New Roman" w:eastAsia="宋体" w:cs="Times New Roman"/>
          <w:color w:val="auto"/>
          <w:spacing w:val="0"/>
          <w:w w:val="100"/>
          <w:position w:val="0"/>
          <w:sz w:val="24"/>
          <w:szCs w:val="24"/>
          <w:highlight w:val="none"/>
          <w:u w:val="none" w:color="auto"/>
        </w:rPr>
        <w:t>危险废物贮存等固废暂存场所地面与裙脚用坚固、防渗的材料建造，用以存放装载液体、半固体危险废物容器的地方，有</w:t>
      </w:r>
      <w:r>
        <w:rPr>
          <w:rFonts w:hint="default" w:ascii="Times New Roman" w:hAnsi="Times New Roman" w:eastAsia="宋体" w:cs="Times New Roman"/>
          <w:color w:val="auto"/>
          <w:spacing w:val="0"/>
          <w:w w:val="100"/>
          <w:position w:val="0"/>
          <w:sz w:val="24"/>
          <w:szCs w:val="24"/>
          <w:highlight w:val="none"/>
          <w:u w:val="none" w:color="auto"/>
          <w:lang w:eastAsia="zh-CN"/>
        </w:rPr>
        <w:t>耐腐蚀</w:t>
      </w:r>
      <w:r>
        <w:rPr>
          <w:rFonts w:hint="default" w:ascii="Times New Roman" w:hAnsi="Times New Roman" w:eastAsia="宋体" w:cs="Times New Roman"/>
          <w:color w:val="auto"/>
          <w:spacing w:val="0"/>
          <w:w w:val="100"/>
          <w:position w:val="0"/>
          <w:sz w:val="24"/>
          <w:szCs w:val="24"/>
          <w:highlight w:val="none"/>
          <w:u w:val="none" w:color="auto"/>
        </w:rPr>
        <w:t>的硬化地面，且表面无裂隙。基础必须防渗，防渗层为至少1米厚粘土层</w:t>
      </w:r>
      <w:r>
        <w:rPr>
          <w:rFonts w:hint="default" w:ascii="Times New Roman" w:hAnsi="Times New Roman" w:eastAsia="宋体" w:cs="Times New Roman"/>
          <w:color w:val="auto"/>
          <w:spacing w:val="0"/>
          <w:w w:val="100"/>
          <w:position w:val="0"/>
          <w:sz w:val="24"/>
          <w:szCs w:val="24"/>
          <w:highlight w:val="none"/>
          <w:u w:val="none" w:color="auto"/>
          <w:lang w:eastAsia="zh-CN"/>
        </w:rPr>
        <w:t>（</w:t>
      </w:r>
      <w:r>
        <w:rPr>
          <w:rFonts w:hint="default" w:ascii="Times New Roman" w:hAnsi="Times New Roman" w:eastAsia="宋体" w:cs="Times New Roman"/>
          <w:color w:val="auto"/>
          <w:spacing w:val="0"/>
          <w:w w:val="100"/>
          <w:position w:val="0"/>
          <w:sz w:val="24"/>
          <w:szCs w:val="24"/>
          <w:highlight w:val="none"/>
          <w:u w:val="none" w:color="auto"/>
        </w:rPr>
        <w:t>渗透系数＜10</w:t>
      </w:r>
      <w:r>
        <w:rPr>
          <w:rFonts w:hint="default" w:ascii="Times New Roman" w:hAnsi="Times New Roman" w:eastAsia="宋体" w:cs="Times New Roman"/>
          <w:color w:val="auto"/>
          <w:spacing w:val="0"/>
          <w:w w:val="100"/>
          <w:position w:val="0"/>
          <w:sz w:val="24"/>
          <w:szCs w:val="24"/>
          <w:highlight w:val="none"/>
          <w:u w:val="none" w:color="auto"/>
          <w:vertAlign w:val="superscript"/>
        </w:rPr>
        <w:t>-7</w:t>
      </w:r>
      <w:r>
        <w:rPr>
          <w:rFonts w:hint="default" w:ascii="Times New Roman" w:hAnsi="Times New Roman" w:eastAsia="宋体" w:cs="Times New Roman"/>
          <w:color w:val="auto"/>
          <w:spacing w:val="0"/>
          <w:w w:val="100"/>
          <w:position w:val="0"/>
          <w:sz w:val="24"/>
          <w:szCs w:val="24"/>
          <w:highlight w:val="none"/>
          <w:u w:val="none" w:color="auto"/>
        </w:rPr>
        <w:t>cm/s</w:t>
      </w:r>
      <w:r>
        <w:rPr>
          <w:rFonts w:hint="default" w:ascii="Times New Roman" w:hAnsi="Times New Roman" w:eastAsia="宋体" w:cs="Times New Roman"/>
          <w:color w:val="auto"/>
          <w:spacing w:val="0"/>
          <w:w w:val="100"/>
          <w:position w:val="0"/>
          <w:sz w:val="24"/>
          <w:szCs w:val="24"/>
          <w:highlight w:val="none"/>
          <w:u w:val="none" w:color="auto"/>
          <w:lang w:eastAsia="zh-CN"/>
        </w:rPr>
        <w:t>）</w:t>
      </w:r>
      <w:r>
        <w:rPr>
          <w:rFonts w:hint="default" w:ascii="Times New Roman" w:hAnsi="Times New Roman" w:eastAsia="宋体" w:cs="Times New Roman"/>
          <w:color w:val="auto"/>
          <w:spacing w:val="0"/>
          <w:w w:val="100"/>
          <w:position w:val="0"/>
          <w:sz w:val="24"/>
          <w:szCs w:val="24"/>
          <w:highlight w:val="none"/>
          <w:u w:val="none" w:color="auto"/>
        </w:rPr>
        <w:t>，或2毫米厚高密度聚乙烯，或至少2毫米厚的其它人工材料，渗透系数＜10</w:t>
      </w:r>
      <w:r>
        <w:rPr>
          <w:rFonts w:hint="default" w:ascii="Times New Roman" w:hAnsi="Times New Roman" w:eastAsia="宋体" w:cs="Times New Roman"/>
          <w:color w:val="auto"/>
          <w:spacing w:val="0"/>
          <w:w w:val="100"/>
          <w:position w:val="0"/>
          <w:sz w:val="24"/>
          <w:szCs w:val="24"/>
          <w:highlight w:val="none"/>
          <w:u w:val="none" w:color="auto"/>
          <w:vertAlign w:val="superscript"/>
        </w:rPr>
        <w:t>-10</w:t>
      </w:r>
      <w:r>
        <w:rPr>
          <w:rFonts w:hint="default" w:ascii="Times New Roman" w:hAnsi="Times New Roman" w:eastAsia="宋体" w:cs="Times New Roman"/>
          <w:color w:val="auto"/>
          <w:spacing w:val="0"/>
          <w:w w:val="100"/>
          <w:position w:val="0"/>
          <w:sz w:val="24"/>
          <w:szCs w:val="24"/>
          <w:highlight w:val="none"/>
          <w:u w:val="none" w:color="auto"/>
        </w:rPr>
        <w:t>cm/s。有泄漏液体收集装置，防止对土壤和地下水造成污染。</w:t>
      </w:r>
    </w:p>
    <w:p w14:paraId="0FB2395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rPr>
          <w:rFonts w:hint="default" w:ascii="Times New Roman" w:hAnsi="Times New Roman" w:eastAsia="宋体" w:cs="Times New Roman"/>
          <w:color w:val="auto"/>
          <w:spacing w:val="0"/>
          <w:w w:val="100"/>
          <w:position w:val="0"/>
          <w:sz w:val="24"/>
          <w:szCs w:val="24"/>
          <w:highlight w:val="none"/>
          <w:u w:val="none" w:color="auto"/>
        </w:rPr>
      </w:pPr>
      <w:r>
        <w:rPr>
          <w:rFonts w:hint="eastAsia" w:cs="Times New Roman"/>
          <w:color w:val="auto"/>
          <w:spacing w:val="0"/>
          <w:w w:val="100"/>
          <w:position w:val="0"/>
          <w:sz w:val="24"/>
          <w:szCs w:val="24"/>
          <w:highlight w:val="none"/>
          <w:u w:val="none" w:color="auto"/>
          <w:lang w:val="en-US" w:eastAsia="zh-CN"/>
        </w:rPr>
        <w:t>3）</w:t>
      </w:r>
      <w:r>
        <w:rPr>
          <w:rFonts w:hint="default" w:ascii="Times New Roman" w:hAnsi="Times New Roman" w:eastAsia="宋体" w:cs="Times New Roman"/>
          <w:color w:val="auto"/>
          <w:spacing w:val="0"/>
          <w:w w:val="100"/>
          <w:position w:val="0"/>
          <w:sz w:val="24"/>
          <w:szCs w:val="24"/>
          <w:highlight w:val="none"/>
          <w:u w:val="none" w:color="auto"/>
        </w:rPr>
        <w:t>设施内有安全照明设施和观察窗口。</w:t>
      </w:r>
    </w:p>
    <w:p w14:paraId="04F09D2A">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cs="Times New Roman"/>
          <w:caps w:val="0"/>
          <w:snapToGrid/>
          <w:color w:val="auto"/>
          <w:spacing w:val="0"/>
          <w:w w:val="100"/>
          <w:kern w:val="0"/>
          <w:position w:val="0"/>
          <w:sz w:val="24"/>
          <w:szCs w:val="20"/>
          <w:highlight w:val="none"/>
          <w:lang w:val="en-US" w:eastAsia="zh-CN"/>
        </w:rPr>
      </w:pPr>
      <w:r>
        <w:rPr>
          <w:rFonts w:hint="eastAsia" w:cs="Times New Roman"/>
          <w:color w:val="auto"/>
          <w:spacing w:val="0"/>
          <w:w w:val="100"/>
          <w:position w:val="0"/>
          <w:sz w:val="24"/>
          <w:szCs w:val="24"/>
          <w:highlight w:val="none"/>
          <w:u w:val="none" w:color="auto"/>
          <w:lang w:val="en-US" w:eastAsia="zh-CN"/>
        </w:rPr>
        <w:t>5）</w:t>
      </w:r>
      <w:r>
        <w:rPr>
          <w:rFonts w:hint="default" w:ascii="Times New Roman" w:hAnsi="Times New Roman" w:eastAsia="宋体" w:cs="Times New Roman"/>
          <w:color w:val="auto"/>
          <w:spacing w:val="0"/>
          <w:w w:val="100"/>
          <w:position w:val="0"/>
          <w:sz w:val="24"/>
          <w:szCs w:val="24"/>
          <w:highlight w:val="none"/>
          <w:u w:val="none" w:color="auto"/>
        </w:rPr>
        <w:t>从设计、管理中防止和减少污染物料的跑、冒、滴、漏而采取的各种措施，主要措施包括工艺、管道、设备、土建、给排水、总图布置等防止污染物泄漏的措施；运行期严格管理，加强巡检，及时发现污染物泄漏；定期检查检修设备，将污染物泄漏的环境风险事故降到最低。</w:t>
      </w:r>
    </w:p>
    <w:p w14:paraId="37417D29">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rPr>
      </w:pPr>
      <w:r>
        <w:rPr>
          <w:rFonts w:hint="eastAsia" w:cs="Times New Roman"/>
          <w:caps w:val="0"/>
          <w:snapToGrid/>
          <w:color w:val="auto"/>
          <w:spacing w:val="0"/>
          <w:w w:val="100"/>
          <w:kern w:val="0"/>
          <w:position w:val="0"/>
          <w:sz w:val="24"/>
          <w:szCs w:val="20"/>
          <w:highlight w:val="none"/>
          <w:lang w:val="en-US" w:eastAsia="zh-CN"/>
        </w:rPr>
        <w:t>（5）</w:t>
      </w: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污染治理系统事故预防措施</w:t>
      </w:r>
    </w:p>
    <w:p w14:paraId="46B1F934">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rPr>
      </w:pP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项目的废气治理设施在设计、施工时，应严格按照工程设计规范要求进行，选用标准管材，并做必要的防腐防渗处理。</w:t>
      </w:r>
      <w:r>
        <w:rPr>
          <w:rFonts w:hint="eastAsia" w:cs="Times New Roman"/>
          <w:caps w:val="0"/>
          <w:snapToGrid/>
          <w:color w:val="auto"/>
          <w:spacing w:val="0"/>
          <w:w w:val="100"/>
          <w:kern w:val="0"/>
          <w:position w:val="0"/>
          <w:sz w:val="24"/>
          <w:szCs w:val="20"/>
          <w:highlight w:val="none"/>
          <w:lang w:val="en-US" w:eastAsia="zh-CN"/>
        </w:rPr>
        <w:t>各建筑物</w:t>
      </w: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设置相应的灭火器。项目金属设备、设施均采用保护接地措施，如发生火灾时火灾面积亦能得到一定程度控制，对火灾向更大范围扩大起到抑制作用。</w:t>
      </w:r>
    </w:p>
    <w:p w14:paraId="70E28FD8">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rPr>
      </w:pPr>
      <w:r>
        <w:rPr>
          <w:rFonts w:hint="eastAsia" w:cs="Times New Roman"/>
          <w:caps w:val="0"/>
          <w:snapToGrid/>
          <w:color w:val="auto"/>
          <w:spacing w:val="0"/>
          <w:w w:val="100"/>
          <w:kern w:val="0"/>
          <w:position w:val="0"/>
          <w:sz w:val="24"/>
          <w:szCs w:val="20"/>
          <w:highlight w:val="none"/>
          <w:lang w:val="en-US" w:eastAsia="zh-CN"/>
        </w:rPr>
        <w:t>1）</w:t>
      </w: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环境风险事故应急处置措施</w:t>
      </w:r>
    </w:p>
    <w:p w14:paraId="28463C09">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rPr>
      </w:pPr>
      <w:r>
        <w:rPr>
          <w:rFonts w:hint="eastAsia" w:cs="Times New Roman"/>
          <w:caps w:val="0"/>
          <w:snapToGrid/>
          <w:color w:val="auto"/>
          <w:spacing w:val="0"/>
          <w:w w:val="100"/>
          <w:kern w:val="0"/>
          <w:position w:val="0"/>
          <w:sz w:val="24"/>
          <w:szCs w:val="20"/>
          <w:highlight w:val="none"/>
          <w:lang w:val="en-US" w:eastAsia="zh-CN"/>
        </w:rPr>
        <w:t>①</w:t>
      </w: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废气事故应急处理</w:t>
      </w:r>
    </w:p>
    <w:p w14:paraId="666A1D33">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rPr>
      </w:pP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严格控制和管理，加强事故防范措施和事故应急处理的技能，将“预防为主、安全第一”的理念作为减少事故发生、降低污染事故损害的主要保障。</w:t>
      </w:r>
    </w:p>
    <w:p w14:paraId="457838F1">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rPr>
      </w:pP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事故发生后积极组织力量维修，环境监测人员迅速赶到事故现场监测，并详细记录好监测数据，以备应急领导小组参考。事故排除后，环境监测人员持续监测环境状况，机械设备抢修人员负责对设备进行全面的维修保养，确保环境与设备全部安全后方可恢复生产；善后处理人员对要负责进行事故原因调查和全面的设备安全检查，询问事故发现人有关情况，包括电力设备运行情况、故障部位等。</w:t>
      </w:r>
    </w:p>
    <w:p w14:paraId="12997898">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rPr>
      </w:pPr>
      <w:r>
        <w:rPr>
          <w:rFonts w:hint="eastAsia" w:cs="Times New Roman"/>
          <w:caps w:val="0"/>
          <w:snapToGrid/>
          <w:color w:val="auto"/>
          <w:spacing w:val="0"/>
          <w:w w:val="100"/>
          <w:kern w:val="0"/>
          <w:position w:val="0"/>
          <w:sz w:val="24"/>
          <w:szCs w:val="20"/>
          <w:highlight w:val="none"/>
          <w:lang w:val="en-US" w:eastAsia="zh-CN"/>
        </w:rPr>
        <w:t>②</w:t>
      </w: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火灾的应急处理</w:t>
      </w:r>
    </w:p>
    <w:p w14:paraId="56E887D6">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rPr>
      </w:pP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本项目发生火灾，应根据应急预案分级响应条件，启动相应的分级措施。</w:t>
      </w:r>
    </w:p>
    <w:p w14:paraId="3D5C517D">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rPr>
      </w:pPr>
      <w:r>
        <w:rPr>
          <w:rFonts w:hint="eastAsia" w:cs="Times New Roman"/>
          <w:snapToGrid/>
          <w:color w:val="auto"/>
          <w:spacing w:val="0"/>
          <w:w w:val="100"/>
          <w:kern w:val="0"/>
          <w:position w:val="0"/>
          <w:sz w:val="24"/>
          <w:szCs w:val="20"/>
          <w:highlight w:val="none"/>
          <w:lang w:val="en-US" w:eastAsia="zh-CN"/>
        </w:rPr>
        <w:t>A</w:t>
      </w:r>
      <w:r>
        <w:rPr>
          <w:rFonts w:hint="eastAsia" w:cs="Times New Roman"/>
          <w:caps w:val="0"/>
          <w:snapToGrid/>
          <w:color w:val="auto"/>
          <w:spacing w:val="0"/>
          <w:w w:val="100"/>
          <w:kern w:val="0"/>
          <w:position w:val="0"/>
          <w:sz w:val="24"/>
          <w:szCs w:val="20"/>
          <w:highlight w:val="none"/>
          <w:lang w:val="en-US" w:eastAsia="zh-CN"/>
        </w:rPr>
        <w:t>.</w:t>
      </w: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立即向调度室和应急指挥办公室报告。</w:t>
      </w:r>
    </w:p>
    <w:p w14:paraId="0BFD1910">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rPr>
      </w:pPr>
      <w:r>
        <w:rPr>
          <w:rFonts w:hint="eastAsia" w:cs="Times New Roman"/>
          <w:snapToGrid/>
          <w:color w:val="auto"/>
          <w:spacing w:val="0"/>
          <w:w w:val="100"/>
          <w:kern w:val="0"/>
          <w:position w:val="0"/>
          <w:sz w:val="24"/>
          <w:szCs w:val="20"/>
          <w:highlight w:val="none"/>
          <w:lang w:val="en-US" w:eastAsia="zh-CN"/>
        </w:rPr>
        <w:t>B</w:t>
      </w:r>
      <w:r>
        <w:rPr>
          <w:rFonts w:hint="eastAsia" w:cs="Times New Roman"/>
          <w:caps w:val="0"/>
          <w:snapToGrid/>
          <w:color w:val="auto"/>
          <w:spacing w:val="0"/>
          <w:w w:val="100"/>
          <w:kern w:val="0"/>
          <w:position w:val="0"/>
          <w:sz w:val="24"/>
          <w:szCs w:val="20"/>
          <w:highlight w:val="none"/>
          <w:lang w:val="en-US" w:eastAsia="zh-CN"/>
        </w:rPr>
        <w:t>.</w:t>
      </w: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切断火势蔓延的途径，冷却和疏散受火势威胁的密闭容器和可燃物，控制燃烧范围，并积极抢救受伤和被困人员。</w:t>
      </w:r>
    </w:p>
    <w:p w14:paraId="4E5E8E0B">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rPr>
      </w:pPr>
      <w:r>
        <w:rPr>
          <w:rFonts w:hint="eastAsia" w:cs="Times New Roman"/>
          <w:snapToGrid/>
          <w:color w:val="auto"/>
          <w:spacing w:val="0"/>
          <w:w w:val="100"/>
          <w:kern w:val="0"/>
          <w:position w:val="0"/>
          <w:sz w:val="24"/>
          <w:szCs w:val="20"/>
          <w:highlight w:val="none"/>
          <w:lang w:val="en-US" w:eastAsia="zh-CN"/>
        </w:rPr>
        <w:t>C</w:t>
      </w:r>
      <w:r>
        <w:rPr>
          <w:rFonts w:hint="eastAsia" w:cs="Times New Roman"/>
          <w:caps w:val="0"/>
          <w:snapToGrid/>
          <w:color w:val="auto"/>
          <w:spacing w:val="0"/>
          <w:w w:val="100"/>
          <w:kern w:val="0"/>
          <w:position w:val="0"/>
          <w:sz w:val="24"/>
          <w:szCs w:val="20"/>
          <w:highlight w:val="none"/>
          <w:lang w:val="en-US" w:eastAsia="zh-CN"/>
        </w:rPr>
        <w:t>.</w:t>
      </w: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通知环保、安全等相关部门人员，启动应急救护程序。</w:t>
      </w:r>
    </w:p>
    <w:p w14:paraId="4B781505">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rPr>
      </w:pPr>
      <w:r>
        <w:rPr>
          <w:rFonts w:hint="eastAsia" w:cs="Times New Roman"/>
          <w:snapToGrid/>
          <w:color w:val="auto"/>
          <w:spacing w:val="0"/>
          <w:w w:val="100"/>
          <w:kern w:val="0"/>
          <w:position w:val="0"/>
          <w:sz w:val="24"/>
          <w:szCs w:val="20"/>
          <w:highlight w:val="none"/>
          <w:lang w:val="en-US" w:eastAsia="zh-CN"/>
        </w:rPr>
        <w:t>D</w:t>
      </w:r>
      <w:r>
        <w:rPr>
          <w:rFonts w:hint="eastAsia" w:cs="Times New Roman"/>
          <w:caps w:val="0"/>
          <w:snapToGrid/>
          <w:color w:val="auto"/>
          <w:spacing w:val="0"/>
          <w:w w:val="100"/>
          <w:kern w:val="0"/>
          <w:position w:val="0"/>
          <w:sz w:val="24"/>
          <w:szCs w:val="20"/>
          <w:highlight w:val="none"/>
          <w:lang w:val="en-US" w:eastAsia="zh-CN"/>
        </w:rPr>
        <w:t>.</w:t>
      </w: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组织救援小组，封锁现场，疏散人员。</w:t>
      </w:r>
    </w:p>
    <w:p w14:paraId="5FD39128">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rPr>
      </w:pPr>
      <w:r>
        <w:rPr>
          <w:rFonts w:hint="eastAsia" w:cs="Times New Roman"/>
          <w:snapToGrid/>
          <w:color w:val="auto"/>
          <w:spacing w:val="0"/>
          <w:w w:val="100"/>
          <w:kern w:val="0"/>
          <w:position w:val="0"/>
          <w:sz w:val="24"/>
          <w:szCs w:val="20"/>
          <w:highlight w:val="none"/>
          <w:lang w:val="en-US" w:eastAsia="zh-CN"/>
        </w:rPr>
        <w:t>E</w:t>
      </w:r>
      <w:r>
        <w:rPr>
          <w:rFonts w:hint="eastAsia" w:cs="Times New Roman"/>
          <w:caps w:val="0"/>
          <w:snapToGrid/>
          <w:color w:val="auto"/>
          <w:spacing w:val="0"/>
          <w:w w:val="100"/>
          <w:kern w:val="0"/>
          <w:position w:val="0"/>
          <w:sz w:val="24"/>
          <w:szCs w:val="20"/>
          <w:highlight w:val="none"/>
          <w:lang w:val="en-US" w:eastAsia="zh-CN"/>
        </w:rPr>
        <w:t>.</w:t>
      </w: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灭火工作结束后，对现场进行恢复清理，对环境可能受到污染范围内的空气、水体、土壤进行取样监测，判定污染影响程度和采取必要的处理。</w:t>
      </w:r>
    </w:p>
    <w:p w14:paraId="1A60E28D">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rPr>
      </w:pPr>
      <w:r>
        <w:rPr>
          <w:rFonts w:hint="eastAsia" w:cs="Times New Roman"/>
          <w:snapToGrid/>
          <w:color w:val="auto"/>
          <w:spacing w:val="0"/>
          <w:w w:val="100"/>
          <w:kern w:val="0"/>
          <w:position w:val="0"/>
          <w:sz w:val="24"/>
          <w:szCs w:val="20"/>
          <w:highlight w:val="none"/>
          <w:lang w:val="en-US" w:eastAsia="zh-CN"/>
        </w:rPr>
        <w:t>F</w:t>
      </w:r>
      <w:r>
        <w:rPr>
          <w:rFonts w:hint="eastAsia" w:cs="Times New Roman"/>
          <w:caps w:val="0"/>
          <w:snapToGrid/>
          <w:color w:val="auto"/>
          <w:spacing w:val="0"/>
          <w:w w:val="100"/>
          <w:kern w:val="0"/>
          <w:position w:val="0"/>
          <w:sz w:val="24"/>
          <w:szCs w:val="20"/>
          <w:highlight w:val="none"/>
          <w:lang w:val="en-US" w:eastAsia="zh-CN"/>
        </w:rPr>
        <w:t>.</w:t>
      </w: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调查和鉴定事故原因，提出事故评估报告，补充和修改事故防范措施和应急方案。</w:t>
      </w:r>
    </w:p>
    <w:p w14:paraId="285DB71D">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rPr>
      </w:pPr>
      <w:r>
        <w:rPr>
          <w:rFonts w:hint="eastAsia" w:cs="Times New Roman"/>
          <w:caps w:val="0"/>
          <w:snapToGrid/>
          <w:color w:val="auto"/>
          <w:spacing w:val="0"/>
          <w:w w:val="100"/>
          <w:kern w:val="21"/>
          <w:position w:val="0"/>
          <w:sz w:val="24"/>
          <w:szCs w:val="20"/>
          <w:highlight w:val="none"/>
          <w:lang w:val="en-US" w:eastAsia="zh-CN"/>
        </w:rPr>
        <w:t>2）</w:t>
      </w:r>
      <w:r>
        <w:rPr>
          <w:rFonts w:hint="default" w:ascii="Times New Roman" w:hAnsi="Times New Roman" w:eastAsia="宋体" w:cs="Times New Roman"/>
          <w:caps w:val="0"/>
          <w:snapToGrid/>
          <w:color w:val="auto"/>
          <w:spacing w:val="0"/>
          <w:w w:val="100"/>
          <w:kern w:val="21"/>
          <w:position w:val="0"/>
          <w:sz w:val="24"/>
          <w:szCs w:val="20"/>
          <w:highlight w:val="none"/>
          <w:lang w:val="en-US" w:eastAsia="zh-CN"/>
        </w:rPr>
        <w:t>泄漏处置</w:t>
      </w:r>
    </w:p>
    <w:p w14:paraId="6EFD9F3F">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highlight w:val="none"/>
          <w:lang w:val="en-US" w:eastAsia="zh-CN"/>
        </w:rPr>
      </w:pP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危废贮存库</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t>设置重点防渗，采取Mb≥6.0m，渗透系数不小于10</w:t>
      </w:r>
      <w:r>
        <w:rPr>
          <w:rFonts w:hint="default" w:ascii="Times New Roman" w:hAnsi="Times New Roman" w:eastAsia="宋体" w:cs="Times New Roman"/>
          <w:caps w:val="0"/>
          <w:snapToGrid/>
          <w:color w:val="auto"/>
          <w:spacing w:val="0"/>
          <w:w w:val="100"/>
          <w:kern w:val="0"/>
          <w:position w:val="0"/>
          <w:sz w:val="24"/>
          <w:szCs w:val="24"/>
          <w:highlight w:val="none"/>
          <w:vertAlign w:val="superscript"/>
          <w:lang w:val="en-US" w:eastAsia="zh-CN" w:bidi="ar-SA"/>
        </w:rPr>
        <w:t>-7</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t>cm/s的防渗措施进行防护；</w:t>
      </w: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生产车间均采用厚度Mb</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t>≥</w:t>
      </w: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1.5m，渗透系数K≤10</w:t>
      </w:r>
      <w:r>
        <w:rPr>
          <w:rFonts w:hint="default" w:ascii="Times New Roman" w:hAnsi="Times New Roman" w:eastAsia="宋体" w:cs="Times New Roman"/>
          <w:caps w:val="0"/>
          <w:snapToGrid/>
          <w:color w:val="auto"/>
          <w:spacing w:val="0"/>
          <w:w w:val="100"/>
          <w:kern w:val="0"/>
          <w:position w:val="0"/>
          <w:sz w:val="24"/>
          <w:szCs w:val="20"/>
          <w:highlight w:val="none"/>
          <w:vertAlign w:val="superscript"/>
          <w:lang w:val="en-US" w:eastAsia="zh-CN"/>
        </w:rPr>
        <w:t>-7</w:t>
      </w: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cm/s防渗措施；</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bidi="ar-SA"/>
        </w:rPr>
        <w:t>厂区内地面均做硬化处理，因此，泄漏后不会大面积逸散，在发生泄漏后，厂内工作人员将及时清理，因此，若发生泄漏等事故不会对土壤、地下水环境</w:t>
      </w:r>
      <w:r>
        <w:rPr>
          <w:rFonts w:hint="default" w:ascii="Times New Roman" w:hAnsi="Times New Roman" w:eastAsia="宋体" w:cs="Times New Roman"/>
          <w:caps w:val="0"/>
          <w:snapToGrid/>
          <w:color w:val="auto"/>
          <w:spacing w:val="0"/>
          <w:w w:val="100"/>
          <w:kern w:val="0"/>
          <w:position w:val="0"/>
          <w:sz w:val="24"/>
          <w:szCs w:val="24"/>
          <w:highlight w:val="none"/>
          <w:lang w:val="en-US" w:eastAsia="zh-CN"/>
        </w:rPr>
        <w:t>造成影响。</w:t>
      </w:r>
    </w:p>
    <w:p w14:paraId="08D1658A">
      <w:pPr>
        <w:pStyle w:val="1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bidi="ar-SA"/>
        </w:rPr>
      </w:pPr>
      <w:r>
        <w:rPr>
          <w:rFonts w:hint="default" w:ascii="Times New Roman" w:hAnsi="Times New Roman" w:eastAsia="宋体" w:cs="Times New Roman"/>
          <w:caps w:val="0"/>
          <w:snapToGrid/>
          <w:color w:val="auto"/>
          <w:spacing w:val="0"/>
          <w:w w:val="100"/>
          <w:kern w:val="0"/>
          <w:position w:val="0"/>
          <w:sz w:val="24"/>
          <w:szCs w:val="20"/>
          <w:highlight w:val="none"/>
          <w:lang w:val="en-US" w:eastAsia="zh-CN" w:bidi="ar-SA"/>
        </w:rPr>
        <w:t>本项目废水主要为生活污水，项目正式投运后，须确保</w:t>
      </w:r>
      <w:r>
        <w:rPr>
          <w:rFonts w:hint="eastAsia" w:cs="Times New Roman"/>
          <w:caps w:val="0"/>
          <w:snapToGrid/>
          <w:color w:val="auto"/>
          <w:spacing w:val="0"/>
          <w:w w:val="100"/>
          <w:kern w:val="0"/>
          <w:position w:val="0"/>
          <w:sz w:val="24"/>
          <w:szCs w:val="20"/>
          <w:highlight w:val="none"/>
          <w:lang w:val="en-US" w:eastAsia="zh-CN" w:bidi="ar-SA"/>
        </w:rPr>
        <w:t>生活污水及生产废水</w:t>
      </w:r>
      <w:r>
        <w:rPr>
          <w:rFonts w:hint="default" w:ascii="Times New Roman" w:hAnsi="Times New Roman" w:eastAsia="宋体" w:cs="Times New Roman"/>
          <w:caps w:val="0"/>
          <w:snapToGrid/>
          <w:color w:val="auto"/>
          <w:spacing w:val="0"/>
          <w:w w:val="100"/>
          <w:kern w:val="0"/>
          <w:position w:val="0"/>
          <w:sz w:val="24"/>
          <w:szCs w:val="20"/>
          <w:highlight w:val="none"/>
          <w:lang w:val="en-US" w:eastAsia="zh-CN" w:bidi="ar-SA"/>
        </w:rPr>
        <w:t>排入下水管网，最终进入污水处理厂处理</w:t>
      </w:r>
      <w:r>
        <w:rPr>
          <w:rFonts w:hint="eastAsia" w:ascii="Times New Roman" w:hAnsi="Times New Roman" w:eastAsia="宋体" w:cs="Times New Roman"/>
          <w:caps w:val="0"/>
          <w:snapToGrid/>
          <w:color w:val="auto"/>
          <w:spacing w:val="0"/>
          <w:w w:val="100"/>
          <w:kern w:val="0"/>
          <w:position w:val="0"/>
          <w:sz w:val="24"/>
          <w:szCs w:val="20"/>
          <w:highlight w:val="none"/>
          <w:lang w:val="en-US" w:eastAsia="zh-CN" w:bidi="ar-SA"/>
        </w:rPr>
        <w:t>，</w:t>
      </w:r>
      <w:r>
        <w:rPr>
          <w:rFonts w:hint="default" w:ascii="Times New Roman" w:hAnsi="Times New Roman" w:eastAsia="宋体" w:cs="Times New Roman"/>
          <w:caps w:val="0"/>
          <w:snapToGrid/>
          <w:color w:val="auto"/>
          <w:spacing w:val="0"/>
          <w:w w:val="100"/>
          <w:kern w:val="0"/>
          <w:position w:val="0"/>
          <w:sz w:val="24"/>
          <w:szCs w:val="20"/>
          <w:highlight w:val="none"/>
          <w:lang w:val="en-US" w:eastAsia="zh-CN" w:bidi="ar-SA"/>
        </w:rPr>
        <w:t>严禁偷排、乱排。</w:t>
      </w:r>
    </w:p>
    <w:p w14:paraId="0ACB2B8C">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bidi="ar-SA"/>
        </w:rPr>
      </w:pPr>
      <w:r>
        <w:rPr>
          <w:rFonts w:hint="default" w:ascii="Times New Roman" w:hAnsi="Times New Roman" w:eastAsia="宋体" w:cs="Times New Roman"/>
          <w:caps w:val="0"/>
          <w:snapToGrid/>
          <w:color w:val="auto"/>
          <w:spacing w:val="0"/>
          <w:w w:val="100"/>
          <w:kern w:val="0"/>
          <w:position w:val="0"/>
          <w:sz w:val="24"/>
          <w:szCs w:val="20"/>
          <w:highlight w:val="none"/>
          <w:lang w:val="en-US" w:eastAsia="zh-CN" w:bidi="ar-SA"/>
        </w:rPr>
        <w:t>项目对地下水的污染风险是防渗层出现断裂。当发现防渗层出现异常发生渗漏现象，企业应立即停产并及时分析原因，立即更换防渗层。另外，还需根据现场情况，联系具有资质的检测单位，开展应急检测，以预防和控制环境风险事故对区域环境的影响。</w:t>
      </w:r>
    </w:p>
    <w:p w14:paraId="23D77FFC">
      <w:pPr>
        <w:pStyle w:val="5"/>
        <w:keepNext w:val="0"/>
        <w:keepLines w:val="0"/>
        <w:pageBreakBefore w:val="0"/>
        <w:widowControl w:val="0"/>
        <w:kinsoku/>
        <w:wordWrap/>
        <w:overflowPunct/>
        <w:topLinePunct w:val="0"/>
        <w:autoSpaceDE/>
        <w:autoSpaceDN/>
        <w:bidi w:val="0"/>
        <w:rPr>
          <w:rFonts w:hint="default"/>
          <w:color w:val="auto"/>
          <w:spacing w:val="0"/>
          <w:w w:val="100"/>
          <w:position w:val="0"/>
          <w:lang w:val="en-US" w:eastAsia="zh-CN"/>
        </w:rPr>
      </w:pPr>
      <w:r>
        <w:rPr>
          <w:rFonts w:hint="eastAsia"/>
          <w:color w:val="auto"/>
          <w:spacing w:val="0"/>
          <w:w w:val="100"/>
          <w:position w:val="0"/>
          <w:lang w:val="en-US" w:eastAsia="zh-CN"/>
        </w:rPr>
        <w:t>5.2.6.6</w:t>
      </w:r>
      <w:r>
        <w:rPr>
          <w:rFonts w:hint="default"/>
          <w:color w:val="auto"/>
          <w:spacing w:val="0"/>
          <w:w w:val="100"/>
          <w:position w:val="0"/>
          <w:lang w:val="en-US" w:eastAsia="zh-CN"/>
        </w:rPr>
        <w:t>风险应急监测</w:t>
      </w:r>
    </w:p>
    <w:p w14:paraId="730F058A">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rPr>
      </w:pP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①监测项目</w:t>
      </w:r>
    </w:p>
    <w:p w14:paraId="54A6AD4C">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rPr>
      </w:pP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环境空气：</w:t>
      </w:r>
      <w:r>
        <w:rPr>
          <w:rFonts w:hint="eastAsia" w:cs="Times New Roman"/>
          <w:caps w:val="0"/>
          <w:snapToGrid/>
          <w:color w:val="auto"/>
          <w:spacing w:val="0"/>
          <w:w w:val="100"/>
          <w:kern w:val="0"/>
          <w:position w:val="0"/>
          <w:sz w:val="24"/>
          <w:szCs w:val="20"/>
          <w:highlight w:val="none"/>
          <w:lang w:val="en-US" w:eastAsia="zh-CN"/>
        </w:rPr>
        <w:t>颗粒物、</w:t>
      </w: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非甲烷总烃；</w:t>
      </w:r>
    </w:p>
    <w:p w14:paraId="1BCAF663">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rPr>
      </w:pP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地下水：pH、</w:t>
      </w:r>
      <w:r>
        <w:rPr>
          <w:rFonts w:hint="eastAsia" w:cs="Times New Roman"/>
          <w:caps w:val="0"/>
          <w:snapToGrid/>
          <w:color w:val="auto"/>
          <w:spacing w:val="0"/>
          <w:w w:val="100"/>
          <w:kern w:val="0"/>
          <w:position w:val="0"/>
          <w:sz w:val="24"/>
          <w:szCs w:val="20"/>
          <w:highlight w:val="none"/>
          <w:lang w:val="en-US" w:eastAsia="zh-CN"/>
        </w:rPr>
        <w:t>CODcr</w:t>
      </w: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、BOD、SS、氨氮、石油类；</w:t>
      </w:r>
    </w:p>
    <w:p w14:paraId="28D4DEC9">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rPr>
      </w:pP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②监测区域</w:t>
      </w:r>
    </w:p>
    <w:p w14:paraId="46F8968D">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rPr>
      </w:pP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大气环境：本项目周边区域（根据事故排放量确定监测范围）；</w:t>
      </w:r>
    </w:p>
    <w:p w14:paraId="7FA2A5C6">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水环境：本项目周边地下水环境</w:t>
      </w:r>
    </w:p>
    <w:p w14:paraId="7CA999CC">
      <w:pPr>
        <w:pStyle w:val="5"/>
        <w:keepNext w:val="0"/>
        <w:keepLines w:val="0"/>
        <w:pageBreakBefore w:val="0"/>
        <w:widowControl w:val="0"/>
        <w:kinsoku/>
        <w:wordWrap/>
        <w:overflowPunct/>
        <w:topLinePunct w:val="0"/>
        <w:autoSpaceDE/>
        <w:autoSpaceDN/>
        <w:bidi w:val="0"/>
        <w:rPr>
          <w:rFonts w:hint="default"/>
          <w:color w:val="auto"/>
          <w:spacing w:val="0"/>
          <w:w w:val="100"/>
          <w:position w:val="0"/>
        </w:rPr>
      </w:pPr>
      <w:r>
        <w:rPr>
          <w:rFonts w:hint="eastAsia"/>
          <w:color w:val="auto"/>
          <w:spacing w:val="0"/>
          <w:w w:val="100"/>
          <w:position w:val="0"/>
          <w:lang w:val="en-US" w:eastAsia="zh-CN"/>
        </w:rPr>
        <w:t>5.2.6.7编制</w:t>
      </w:r>
      <w:r>
        <w:rPr>
          <w:rFonts w:hint="default"/>
          <w:color w:val="auto"/>
          <w:spacing w:val="0"/>
          <w:w w:val="100"/>
          <w:position w:val="0"/>
        </w:rPr>
        <w:t>突发环境事件应急预案</w:t>
      </w:r>
    </w:p>
    <w:p w14:paraId="59FFCD93">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s="Times New Roman"/>
          <w:b w:val="0"/>
          <w:bCs w:val="0"/>
          <w:color w:val="auto"/>
          <w:spacing w:val="0"/>
          <w:w w:val="100"/>
          <w:position w:val="0"/>
          <w:szCs w:val="24"/>
          <w:highlight w:val="none"/>
        </w:rPr>
      </w:pPr>
      <w:r>
        <w:rPr>
          <w:rFonts w:hint="default"/>
          <w:color w:val="auto"/>
          <w:spacing w:val="0"/>
          <w:w w:val="100"/>
          <w:position w:val="0"/>
          <w:highlight w:val="none"/>
        </w:rPr>
        <w:t>建设单位应制定</w:t>
      </w:r>
      <w:r>
        <w:rPr>
          <w:rFonts w:hint="default" w:ascii="Times New Roman" w:hAnsi="Times New Roman" w:eastAsia="宋体" w:cs="Times New Roman"/>
          <w:b w:val="0"/>
          <w:bCs w:val="0"/>
          <w:color w:val="auto"/>
          <w:spacing w:val="0"/>
          <w:w w:val="100"/>
          <w:position w:val="0"/>
          <w:szCs w:val="24"/>
          <w:highlight w:val="none"/>
        </w:rPr>
        <w:t>突发环境事件应急预案，按照《关于印发&lt;企业事业单位突发环境事件应急预案备案管理办法（试行）&gt;的通知》（环发〔2015〕4号）要求做好环境应急预案的备案工作，与当地政府突发事件应急预案联动，并定期演练，发生事故时立即启动。根据《建设项目环境风险评价技术导则》（HJ169-2018）规定，企业应成立以厂长为总指挥，副厂长为副总指挥的事故应急救援队伍，指挥部下设办公室、工程抢险救援组、医疗救护组、后勤保障组。制定“事故应急救援预案”和实施细则，组织专业队伍学习和演练，提高队伍实战能力，防患于未然，以便应急救援工作的顺利开展。</w:t>
      </w:r>
    </w:p>
    <w:p w14:paraId="59E01B91">
      <w:pPr>
        <w:pStyle w:val="5"/>
        <w:keepNext w:val="0"/>
        <w:keepLines w:val="0"/>
        <w:pageBreakBefore w:val="0"/>
        <w:widowControl w:val="0"/>
        <w:kinsoku/>
        <w:wordWrap/>
        <w:overflowPunct/>
        <w:topLinePunct w:val="0"/>
        <w:autoSpaceDE/>
        <w:autoSpaceDN/>
        <w:bidi w:val="0"/>
        <w:rPr>
          <w:rFonts w:hint="default"/>
          <w:color w:val="auto"/>
          <w:spacing w:val="0"/>
          <w:w w:val="100"/>
          <w:position w:val="0"/>
          <w:lang w:val="en-US" w:eastAsia="zh-CN"/>
        </w:rPr>
      </w:pPr>
      <w:r>
        <w:rPr>
          <w:rFonts w:hint="eastAsia"/>
          <w:color w:val="auto"/>
          <w:spacing w:val="0"/>
          <w:w w:val="100"/>
          <w:position w:val="0"/>
          <w:lang w:val="en-US" w:eastAsia="zh-CN"/>
        </w:rPr>
        <w:t>5.2.6.8</w:t>
      </w:r>
      <w:r>
        <w:rPr>
          <w:rFonts w:hint="default"/>
          <w:color w:val="auto"/>
          <w:spacing w:val="0"/>
          <w:w w:val="100"/>
          <w:position w:val="0"/>
          <w:lang w:val="en-US" w:eastAsia="zh-CN"/>
        </w:rPr>
        <w:t>风险小结</w:t>
      </w:r>
    </w:p>
    <w:p w14:paraId="665877DB">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rPr>
      </w:pP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项目运行过程中存在火灾、泄漏风险，必须严格执行国家的技术规范和操作规程要求，落实各项安全规章制度，避免事故的发生。</w:t>
      </w:r>
    </w:p>
    <w:p w14:paraId="3D71AA6A">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0" w:firstLineChars="200"/>
        <w:jc w:val="left"/>
        <w:outlineLvl w:val="9"/>
        <w:rPr>
          <w:rFonts w:hint="default" w:ascii="Times New Roman" w:hAnsi="Times New Roman" w:eastAsia="宋体" w:cs="Times New Roman"/>
          <w:caps w:val="0"/>
          <w:snapToGrid/>
          <w:color w:val="auto"/>
          <w:spacing w:val="0"/>
          <w:w w:val="100"/>
          <w:kern w:val="0"/>
          <w:position w:val="0"/>
          <w:sz w:val="24"/>
          <w:szCs w:val="20"/>
          <w:highlight w:val="none"/>
          <w:lang w:val="en-US" w:eastAsia="zh-CN"/>
        </w:rPr>
      </w:pPr>
      <w:r>
        <w:rPr>
          <w:rFonts w:hint="default" w:ascii="Times New Roman" w:hAnsi="Times New Roman" w:eastAsia="宋体" w:cs="Times New Roman"/>
          <w:caps w:val="0"/>
          <w:snapToGrid/>
          <w:color w:val="auto"/>
          <w:spacing w:val="0"/>
          <w:w w:val="100"/>
          <w:kern w:val="0"/>
          <w:position w:val="0"/>
          <w:sz w:val="24"/>
          <w:szCs w:val="20"/>
          <w:highlight w:val="none"/>
          <w:lang w:val="en-US" w:eastAsia="zh-CN"/>
        </w:rPr>
        <w:t>在认真落实项目拟采取的安全措施及评价所提出的安全措施及安全对策后，项目的事故对周围的影响是可以接受的。</w:t>
      </w:r>
    </w:p>
    <w:p w14:paraId="4AE84BD2">
      <w:pPr>
        <w:keepNext w:val="0"/>
        <w:keepLines w:val="0"/>
        <w:pageBreakBefore w:val="0"/>
        <w:widowControl w:val="0"/>
        <w:kinsoku/>
        <w:wordWrap/>
        <w:overflowPunct/>
        <w:topLinePunct w:val="0"/>
        <w:autoSpaceDE/>
        <w:autoSpaceDN/>
        <w:bidi w:val="0"/>
        <w:adjustRightInd/>
        <w:snapToGrid/>
        <w:spacing w:before="0" w:after="0" w:line="240" w:lineRule="auto"/>
        <w:ind w:left="0" w:leftChars="0" w:right="0" w:rightChars="0" w:firstLine="422" w:firstLineChars="200"/>
        <w:jc w:val="center"/>
        <w:outlineLvl w:val="9"/>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bidi="ar-SA"/>
        </w:rPr>
      </w:pPr>
      <w:r>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bidi="ar-SA"/>
        </w:rPr>
        <w:t>表5.2</w:t>
      </w:r>
      <w:r>
        <w:rPr>
          <w:rFonts w:hint="eastAsia" w:cs="Times New Roman"/>
          <w:b/>
          <w:bCs/>
          <w:caps w:val="0"/>
          <w:snapToGrid/>
          <w:color w:val="auto"/>
          <w:spacing w:val="0"/>
          <w:w w:val="100"/>
          <w:kern w:val="0"/>
          <w:position w:val="0"/>
          <w:sz w:val="21"/>
          <w:szCs w:val="21"/>
          <w:highlight w:val="none"/>
          <w:lang w:val="en-US" w:eastAsia="zh-CN" w:bidi="ar-SA"/>
        </w:rPr>
        <w:t>.6-4</w:t>
      </w:r>
      <w:r>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bidi="ar-SA"/>
        </w:rPr>
        <w:t xml:space="preserve">  建设项目环境风险简单分析内容表</w:t>
      </w:r>
    </w:p>
    <w:tbl>
      <w:tblPr>
        <w:tblStyle w:val="26"/>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2011"/>
        <w:gridCol w:w="1275"/>
        <w:gridCol w:w="2247"/>
        <w:gridCol w:w="1132"/>
        <w:gridCol w:w="2287"/>
      </w:tblGrid>
      <w:tr w14:paraId="063DEE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123" w:type="pct"/>
            <w:tcBorders>
              <w:tl2br w:val="nil"/>
              <w:tr2bl w:val="nil"/>
            </w:tcBorders>
            <w:noWrap w:val="0"/>
            <w:vAlign w:val="center"/>
          </w:tcPr>
          <w:p w14:paraId="518BA2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rPr>
              <w:t>建设项目名称</w:t>
            </w:r>
          </w:p>
        </w:tc>
        <w:tc>
          <w:tcPr>
            <w:tcW w:w="3876" w:type="pct"/>
            <w:gridSpan w:val="4"/>
            <w:tcBorders>
              <w:tl2br w:val="nil"/>
              <w:tr2bl w:val="nil"/>
            </w:tcBorders>
            <w:noWrap w:val="0"/>
            <w:vAlign w:val="center"/>
          </w:tcPr>
          <w:p w14:paraId="541D2A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pPr>
            <w:r>
              <w:rPr>
                <w:rFonts w:hint="eastAsia" w:cs="Times New Roman"/>
                <w:caps w:val="0"/>
                <w:snapToGrid/>
                <w:color w:val="auto"/>
                <w:spacing w:val="0"/>
                <w:w w:val="100"/>
                <w:kern w:val="0"/>
                <w:position w:val="0"/>
                <w:sz w:val="21"/>
                <w:szCs w:val="21"/>
                <w:highlight w:val="none"/>
                <w:lang w:val="en-US" w:eastAsia="zh-CN" w:bidi="ar-SA"/>
              </w:rPr>
              <w:t>新疆吉宸建材有限公司建设年产120万平方米铝塑复合板生产线项目</w:t>
            </w:r>
            <w:r>
              <w:rPr>
                <w:rFonts w:hint="default" w:ascii="Times New Roman" w:hAnsi="Times New Roman" w:eastAsia="宋体" w:cs="Times New Roman"/>
                <w:caps w:val="0"/>
                <w:snapToGrid/>
                <w:color w:val="auto"/>
                <w:spacing w:val="0"/>
                <w:w w:val="100"/>
                <w:kern w:val="0"/>
                <w:position w:val="0"/>
                <w:sz w:val="21"/>
                <w:szCs w:val="21"/>
                <w:highlight w:val="none"/>
                <w:lang w:val="en-US" w:eastAsia="zh-CN" w:bidi="ar-SA"/>
              </w:rPr>
              <w:t>项目</w:t>
            </w:r>
          </w:p>
        </w:tc>
      </w:tr>
      <w:tr w14:paraId="0B2B68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123" w:type="pct"/>
            <w:tcBorders>
              <w:tl2br w:val="nil"/>
              <w:tr2bl w:val="nil"/>
            </w:tcBorders>
            <w:noWrap w:val="0"/>
            <w:vAlign w:val="center"/>
          </w:tcPr>
          <w:p w14:paraId="1FC32D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4"/>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rPr>
              <w:t>建设地点</w:t>
            </w:r>
          </w:p>
        </w:tc>
        <w:tc>
          <w:tcPr>
            <w:tcW w:w="3876" w:type="pct"/>
            <w:gridSpan w:val="4"/>
            <w:tcBorders>
              <w:tl2br w:val="nil"/>
              <w:tr2bl w:val="nil"/>
            </w:tcBorders>
            <w:noWrap w:val="0"/>
            <w:vAlign w:val="center"/>
          </w:tcPr>
          <w:p w14:paraId="254FEE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4"/>
                <w:highlight w:val="none"/>
                <w:lang w:val="en-US" w:eastAsia="zh-CN"/>
              </w:rPr>
            </w:pPr>
            <w:r>
              <w:rPr>
                <w:rFonts w:hint="eastAsia" w:cs="Times New Roman"/>
                <w:caps w:val="0"/>
                <w:snapToGrid/>
                <w:color w:val="auto"/>
                <w:spacing w:val="0"/>
                <w:w w:val="100"/>
                <w:kern w:val="0"/>
                <w:position w:val="0"/>
                <w:sz w:val="21"/>
                <w:szCs w:val="24"/>
                <w:highlight w:val="none"/>
                <w:lang w:val="en-US" w:eastAsia="zh-CN"/>
              </w:rPr>
              <w:t>甘泉堡工业园区中小微企业创新区</w:t>
            </w:r>
          </w:p>
        </w:tc>
      </w:tr>
      <w:tr w14:paraId="1A29B2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123" w:type="pct"/>
            <w:tcBorders>
              <w:tl2br w:val="nil"/>
              <w:tr2bl w:val="nil"/>
            </w:tcBorders>
            <w:noWrap w:val="0"/>
            <w:vAlign w:val="center"/>
          </w:tcPr>
          <w:p w14:paraId="3F07A2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4"/>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rPr>
              <w:t>地理坐标</w:t>
            </w:r>
          </w:p>
        </w:tc>
        <w:tc>
          <w:tcPr>
            <w:tcW w:w="712" w:type="pct"/>
            <w:tcBorders>
              <w:tl2br w:val="nil"/>
              <w:tr2bl w:val="nil"/>
            </w:tcBorders>
            <w:noWrap w:val="0"/>
            <w:vAlign w:val="center"/>
          </w:tcPr>
          <w:p w14:paraId="4722EE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4"/>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rPr>
              <w:t>经度</w:t>
            </w:r>
          </w:p>
        </w:tc>
        <w:tc>
          <w:tcPr>
            <w:tcW w:w="1255" w:type="pct"/>
            <w:tcBorders>
              <w:tl2br w:val="nil"/>
              <w:tr2bl w:val="nil"/>
            </w:tcBorders>
            <w:noWrap w:val="0"/>
            <w:vAlign w:val="center"/>
          </w:tcPr>
          <w:p w14:paraId="5AAC42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4"/>
                <w:highlight w:val="none"/>
                <w:lang w:eastAsia="zh-CN"/>
              </w:rPr>
            </w:pPr>
            <w:r>
              <w:rPr>
                <w:rFonts w:hint="default" w:ascii="Times New Roman" w:hAnsi="Times New Roman" w:eastAsia="宋体" w:cs="Times New Roman"/>
                <w:caps w:val="0"/>
                <w:snapToGrid/>
                <w:color w:val="auto"/>
                <w:spacing w:val="0"/>
                <w:w w:val="100"/>
                <w:kern w:val="0"/>
                <w:position w:val="0"/>
                <w:sz w:val="21"/>
                <w:szCs w:val="24"/>
                <w:highlight w:val="none"/>
                <w:lang w:eastAsia="zh-CN"/>
              </w:rPr>
              <w:t>87°50'39.048"</w:t>
            </w:r>
          </w:p>
        </w:tc>
        <w:tc>
          <w:tcPr>
            <w:tcW w:w="632" w:type="pct"/>
            <w:tcBorders>
              <w:tl2br w:val="nil"/>
              <w:tr2bl w:val="nil"/>
            </w:tcBorders>
            <w:noWrap w:val="0"/>
            <w:vAlign w:val="center"/>
          </w:tcPr>
          <w:p w14:paraId="63502A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4"/>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rPr>
              <w:t>纬度</w:t>
            </w:r>
          </w:p>
        </w:tc>
        <w:tc>
          <w:tcPr>
            <w:tcW w:w="1277" w:type="pct"/>
            <w:tcBorders>
              <w:tl2br w:val="nil"/>
              <w:tr2bl w:val="nil"/>
            </w:tcBorders>
            <w:noWrap w:val="0"/>
            <w:vAlign w:val="center"/>
          </w:tcPr>
          <w:p w14:paraId="2E9B64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4"/>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4"/>
                <w:highlight w:val="none"/>
                <w:lang w:val="en-US" w:eastAsia="zh-CN"/>
              </w:rPr>
              <w:t>44°09'44.799"</w:t>
            </w:r>
          </w:p>
        </w:tc>
      </w:tr>
      <w:tr w14:paraId="53E537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123" w:type="pct"/>
            <w:tcBorders>
              <w:tl2br w:val="nil"/>
              <w:tr2bl w:val="nil"/>
            </w:tcBorders>
            <w:noWrap w:val="0"/>
            <w:vAlign w:val="center"/>
          </w:tcPr>
          <w:p w14:paraId="0E5DD4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both"/>
              <w:textAlignment w:val="auto"/>
              <w:outlineLvl w:val="9"/>
              <w:rPr>
                <w:rFonts w:hint="default" w:ascii="Times New Roman" w:hAnsi="Times New Roman" w:eastAsia="宋体" w:cs="Times New Roman"/>
                <w:caps w:val="0"/>
                <w:snapToGrid/>
                <w:color w:val="auto"/>
                <w:spacing w:val="0"/>
                <w:w w:val="100"/>
                <w:kern w:val="0"/>
                <w:position w:val="0"/>
                <w:sz w:val="21"/>
                <w:szCs w:val="24"/>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4"/>
                <w:highlight w:val="none"/>
                <w:lang w:val="en-US" w:eastAsia="zh-CN"/>
              </w:rPr>
              <w:t>主要危险物质及分布</w:t>
            </w:r>
          </w:p>
        </w:tc>
        <w:tc>
          <w:tcPr>
            <w:tcW w:w="3876" w:type="pct"/>
            <w:gridSpan w:val="4"/>
            <w:tcBorders>
              <w:tl2br w:val="nil"/>
              <w:tr2bl w:val="nil"/>
            </w:tcBorders>
            <w:noWrap w:val="0"/>
            <w:vAlign w:val="center"/>
          </w:tcPr>
          <w:p w14:paraId="09971A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rPr>
              <w:t>本项目涉及的风险物质为：</w:t>
            </w:r>
            <w:r>
              <w:rPr>
                <w:rFonts w:hint="eastAsia" w:cs="Times New Roman"/>
                <w:caps w:val="0"/>
                <w:snapToGrid/>
                <w:color w:val="auto"/>
                <w:spacing w:val="0"/>
                <w:w w:val="100"/>
                <w:kern w:val="0"/>
                <w:position w:val="0"/>
                <w:sz w:val="21"/>
                <w:szCs w:val="21"/>
                <w:highlight w:val="none"/>
                <w:lang w:val="en-US" w:eastAsia="zh-CN"/>
              </w:rPr>
              <w:t>废机油</w:t>
            </w:r>
          </w:p>
          <w:p w14:paraId="5508EB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both"/>
              <w:textAlignment w:val="auto"/>
              <w:outlineLvl w:val="9"/>
              <w:rPr>
                <w:rFonts w:hint="default" w:ascii="Times New Roman" w:hAnsi="Times New Roman" w:eastAsia="宋体" w:cs="Times New Roman"/>
                <w:caps w:val="0"/>
                <w:snapToGrid/>
                <w:color w:val="auto"/>
                <w:spacing w:val="0"/>
                <w:w w:val="100"/>
                <w:kern w:val="0"/>
                <w:position w:val="0"/>
                <w:sz w:val="21"/>
                <w:szCs w:val="24"/>
                <w:highlight w:val="none"/>
                <w:lang w:val="en-US" w:eastAsia="zh-CN"/>
              </w:rPr>
            </w:pPr>
            <w:r>
              <w:rPr>
                <w:rFonts w:hint="eastAsia" w:cs="Times New Roman"/>
                <w:caps w:val="0"/>
                <w:snapToGrid/>
                <w:color w:val="auto"/>
                <w:spacing w:val="0"/>
                <w:w w:val="100"/>
                <w:kern w:val="0"/>
                <w:position w:val="0"/>
                <w:sz w:val="21"/>
                <w:szCs w:val="21"/>
                <w:highlight w:val="none"/>
                <w:lang w:val="en-US" w:eastAsia="zh-CN"/>
              </w:rPr>
              <w:t>废机油</w:t>
            </w:r>
            <w:r>
              <w:rPr>
                <w:rFonts w:hint="default" w:ascii="Times New Roman" w:hAnsi="Times New Roman" w:eastAsia="宋体" w:cs="Times New Roman"/>
                <w:caps w:val="0"/>
                <w:snapToGrid/>
                <w:color w:val="auto"/>
                <w:spacing w:val="0"/>
                <w:w w:val="100"/>
                <w:kern w:val="0"/>
                <w:position w:val="0"/>
                <w:sz w:val="21"/>
                <w:szCs w:val="21"/>
                <w:highlight w:val="none"/>
              </w:rPr>
              <w:t>主要分布在</w:t>
            </w:r>
            <w:r>
              <w:rPr>
                <w:rFonts w:hint="default" w:ascii="Times New Roman" w:hAnsi="Times New Roman" w:eastAsia="宋体" w:cs="Times New Roman"/>
                <w:caps w:val="0"/>
                <w:snapToGrid/>
                <w:color w:val="auto"/>
                <w:spacing w:val="0"/>
                <w:w w:val="100"/>
                <w:kern w:val="0"/>
                <w:position w:val="0"/>
                <w:sz w:val="21"/>
                <w:szCs w:val="21"/>
                <w:highlight w:val="none"/>
                <w:lang w:eastAsia="zh-CN"/>
              </w:rPr>
              <w:t>危废贮存库</w:t>
            </w:r>
          </w:p>
        </w:tc>
      </w:tr>
      <w:tr w14:paraId="7C11BD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123" w:type="pct"/>
            <w:tcBorders>
              <w:tl2br w:val="nil"/>
              <w:tr2bl w:val="nil"/>
            </w:tcBorders>
            <w:noWrap w:val="0"/>
            <w:vAlign w:val="center"/>
          </w:tcPr>
          <w:p w14:paraId="6597F5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both"/>
              <w:textAlignment w:val="auto"/>
              <w:outlineLvl w:val="9"/>
              <w:rPr>
                <w:rFonts w:hint="default" w:ascii="Times New Roman" w:hAnsi="Times New Roman" w:eastAsia="宋体" w:cs="Times New Roman"/>
                <w:caps w:val="0"/>
                <w:snapToGrid/>
                <w:color w:val="auto"/>
                <w:spacing w:val="0"/>
                <w:w w:val="100"/>
                <w:kern w:val="0"/>
                <w:position w:val="0"/>
                <w:sz w:val="21"/>
                <w:szCs w:val="24"/>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4"/>
                <w:highlight w:val="none"/>
                <w:lang w:val="en-US" w:eastAsia="zh-CN"/>
              </w:rPr>
              <w:t>环境影响途径及危害后果（大气、地表水和地下水等）</w:t>
            </w:r>
          </w:p>
        </w:tc>
        <w:tc>
          <w:tcPr>
            <w:tcW w:w="3876" w:type="pct"/>
            <w:gridSpan w:val="4"/>
            <w:tcBorders>
              <w:tl2br w:val="nil"/>
              <w:tr2bl w:val="nil"/>
            </w:tcBorders>
            <w:noWrap w:val="0"/>
            <w:vAlign w:val="center"/>
          </w:tcPr>
          <w:p w14:paraId="0F0BEE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both"/>
              <w:textAlignment w:val="auto"/>
              <w:outlineLvl w:val="9"/>
              <w:rPr>
                <w:rFonts w:hint="default" w:ascii="Times New Roman" w:hAnsi="Times New Roman" w:eastAsia="宋体" w:cs="Times New Roman"/>
                <w:caps w:val="0"/>
                <w:snapToGrid/>
                <w:color w:val="auto"/>
                <w:spacing w:val="0"/>
                <w:w w:val="100"/>
                <w:kern w:val="0"/>
                <w:position w:val="0"/>
                <w:sz w:val="21"/>
                <w:szCs w:val="24"/>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4"/>
                <w:highlight w:val="none"/>
                <w:lang w:val="en-US" w:eastAsia="zh-CN"/>
              </w:rPr>
              <w:t>主要影响途径：废气事故排放、废矿物油泄漏、火灾、爆炸；</w:t>
            </w:r>
          </w:p>
          <w:p w14:paraId="486AFF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both"/>
              <w:textAlignment w:val="auto"/>
              <w:outlineLvl w:val="9"/>
              <w:rPr>
                <w:rFonts w:hint="default" w:ascii="Times New Roman" w:hAnsi="Times New Roman" w:eastAsia="宋体" w:cs="Times New Roman"/>
                <w:caps w:val="0"/>
                <w:snapToGrid/>
                <w:color w:val="auto"/>
                <w:spacing w:val="0"/>
                <w:w w:val="100"/>
                <w:kern w:val="0"/>
                <w:position w:val="0"/>
                <w:sz w:val="21"/>
                <w:szCs w:val="24"/>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4"/>
                <w:highlight w:val="none"/>
                <w:lang w:val="en-US" w:eastAsia="zh-CN"/>
              </w:rPr>
              <w:t>危害后果：废矿物油引起火灾、爆炸；废矿物油泄漏导致环境空气、水环境和土壤污染，及时采取应急措施，不会对环境产生显著不利影响</w:t>
            </w:r>
          </w:p>
        </w:tc>
      </w:tr>
      <w:tr w14:paraId="313F4B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123" w:type="pct"/>
            <w:tcBorders>
              <w:tl2br w:val="nil"/>
              <w:tr2bl w:val="nil"/>
            </w:tcBorders>
            <w:noWrap w:val="0"/>
            <w:vAlign w:val="center"/>
          </w:tcPr>
          <w:p w14:paraId="3D949D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both"/>
              <w:textAlignment w:val="auto"/>
              <w:outlineLvl w:val="9"/>
              <w:rPr>
                <w:rFonts w:hint="default" w:ascii="Times New Roman" w:hAnsi="Times New Roman" w:eastAsia="宋体" w:cs="Times New Roman"/>
                <w:caps w:val="0"/>
                <w:snapToGrid/>
                <w:color w:val="auto"/>
                <w:spacing w:val="0"/>
                <w:w w:val="100"/>
                <w:kern w:val="0"/>
                <w:position w:val="0"/>
                <w:sz w:val="21"/>
                <w:szCs w:val="24"/>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4"/>
                <w:highlight w:val="none"/>
                <w:lang w:val="en-US" w:eastAsia="zh-CN"/>
              </w:rPr>
              <w:t>风险防范措施要求</w:t>
            </w:r>
          </w:p>
        </w:tc>
        <w:tc>
          <w:tcPr>
            <w:tcW w:w="3876" w:type="pct"/>
            <w:gridSpan w:val="4"/>
            <w:tcBorders>
              <w:tl2br w:val="nil"/>
              <w:tr2bl w:val="nil"/>
            </w:tcBorders>
            <w:noWrap w:val="0"/>
            <w:vAlign w:val="center"/>
          </w:tcPr>
          <w:p w14:paraId="1E4D22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both"/>
              <w:textAlignment w:val="auto"/>
              <w:outlineLvl w:val="9"/>
              <w:rPr>
                <w:rFonts w:hint="default" w:ascii="Times New Roman" w:hAnsi="Times New Roman" w:eastAsia="宋体" w:cs="Times New Roman"/>
                <w:caps w:val="0"/>
                <w:snapToGrid/>
                <w:color w:val="auto"/>
                <w:spacing w:val="0"/>
                <w:w w:val="100"/>
                <w:kern w:val="0"/>
                <w:position w:val="0"/>
                <w:sz w:val="21"/>
                <w:szCs w:val="24"/>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4"/>
                <w:highlight w:val="none"/>
                <w:lang w:val="en-US" w:eastAsia="zh-CN"/>
              </w:rPr>
              <w:t>①编制突发事件环境应急预案并定期演练；</w:t>
            </w:r>
          </w:p>
          <w:p w14:paraId="20625C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both"/>
              <w:textAlignment w:val="auto"/>
              <w:outlineLvl w:val="9"/>
              <w:rPr>
                <w:rFonts w:hint="default" w:ascii="Times New Roman" w:hAnsi="Times New Roman" w:eastAsia="宋体" w:cs="Times New Roman"/>
                <w:caps w:val="0"/>
                <w:snapToGrid/>
                <w:color w:val="auto"/>
                <w:spacing w:val="0"/>
                <w:w w:val="100"/>
                <w:kern w:val="0"/>
                <w:position w:val="0"/>
                <w:sz w:val="21"/>
                <w:szCs w:val="24"/>
                <w:highlight w:val="none"/>
              </w:rPr>
            </w:pPr>
            <w:r>
              <w:rPr>
                <w:rFonts w:hint="default" w:ascii="Times New Roman" w:hAnsi="Times New Roman" w:eastAsia="宋体" w:cs="Times New Roman"/>
                <w:caps w:val="0"/>
                <w:snapToGrid/>
                <w:color w:val="auto"/>
                <w:spacing w:val="0"/>
                <w:w w:val="100"/>
                <w:kern w:val="0"/>
                <w:position w:val="0"/>
                <w:sz w:val="21"/>
                <w:szCs w:val="24"/>
                <w:highlight w:val="none"/>
              </w:rPr>
              <w:t>②建设单位从</w:t>
            </w:r>
            <w:r>
              <w:rPr>
                <w:rFonts w:hint="default" w:ascii="Times New Roman" w:hAnsi="Times New Roman" w:eastAsia="宋体" w:cs="Times New Roman"/>
                <w:caps w:val="0"/>
                <w:snapToGrid/>
                <w:color w:val="auto"/>
                <w:spacing w:val="0"/>
                <w:w w:val="100"/>
                <w:kern w:val="0"/>
                <w:position w:val="0"/>
                <w:sz w:val="21"/>
                <w:szCs w:val="24"/>
                <w:highlight w:val="none"/>
                <w:lang w:val="en-US" w:eastAsia="zh-CN"/>
              </w:rPr>
              <w:t>防火间距</w:t>
            </w:r>
            <w:r>
              <w:rPr>
                <w:rFonts w:hint="default" w:ascii="Times New Roman" w:hAnsi="Times New Roman" w:eastAsia="宋体" w:cs="Times New Roman"/>
                <w:caps w:val="0"/>
                <w:snapToGrid/>
                <w:color w:val="auto"/>
                <w:spacing w:val="0"/>
                <w:w w:val="100"/>
                <w:kern w:val="0"/>
                <w:position w:val="0"/>
                <w:sz w:val="21"/>
                <w:szCs w:val="24"/>
                <w:highlight w:val="none"/>
              </w:rPr>
              <w:t>、电器安全措施、制定应急预案等方面完善了环境风险防范措施；</w:t>
            </w:r>
          </w:p>
        </w:tc>
      </w:tr>
      <w:tr w14:paraId="49B1F1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123" w:type="pct"/>
            <w:tcBorders>
              <w:tl2br w:val="nil"/>
              <w:tr2bl w:val="nil"/>
            </w:tcBorders>
            <w:noWrap w:val="0"/>
            <w:vAlign w:val="center"/>
          </w:tcPr>
          <w:p w14:paraId="7001A4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both"/>
              <w:textAlignment w:val="auto"/>
              <w:outlineLvl w:val="9"/>
              <w:rPr>
                <w:rFonts w:hint="default" w:ascii="Times New Roman" w:hAnsi="Times New Roman" w:eastAsia="宋体" w:cs="Times New Roman"/>
                <w:caps w:val="0"/>
                <w:snapToGrid/>
                <w:color w:val="auto"/>
                <w:spacing w:val="0"/>
                <w:w w:val="100"/>
                <w:kern w:val="0"/>
                <w:position w:val="0"/>
                <w:sz w:val="21"/>
                <w:szCs w:val="24"/>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4"/>
                <w:highlight w:val="none"/>
                <w:lang w:val="en-US" w:eastAsia="zh-CN"/>
              </w:rPr>
              <w:t>填表说明（列出项目相关信息及评价说明）</w:t>
            </w:r>
          </w:p>
        </w:tc>
        <w:tc>
          <w:tcPr>
            <w:tcW w:w="3876" w:type="pct"/>
            <w:gridSpan w:val="4"/>
            <w:tcBorders>
              <w:tl2br w:val="nil"/>
              <w:tr2bl w:val="nil"/>
            </w:tcBorders>
            <w:noWrap w:val="0"/>
            <w:vAlign w:val="center"/>
          </w:tcPr>
          <w:p w14:paraId="61ECA5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both"/>
              <w:textAlignment w:val="auto"/>
              <w:outlineLvl w:val="9"/>
              <w:rPr>
                <w:rFonts w:hint="default" w:ascii="Times New Roman" w:hAnsi="Times New Roman" w:eastAsia="宋体" w:cs="Times New Roman"/>
                <w:caps w:val="0"/>
                <w:snapToGrid/>
                <w:color w:val="auto"/>
                <w:spacing w:val="0"/>
                <w:w w:val="100"/>
                <w:kern w:val="0"/>
                <w:position w:val="0"/>
                <w:sz w:val="21"/>
                <w:szCs w:val="24"/>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4"/>
                <w:highlight w:val="none"/>
                <w:lang w:val="en-US" w:eastAsia="zh-CN"/>
              </w:rPr>
              <w:t>根据物质危险性识别确定各环境要素环境风险潜势等级均为Ⅰ，根据《建设项目环境风险评价技术导则》（HJ169-2018），环境风险评价工作等级为简单分析，评价深度以定性说明为主，环境风险评价对其进行了简要定性分析。最终确定环境风险可控，处于可接受水平。</w:t>
            </w:r>
          </w:p>
        </w:tc>
      </w:tr>
    </w:tbl>
    <w:p w14:paraId="5E11ED05">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both"/>
        <w:outlineLvl w:val="9"/>
        <w:rPr>
          <w:rFonts w:hint="default" w:ascii="Times New Roman" w:hAnsi="Times New Roman" w:eastAsia="宋体" w:cs="Times New Roman"/>
          <w:b/>
          <w:bCs/>
          <w:caps w:val="0"/>
          <w:snapToGrid/>
          <w:color w:val="auto"/>
          <w:spacing w:val="0"/>
          <w:w w:val="100"/>
          <w:kern w:val="0"/>
          <w:position w:val="0"/>
          <w:sz w:val="28"/>
          <w:szCs w:val="32"/>
          <w:highlight w:val="none"/>
          <w:lang w:val="en-US" w:eastAsia="zh-CN" w:bidi="ar-SA"/>
        </w:rPr>
        <w:sectPr>
          <w:pgSz w:w="11905" w:h="16838"/>
          <w:pgMar w:top="1531" w:right="1531" w:bottom="1531" w:left="1531" w:header="850" w:footer="850" w:gutter="0"/>
          <w:pgBorders>
            <w:top w:val="none" w:sz="0" w:space="0"/>
            <w:left w:val="none" w:sz="0" w:space="0"/>
            <w:bottom w:val="none" w:sz="0" w:space="0"/>
            <w:right w:val="none" w:sz="0" w:space="0"/>
          </w:pgBorders>
          <w:pgNumType w:fmt="decimal"/>
          <w:cols w:space="0" w:num="1"/>
          <w:rtlGutter w:val="0"/>
          <w:docGrid w:linePitch="329" w:charSpace="0"/>
        </w:sectPr>
      </w:pPr>
    </w:p>
    <w:p w14:paraId="372AFD31">
      <w:pPr>
        <w:pStyle w:val="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eastAsia="zh-CN"/>
        </w:rPr>
      </w:pPr>
      <w:bookmarkStart w:id="472" w:name="_Toc13490"/>
      <w:bookmarkStart w:id="473" w:name="_Toc17016"/>
      <w:bookmarkStart w:id="474" w:name="_Toc26387"/>
      <w:bookmarkStart w:id="475" w:name="_Toc3843_WPSOffice_Level2"/>
      <w:bookmarkStart w:id="476" w:name="_Toc27727"/>
      <w:bookmarkStart w:id="477" w:name="_Toc28931_WPSOffice_Level2"/>
      <w:bookmarkStart w:id="478" w:name="_Toc31640_WPSOffice_Level2"/>
      <w:bookmarkStart w:id="479" w:name="_Toc24347"/>
      <w:bookmarkStart w:id="480" w:name="_Toc13776"/>
      <w:bookmarkStart w:id="481" w:name="_Toc2095311"/>
      <w:bookmarkStart w:id="482" w:name="_Toc13056"/>
      <w:bookmarkStart w:id="483" w:name="_Toc3502"/>
      <w:bookmarkStart w:id="484" w:name="_Toc23036"/>
      <w:bookmarkStart w:id="485" w:name="_Toc30560"/>
      <w:r>
        <w:rPr>
          <w:rFonts w:hint="default"/>
          <w:color w:val="auto"/>
          <w:spacing w:val="0"/>
          <w:w w:val="100"/>
          <w:position w:val="0"/>
          <w:highlight w:val="none"/>
          <w:lang w:val="en-US" w:eastAsia="zh-CN"/>
        </w:rPr>
        <w:t>6</w:t>
      </w:r>
      <w:r>
        <w:rPr>
          <w:rFonts w:hint="default"/>
          <w:color w:val="auto"/>
          <w:spacing w:val="0"/>
          <w:w w:val="100"/>
          <w:position w:val="0"/>
          <w:highlight w:val="none"/>
        </w:rPr>
        <w:t>环境保护措施及其可行性</w:t>
      </w:r>
      <w:bookmarkEnd w:id="472"/>
      <w:bookmarkEnd w:id="473"/>
      <w:bookmarkEnd w:id="474"/>
      <w:bookmarkEnd w:id="475"/>
      <w:bookmarkEnd w:id="476"/>
      <w:bookmarkEnd w:id="477"/>
      <w:bookmarkEnd w:id="478"/>
      <w:bookmarkEnd w:id="479"/>
      <w:bookmarkEnd w:id="480"/>
      <w:bookmarkEnd w:id="481"/>
      <w:r>
        <w:rPr>
          <w:rFonts w:hint="default"/>
          <w:color w:val="auto"/>
          <w:spacing w:val="0"/>
          <w:w w:val="100"/>
          <w:position w:val="0"/>
          <w:highlight w:val="none"/>
          <w:lang w:eastAsia="zh-CN"/>
        </w:rPr>
        <w:t>论证</w:t>
      </w:r>
      <w:bookmarkEnd w:id="482"/>
      <w:bookmarkEnd w:id="483"/>
      <w:bookmarkEnd w:id="484"/>
      <w:bookmarkEnd w:id="485"/>
    </w:p>
    <w:p w14:paraId="1606394C">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486" w:name="_Toc17095"/>
      <w:bookmarkStart w:id="487" w:name="_Toc9462"/>
      <w:bookmarkStart w:id="488" w:name="_Toc16912"/>
      <w:bookmarkStart w:id="489" w:name="_Toc16839"/>
      <w:bookmarkStart w:id="490" w:name="_Toc12676"/>
      <w:bookmarkStart w:id="491" w:name="_Toc25166"/>
      <w:bookmarkStart w:id="492" w:name="_Toc22787"/>
      <w:bookmarkStart w:id="493" w:name="_Toc4292"/>
      <w:bookmarkStart w:id="494" w:name="_Toc15813_WPSOffice_Level3"/>
      <w:bookmarkStart w:id="495" w:name="_Toc2095317"/>
      <w:bookmarkStart w:id="496" w:name="_Toc19045"/>
      <w:bookmarkStart w:id="497" w:name="_Toc26790"/>
      <w:bookmarkStart w:id="498" w:name="_Toc366673513"/>
      <w:r>
        <w:rPr>
          <w:rFonts w:hint="default"/>
          <w:color w:val="auto"/>
          <w:spacing w:val="0"/>
          <w:w w:val="100"/>
          <w:position w:val="0"/>
          <w:highlight w:val="none"/>
          <w:lang w:val="en-US" w:eastAsia="zh-CN"/>
        </w:rPr>
        <w:t>6.1施工期防治措施及其可行性论证</w:t>
      </w:r>
      <w:bookmarkEnd w:id="486"/>
      <w:bookmarkEnd w:id="487"/>
      <w:bookmarkEnd w:id="488"/>
      <w:bookmarkEnd w:id="489"/>
    </w:p>
    <w:p w14:paraId="3C4DA4D2">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499" w:name="_Toc9654"/>
      <w:bookmarkStart w:id="500" w:name="_Toc21777"/>
      <w:bookmarkStart w:id="501" w:name="_Toc6592"/>
      <w:bookmarkStart w:id="502" w:name="_Toc12792"/>
      <w:r>
        <w:rPr>
          <w:rFonts w:hint="default"/>
          <w:color w:val="auto"/>
          <w:spacing w:val="0"/>
          <w:w w:val="100"/>
          <w:position w:val="0"/>
          <w:highlight w:val="none"/>
          <w:lang w:val="en-US" w:eastAsia="zh-CN"/>
        </w:rPr>
        <w:t>6.1.1大气环境污染防治措施</w:t>
      </w:r>
      <w:bookmarkEnd w:id="499"/>
      <w:bookmarkEnd w:id="500"/>
      <w:bookmarkEnd w:id="501"/>
      <w:bookmarkEnd w:id="502"/>
    </w:p>
    <w:p w14:paraId="2CE29A0B">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本项目施工土建工程主要为</w:t>
      </w:r>
      <w:r>
        <w:rPr>
          <w:rFonts w:hint="eastAsia" w:cs="Times New Roman"/>
          <w:caps w:val="0"/>
          <w:snapToGrid/>
          <w:color w:val="auto"/>
          <w:spacing w:val="0"/>
          <w:w w:val="100"/>
          <w:kern w:val="0"/>
          <w:position w:val="0"/>
          <w:szCs w:val="24"/>
          <w:highlight w:val="none"/>
          <w:lang w:val="en-US" w:eastAsia="zh-CN"/>
        </w:rPr>
        <w:t>设备的运输安装</w:t>
      </w:r>
      <w:r>
        <w:rPr>
          <w:rFonts w:hint="default" w:ascii="Times New Roman" w:hAnsi="Times New Roman" w:eastAsia="宋体" w:cs="Times New Roman"/>
          <w:caps w:val="0"/>
          <w:snapToGrid/>
          <w:color w:val="auto"/>
          <w:spacing w:val="0"/>
          <w:w w:val="100"/>
          <w:kern w:val="0"/>
          <w:position w:val="0"/>
          <w:szCs w:val="24"/>
          <w:highlight w:val="none"/>
          <w:lang w:val="en-US" w:eastAsia="zh-CN"/>
        </w:rPr>
        <w:t>，因此粉尘量产生极少，均在现有厂区内实施，采取洒水降尘、厂房遮挡措施。</w:t>
      </w:r>
    </w:p>
    <w:p w14:paraId="6E6B6142">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503" w:name="_Toc4767"/>
      <w:bookmarkStart w:id="504" w:name="_Toc8613"/>
      <w:bookmarkStart w:id="505" w:name="_Toc277"/>
      <w:bookmarkStart w:id="506" w:name="_Toc30000"/>
      <w:r>
        <w:rPr>
          <w:rFonts w:hint="default"/>
          <w:color w:val="auto"/>
          <w:spacing w:val="0"/>
          <w:w w:val="100"/>
          <w:position w:val="0"/>
          <w:highlight w:val="none"/>
          <w:lang w:val="en-US" w:eastAsia="zh-CN"/>
        </w:rPr>
        <w:t>6.1.2废水防治措施</w:t>
      </w:r>
      <w:bookmarkEnd w:id="503"/>
      <w:bookmarkEnd w:id="504"/>
      <w:bookmarkEnd w:id="505"/>
      <w:bookmarkEnd w:id="506"/>
    </w:p>
    <w:p w14:paraId="212C6EEE">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施工人员生活污水排入</w:t>
      </w:r>
      <w:r>
        <w:rPr>
          <w:rFonts w:hint="eastAsia" w:cs="Times New Roman"/>
          <w:caps w:val="0"/>
          <w:snapToGrid/>
          <w:color w:val="auto"/>
          <w:spacing w:val="0"/>
          <w:w w:val="100"/>
          <w:kern w:val="0"/>
          <w:position w:val="0"/>
          <w:szCs w:val="24"/>
          <w:highlight w:val="none"/>
          <w:lang w:val="en-US" w:eastAsia="zh-CN"/>
        </w:rPr>
        <w:t>阜西区污水处理厂</w:t>
      </w:r>
      <w:r>
        <w:rPr>
          <w:rFonts w:hint="default" w:ascii="Times New Roman" w:hAnsi="Times New Roman" w:eastAsia="宋体" w:cs="Times New Roman"/>
          <w:caps w:val="0"/>
          <w:snapToGrid/>
          <w:color w:val="auto"/>
          <w:spacing w:val="0"/>
          <w:w w:val="100"/>
          <w:kern w:val="0"/>
          <w:position w:val="0"/>
          <w:szCs w:val="24"/>
          <w:highlight w:val="none"/>
          <w:lang w:val="en-US" w:eastAsia="zh-CN"/>
        </w:rPr>
        <w:t>处理，不会对周边水环境产生明显不良影响。</w:t>
      </w:r>
    </w:p>
    <w:p w14:paraId="0CC5FD14">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507" w:name="_Toc22224"/>
      <w:bookmarkStart w:id="508" w:name="_Toc12678"/>
      <w:bookmarkStart w:id="509" w:name="_Toc15505"/>
      <w:bookmarkStart w:id="510" w:name="_Toc20158"/>
      <w:r>
        <w:rPr>
          <w:rFonts w:hint="default"/>
          <w:color w:val="auto"/>
          <w:spacing w:val="0"/>
          <w:w w:val="100"/>
          <w:position w:val="0"/>
          <w:highlight w:val="none"/>
          <w:lang w:val="en-US" w:eastAsia="zh-CN"/>
        </w:rPr>
        <w:t>6.1.3噪声防治措施分析</w:t>
      </w:r>
      <w:bookmarkEnd w:id="507"/>
      <w:bookmarkEnd w:id="508"/>
      <w:bookmarkEnd w:id="509"/>
      <w:bookmarkEnd w:id="510"/>
    </w:p>
    <w:p w14:paraId="1176D811">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bookmarkStart w:id="511" w:name="_Toc23655"/>
      <w:bookmarkStart w:id="512" w:name="_Toc17085"/>
      <w:r>
        <w:rPr>
          <w:rFonts w:hint="default" w:ascii="Times New Roman" w:hAnsi="Times New Roman" w:eastAsia="宋体" w:cs="Times New Roman"/>
          <w:caps w:val="0"/>
          <w:snapToGrid/>
          <w:color w:val="auto"/>
          <w:spacing w:val="0"/>
          <w:w w:val="100"/>
          <w:kern w:val="0"/>
          <w:position w:val="0"/>
          <w:szCs w:val="24"/>
          <w:highlight w:val="none"/>
          <w:lang w:val="en-US" w:eastAsia="zh-CN"/>
        </w:rPr>
        <w:t>（1）合理安排施工时间，原则上应禁止午间（14：00~16：00）、夜间（24：00~次日8：00）施工。</w:t>
      </w:r>
    </w:p>
    <w:p w14:paraId="042B6E1D">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（2）选用低噪声设备</w:t>
      </w:r>
      <w:r>
        <w:rPr>
          <w:rFonts w:hint="eastAsia" w:ascii="Times New Roman" w:hAnsi="Times New Roman" w:eastAsia="宋体" w:cs="Times New Roman"/>
          <w:caps w:val="0"/>
          <w:snapToGrid/>
          <w:color w:val="auto"/>
          <w:spacing w:val="0"/>
          <w:w w:val="100"/>
          <w:kern w:val="0"/>
          <w:position w:val="0"/>
          <w:szCs w:val="24"/>
          <w:highlight w:val="none"/>
          <w:lang w:val="en-US" w:eastAsia="zh-CN"/>
        </w:rPr>
        <w:t>，</w:t>
      </w:r>
      <w:r>
        <w:rPr>
          <w:rFonts w:hint="default" w:ascii="Times New Roman" w:hAnsi="Times New Roman" w:eastAsia="宋体" w:cs="Times New Roman"/>
          <w:caps w:val="0"/>
          <w:snapToGrid/>
          <w:color w:val="auto"/>
          <w:spacing w:val="0"/>
          <w:w w:val="100"/>
          <w:kern w:val="0"/>
          <w:position w:val="0"/>
          <w:szCs w:val="24"/>
          <w:highlight w:val="none"/>
          <w:lang w:val="en-US" w:eastAsia="zh-CN"/>
        </w:rPr>
        <w:t>在施工过程中施工单位应设专人对设备进行定期保养和维护，并负责对现场工作人员进行培训，严格按操作规范使用各类机械。</w:t>
      </w:r>
    </w:p>
    <w:p w14:paraId="637BE23E">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（3）施工车辆出入现场时应低速、</w:t>
      </w:r>
      <w:r>
        <w:rPr>
          <w:rFonts w:hint="eastAsia" w:ascii="Times New Roman" w:hAnsi="Times New Roman" w:eastAsia="宋体" w:cs="Times New Roman"/>
          <w:caps w:val="0"/>
          <w:snapToGrid/>
          <w:color w:val="auto"/>
          <w:spacing w:val="0"/>
          <w:w w:val="100"/>
          <w:kern w:val="0"/>
          <w:position w:val="0"/>
          <w:szCs w:val="24"/>
          <w:highlight w:val="none"/>
          <w:lang w:val="en-US" w:eastAsia="zh-CN"/>
        </w:rPr>
        <w:t>禁止鸣笛</w:t>
      </w:r>
      <w:r>
        <w:rPr>
          <w:rFonts w:hint="default" w:ascii="Times New Roman" w:hAnsi="Times New Roman" w:eastAsia="宋体" w:cs="Times New Roman"/>
          <w:caps w:val="0"/>
          <w:snapToGrid/>
          <w:color w:val="auto"/>
          <w:spacing w:val="0"/>
          <w:w w:val="100"/>
          <w:kern w:val="0"/>
          <w:position w:val="0"/>
          <w:szCs w:val="24"/>
          <w:highlight w:val="none"/>
          <w:lang w:val="en-US" w:eastAsia="zh-CN"/>
        </w:rPr>
        <w:t>。</w:t>
      </w:r>
    </w:p>
    <w:p w14:paraId="3D260A04">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（4）保持车辆良好工况，严禁车辆超速，从严控制车辆鸣笛。</w:t>
      </w:r>
    </w:p>
    <w:p w14:paraId="3C75CBCB">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采取上述措施后，有效减轻</w:t>
      </w:r>
      <w:r>
        <w:rPr>
          <w:rFonts w:hint="eastAsia" w:cs="Times New Roman"/>
          <w:caps w:val="0"/>
          <w:snapToGrid/>
          <w:color w:val="auto"/>
          <w:spacing w:val="0"/>
          <w:w w:val="100"/>
          <w:kern w:val="0"/>
          <w:position w:val="0"/>
          <w:szCs w:val="24"/>
          <w:highlight w:val="none"/>
          <w:lang w:val="en-US" w:eastAsia="zh-CN"/>
        </w:rPr>
        <w:t>了</w:t>
      </w:r>
      <w:r>
        <w:rPr>
          <w:rFonts w:hint="default" w:ascii="Times New Roman" w:hAnsi="Times New Roman" w:eastAsia="宋体" w:cs="Times New Roman"/>
          <w:caps w:val="0"/>
          <w:snapToGrid/>
          <w:color w:val="auto"/>
          <w:spacing w:val="0"/>
          <w:w w:val="100"/>
          <w:kern w:val="0"/>
          <w:position w:val="0"/>
          <w:szCs w:val="24"/>
          <w:highlight w:val="none"/>
          <w:lang w:val="en-US" w:eastAsia="zh-CN"/>
        </w:rPr>
        <w:t>项目施工噪声对周围环境的影响程度，各项措施技术、经济可行。</w:t>
      </w:r>
    </w:p>
    <w:p w14:paraId="133C2166">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513" w:name="_Toc5949"/>
      <w:bookmarkStart w:id="514" w:name="_Toc1607"/>
      <w:r>
        <w:rPr>
          <w:rFonts w:hint="default"/>
          <w:color w:val="auto"/>
          <w:spacing w:val="0"/>
          <w:w w:val="100"/>
          <w:position w:val="0"/>
          <w:highlight w:val="none"/>
          <w:lang w:val="en-US" w:eastAsia="zh-CN"/>
        </w:rPr>
        <w:t>6.1.4固废处置措施分析</w:t>
      </w:r>
      <w:bookmarkEnd w:id="511"/>
      <w:bookmarkEnd w:id="512"/>
      <w:bookmarkEnd w:id="513"/>
      <w:bookmarkEnd w:id="514"/>
    </w:p>
    <w:p w14:paraId="55EC8A1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highlight w:val="none"/>
        </w:rPr>
      </w:pPr>
      <w:bookmarkStart w:id="515" w:name="_Toc19525"/>
      <w:bookmarkStart w:id="516" w:name="_Toc2491"/>
      <w:r>
        <w:rPr>
          <w:rFonts w:hint="default" w:ascii="Times New Roman" w:hAnsi="Times New Roman" w:eastAsia="宋体" w:cs="Times New Roman"/>
          <w:caps w:val="0"/>
          <w:snapToGrid/>
          <w:color w:val="auto"/>
          <w:spacing w:val="0"/>
          <w:w w:val="100"/>
          <w:kern w:val="0"/>
          <w:position w:val="0"/>
          <w:highlight w:val="none"/>
        </w:rPr>
        <w:t>本项目施工</w:t>
      </w:r>
      <w:r>
        <w:rPr>
          <w:rFonts w:hint="default" w:ascii="Times New Roman" w:hAnsi="Times New Roman" w:eastAsia="宋体" w:cs="Times New Roman"/>
          <w:caps w:val="0"/>
          <w:snapToGrid/>
          <w:color w:val="auto"/>
          <w:spacing w:val="0"/>
          <w:w w:val="100"/>
          <w:kern w:val="0"/>
          <w:position w:val="0"/>
          <w:highlight w:val="none"/>
          <w:lang w:eastAsia="zh-CN"/>
        </w:rPr>
        <w:t>期固体废物</w:t>
      </w:r>
      <w:r>
        <w:rPr>
          <w:rFonts w:hint="default" w:ascii="Times New Roman" w:hAnsi="Times New Roman" w:eastAsia="宋体" w:cs="Times New Roman"/>
          <w:caps w:val="0"/>
          <w:snapToGrid/>
          <w:color w:val="auto"/>
          <w:spacing w:val="0"/>
          <w:w w:val="100"/>
          <w:kern w:val="0"/>
          <w:position w:val="0"/>
          <w:highlight w:val="none"/>
        </w:rPr>
        <w:t>主要是建筑垃圾</w:t>
      </w:r>
      <w:r>
        <w:rPr>
          <w:rFonts w:hint="eastAsia" w:cs="Times New Roman"/>
          <w:caps w:val="0"/>
          <w:snapToGrid/>
          <w:color w:val="auto"/>
          <w:spacing w:val="0"/>
          <w:w w:val="100"/>
          <w:kern w:val="0"/>
          <w:position w:val="0"/>
          <w:highlight w:val="none"/>
          <w:lang w:eastAsia="zh-CN"/>
        </w:rPr>
        <w:t>、</w:t>
      </w:r>
      <w:r>
        <w:rPr>
          <w:rFonts w:hint="eastAsia" w:cs="Times New Roman"/>
          <w:caps w:val="0"/>
          <w:snapToGrid/>
          <w:color w:val="auto"/>
          <w:spacing w:val="0"/>
          <w:w w:val="100"/>
          <w:kern w:val="0"/>
          <w:position w:val="0"/>
          <w:highlight w:val="none"/>
          <w:lang w:val="en-US" w:eastAsia="zh-CN"/>
        </w:rPr>
        <w:t>废包装材料</w:t>
      </w:r>
      <w:r>
        <w:rPr>
          <w:rFonts w:hint="default" w:ascii="Times New Roman" w:hAnsi="Times New Roman" w:eastAsia="宋体" w:cs="Times New Roman"/>
          <w:caps w:val="0"/>
          <w:snapToGrid/>
          <w:color w:val="auto"/>
          <w:spacing w:val="0"/>
          <w:w w:val="100"/>
          <w:kern w:val="0"/>
          <w:position w:val="0"/>
          <w:highlight w:val="none"/>
        </w:rPr>
        <w:t>等，建筑垃圾</w:t>
      </w:r>
      <w:r>
        <w:rPr>
          <w:rFonts w:hint="eastAsia" w:cs="Times New Roman"/>
          <w:caps w:val="0"/>
          <w:snapToGrid/>
          <w:color w:val="auto"/>
          <w:spacing w:val="0"/>
          <w:w w:val="100"/>
          <w:kern w:val="0"/>
          <w:position w:val="0"/>
          <w:highlight w:val="none"/>
          <w:lang w:eastAsia="zh-CN"/>
        </w:rPr>
        <w:t>、</w:t>
      </w:r>
      <w:r>
        <w:rPr>
          <w:rFonts w:hint="eastAsia" w:cs="Times New Roman"/>
          <w:caps w:val="0"/>
          <w:snapToGrid/>
          <w:color w:val="auto"/>
          <w:spacing w:val="0"/>
          <w:w w:val="100"/>
          <w:kern w:val="0"/>
          <w:position w:val="0"/>
          <w:highlight w:val="none"/>
          <w:lang w:val="en-US" w:eastAsia="zh-CN"/>
        </w:rPr>
        <w:t>废包装材料</w:t>
      </w:r>
      <w:r>
        <w:rPr>
          <w:rFonts w:hint="default" w:ascii="Times New Roman" w:hAnsi="Times New Roman" w:eastAsia="宋体" w:cs="Times New Roman"/>
          <w:caps w:val="0"/>
          <w:snapToGrid/>
          <w:color w:val="auto"/>
          <w:spacing w:val="0"/>
          <w:w w:val="100"/>
          <w:kern w:val="0"/>
          <w:position w:val="0"/>
          <w:highlight w:val="none"/>
        </w:rPr>
        <w:t>收集后妥善处置，施工人员生活垃圾经集中收集后交由环卫部门清运，措施可行。</w:t>
      </w:r>
    </w:p>
    <w:p w14:paraId="2967740E">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517" w:name="_Toc31527"/>
      <w:bookmarkStart w:id="518" w:name="_Toc22390"/>
      <w:r>
        <w:rPr>
          <w:rFonts w:hint="default"/>
          <w:color w:val="auto"/>
          <w:spacing w:val="0"/>
          <w:w w:val="100"/>
          <w:position w:val="0"/>
          <w:highlight w:val="none"/>
          <w:lang w:val="en-US" w:eastAsia="zh-CN"/>
        </w:rPr>
        <w:t>6.1.5生态保护措施分析</w:t>
      </w:r>
      <w:bookmarkEnd w:id="515"/>
      <w:bookmarkEnd w:id="516"/>
      <w:bookmarkEnd w:id="517"/>
      <w:bookmarkEnd w:id="518"/>
    </w:p>
    <w:p w14:paraId="6F833249">
      <w:pPr>
        <w:keepNext w:val="0"/>
        <w:keepLines w:val="0"/>
        <w:pageBreakBefore w:val="0"/>
        <w:widowControl w:val="0"/>
        <w:tabs>
          <w:tab w:val="left" w:pos="567"/>
        </w:tabs>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2"/>
          <w:highlight w:val="none"/>
        </w:rPr>
        <w:t>项目用地性质为工业用地，周边为工业生产企业，厂内地面均已硬化完毕，无特殊保护的动植物</w:t>
      </w:r>
      <w:r>
        <w:rPr>
          <w:rFonts w:hint="eastAsia" w:ascii="Times New Roman" w:hAnsi="Times New Roman" w:cs="Times New Roman"/>
          <w:caps w:val="0"/>
          <w:snapToGrid/>
          <w:color w:val="auto"/>
          <w:spacing w:val="0"/>
          <w:w w:val="100"/>
          <w:kern w:val="0"/>
          <w:position w:val="0"/>
          <w:szCs w:val="22"/>
          <w:highlight w:val="none"/>
          <w:lang w:eastAsia="zh-CN"/>
        </w:rPr>
        <w:t>，</w:t>
      </w:r>
      <w:r>
        <w:rPr>
          <w:rFonts w:hint="default" w:ascii="Times New Roman" w:hAnsi="Times New Roman" w:eastAsia="宋体" w:cs="Times New Roman"/>
          <w:caps w:val="0"/>
          <w:snapToGrid/>
          <w:color w:val="auto"/>
          <w:spacing w:val="0"/>
          <w:w w:val="100"/>
          <w:kern w:val="0"/>
          <w:position w:val="0"/>
          <w:szCs w:val="22"/>
          <w:highlight w:val="none"/>
        </w:rPr>
        <w:t>施工中加强施工管理，尽量缩小施工范围，各种施工活动应严格控制在施工区域内</w:t>
      </w:r>
      <w:r>
        <w:rPr>
          <w:rFonts w:hint="eastAsia" w:cs="Times New Roman"/>
          <w:caps w:val="0"/>
          <w:snapToGrid/>
          <w:color w:val="auto"/>
          <w:spacing w:val="0"/>
          <w:w w:val="100"/>
          <w:kern w:val="0"/>
          <w:position w:val="0"/>
          <w:szCs w:val="22"/>
          <w:highlight w:val="none"/>
          <w:lang w:eastAsia="zh-CN"/>
        </w:rPr>
        <w:t>，</w:t>
      </w:r>
      <w:r>
        <w:rPr>
          <w:rFonts w:hint="default" w:ascii="Times New Roman" w:hAnsi="Times New Roman" w:eastAsia="宋体" w:cs="Times New Roman"/>
          <w:caps w:val="0"/>
          <w:snapToGrid/>
          <w:color w:val="auto"/>
          <w:spacing w:val="0"/>
          <w:w w:val="100"/>
          <w:kern w:val="0"/>
          <w:position w:val="0"/>
          <w:szCs w:val="22"/>
          <w:highlight w:val="none"/>
        </w:rPr>
        <w:t>施工完毕，尽快整理施工现场，项目的建设对周边生态影响很小</w:t>
      </w:r>
      <w:r>
        <w:rPr>
          <w:rFonts w:hint="eastAsia" w:ascii="Times New Roman" w:hAnsi="Times New Roman" w:cs="Times New Roman"/>
          <w:caps w:val="0"/>
          <w:snapToGrid/>
          <w:color w:val="auto"/>
          <w:spacing w:val="0"/>
          <w:w w:val="100"/>
          <w:kern w:val="0"/>
          <w:position w:val="0"/>
          <w:szCs w:val="22"/>
          <w:highlight w:val="none"/>
          <w:lang w:eastAsia="zh-CN"/>
        </w:rPr>
        <w:t>，</w:t>
      </w:r>
      <w:r>
        <w:rPr>
          <w:rFonts w:hint="eastAsia" w:ascii="Times New Roman" w:hAnsi="Times New Roman" w:cs="Times New Roman"/>
          <w:caps w:val="0"/>
          <w:snapToGrid/>
          <w:color w:val="auto"/>
          <w:spacing w:val="0"/>
          <w:w w:val="100"/>
          <w:kern w:val="0"/>
          <w:position w:val="0"/>
          <w:szCs w:val="22"/>
          <w:highlight w:val="none"/>
          <w:lang w:val="en-US" w:eastAsia="zh-CN"/>
        </w:rPr>
        <w:t>措施可行</w:t>
      </w:r>
      <w:r>
        <w:rPr>
          <w:rFonts w:hint="default" w:ascii="Times New Roman" w:hAnsi="Times New Roman" w:eastAsia="宋体" w:cs="Times New Roman"/>
          <w:caps w:val="0"/>
          <w:snapToGrid/>
          <w:color w:val="auto"/>
          <w:spacing w:val="0"/>
          <w:w w:val="100"/>
          <w:kern w:val="0"/>
          <w:position w:val="0"/>
          <w:szCs w:val="22"/>
          <w:highlight w:val="none"/>
        </w:rPr>
        <w:t>。</w:t>
      </w:r>
    </w:p>
    <w:p w14:paraId="22D363BC">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519" w:name="_Toc27406"/>
      <w:bookmarkStart w:id="520" w:name="_Toc12418"/>
      <w:bookmarkStart w:id="521" w:name="_Toc19836"/>
      <w:bookmarkStart w:id="522" w:name="_Toc15181"/>
      <w:r>
        <w:rPr>
          <w:rFonts w:hint="default"/>
          <w:color w:val="auto"/>
          <w:spacing w:val="0"/>
          <w:w w:val="100"/>
          <w:position w:val="0"/>
          <w:highlight w:val="none"/>
          <w:lang w:val="en-US" w:eastAsia="zh-CN"/>
        </w:rPr>
        <w:t>6.2运营期污染防治措施及其可行性</w:t>
      </w:r>
      <w:bookmarkEnd w:id="490"/>
      <w:r>
        <w:rPr>
          <w:rFonts w:hint="default"/>
          <w:color w:val="auto"/>
          <w:spacing w:val="0"/>
          <w:w w:val="100"/>
          <w:position w:val="0"/>
          <w:highlight w:val="none"/>
          <w:lang w:val="en-US" w:eastAsia="zh-CN"/>
        </w:rPr>
        <w:t>论证</w:t>
      </w:r>
      <w:bookmarkEnd w:id="519"/>
      <w:bookmarkEnd w:id="520"/>
      <w:bookmarkEnd w:id="521"/>
      <w:bookmarkEnd w:id="522"/>
    </w:p>
    <w:p w14:paraId="7E80B7BF">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523" w:name="_Toc8218"/>
      <w:bookmarkStart w:id="524" w:name="_Toc20161"/>
      <w:bookmarkStart w:id="525" w:name="_Toc26641"/>
      <w:bookmarkStart w:id="526" w:name="_Toc6248"/>
      <w:bookmarkStart w:id="527" w:name="_Toc18779"/>
      <w:bookmarkStart w:id="528" w:name="_Toc27776"/>
      <w:r>
        <w:rPr>
          <w:rFonts w:hint="default"/>
          <w:color w:val="auto"/>
          <w:spacing w:val="0"/>
          <w:w w:val="100"/>
          <w:position w:val="0"/>
          <w:highlight w:val="none"/>
          <w:lang w:val="en-US" w:eastAsia="zh-CN"/>
        </w:rPr>
        <w:t>6.2.1废气污染防治措施及可行性分析</w:t>
      </w:r>
      <w:bookmarkEnd w:id="523"/>
      <w:bookmarkEnd w:id="524"/>
    </w:p>
    <w:p w14:paraId="15C06C8C">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根据运营期工艺及产污分析结果，本项目产生的大气污染物主要为</w:t>
      </w:r>
      <w:r>
        <w:rPr>
          <w:rFonts w:hint="eastAsia" w:cs="Times New Roman"/>
          <w:caps w:val="0"/>
          <w:snapToGrid/>
          <w:color w:val="auto"/>
          <w:spacing w:val="0"/>
          <w:w w:val="100"/>
          <w:kern w:val="0"/>
          <w:position w:val="0"/>
          <w:szCs w:val="24"/>
          <w:highlight w:val="none"/>
          <w:lang w:val="en-US" w:eastAsia="zh-CN"/>
        </w:rPr>
        <w:t>铝塑复合板生产过程中产生的颗粒物和有机废气</w:t>
      </w:r>
      <w:r>
        <w:rPr>
          <w:rFonts w:hint="default" w:ascii="Times New Roman" w:hAnsi="Times New Roman" w:eastAsia="宋体" w:cs="Times New Roman"/>
          <w:caps w:val="0"/>
          <w:snapToGrid/>
          <w:color w:val="auto"/>
          <w:spacing w:val="0"/>
          <w:w w:val="100"/>
          <w:kern w:val="0"/>
          <w:position w:val="0"/>
          <w:szCs w:val="24"/>
          <w:highlight w:val="none"/>
          <w:lang w:val="en-US" w:eastAsia="zh-CN"/>
        </w:rPr>
        <w:t>。</w:t>
      </w:r>
    </w:p>
    <w:p w14:paraId="3E00F089">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本项目运营期</w:t>
      </w:r>
      <w:r>
        <w:rPr>
          <w:rFonts w:hint="eastAsia" w:cs="Times New Roman"/>
          <w:caps w:val="0"/>
          <w:snapToGrid/>
          <w:color w:val="auto"/>
          <w:spacing w:val="0"/>
          <w:w w:val="100"/>
          <w:kern w:val="0"/>
          <w:position w:val="0"/>
          <w:szCs w:val="24"/>
          <w:highlight w:val="none"/>
          <w:lang w:val="en-US" w:eastAsia="zh-CN"/>
        </w:rPr>
        <w:t>产生的粉尘收集至布袋除尘器处理后由1根15m排气筒（DA001）排放，有机废气经集气罩收集至1套“活性炭吸附脱附+催化燃烧装置”处理后由1根排气筒（DA002）排放。</w:t>
      </w:r>
    </w:p>
    <w:p w14:paraId="522CC865">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布袋除尘器是一种干式除尘器，它是利用纤维编织物制作的袋式过滤元件来捕集含尘气体中固体颗粒物的除尘装置。其作用原理是尘粒在绕过滤布纤维时因惯性力作用与纤维碰撞而被拦截。除尘效率较高，通过分析可知，其设施投资和运行费用较低，可做到稳定达标排放。</w:t>
      </w:r>
    </w:p>
    <w:p w14:paraId="6FF9F61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default" w:ascii="Times New Roman" w:hAnsi="Times New Roman" w:eastAsia="宋体" w:cs="Times New Roman"/>
          <w:b/>
          <w:bCs/>
          <w:caps w:val="0"/>
          <w:snapToGrid/>
          <w:color w:val="auto"/>
          <w:spacing w:val="0"/>
          <w:w w:val="100"/>
          <w:kern w:val="0"/>
          <w:position w:val="0"/>
          <w:sz w:val="24"/>
          <w:szCs w:val="24"/>
          <w:highlight w:val="none"/>
          <w:lang w:val="en-US" w:eastAsia="zh-CN" w:bidi="ar-SA"/>
        </w:rPr>
      </w:pPr>
      <w:r>
        <w:rPr>
          <w:rFonts w:hint="default" w:ascii="Times New Roman" w:hAnsi="Times New Roman" w:eastAsia="宋体" w:cs="Times New Roman"/>
          <w:b/>
          <w:bCs/>
          <w:caps w:val="0"/>
          <w:snapToGrid/>
          <w:color w:val="auto"/>
          <w:spacing w:val="0"/>
          <w:w w:val="100"/>
          <w:kern w:val="0"/>
          <w:position w:val="0"/>
          <w:sz w:val="24"/>
          <w:szCs w:val="24"/>
          <w:highlight w:val="none"/>
          <w:lang w:val="en-US" w:eastAsia="zh-CN" w:bidi="ar-SA"/>
        </w:rPr>
        <w:t>袋式除尘器工作原理：</w:t>
      </w:r>
    </w:p>
    <w:p w14:paraId="0FAFCEBF">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含尘气体由进气口进入灰斗或通过敞开法兰口进入滤袋室，含尘气体透过滤袋过滤为净气进入净气室，再经净气室排气口，由风机排走。清灰是由程序控制器定时顺序启动脉冲阀，使气包内压缩空气（0.5~0.7MPa），由喷吹管孔眼喷出（称一次风）通过文氏管诱导数倍于一次风的周围空气（称二次风）进入滤袋在瞬间急剧膨胀，并伴随着气流的反方向作用抖落粉尘，达到清灰的目的。粉尘积附在滤袋的外表面，且不断增加，使袋除尘器的阻力不断上升，为使设备阻力不超过1200Pa，袋除尘器能继续工作，需定期清除滤袋上的粉尘。袋式除尘器适用于起始含尘浓度小于3g/m</w:t>
      </w:r>
      <w:r>
        <w:rPr>
          <w:rFonts w:hint="default" w:ascii="Times New Roman" w:hAnsi="Times New Roman" w:eastAsia="宋体" w:cs="Times New Roman"/>
          <w:caps w:val="0"/>
          <w:snapToGrid/>
          <w:color w:val="auto"/>
          <w:spacing w:val="0"/>
          <w:w w:val="100"/>
          <w:kern w:val="0"/>
          <w:position w:val="0"/>
          <w:szCs w:val="24"/>
          <w:highlight w:val="none"/>
          <w:vertAlign w:val="superscript"/>
          <w:lang w:val="en-US" w:eastAsia="zh-CN"/>
        </w:rPr>
        <w:t>3</w:t>
      </w:r>
      <w:r>
        <w:rPr>
          <w:rFonts w:hint="default" w:ascii="Times New Roman" w:hAnsi="Times New Roman" w:eastAsia="宋体" w:cs="Times New Roman"/>
          <w:caps w:val="0"/>
          <w:snapToGrid/>
          <w:color w:val="auto"/>
          <w:spacing w:val="0"/>
          <w:w w:val="100"/>
          <w:kern w:val="0"/>
          <w:position w:val="0"/>
          <w:szCs w:val="24"/>
          <w:highlight w:val="none"/>
          <w:lang w:val="en-US" w:eastAsia="zh-CN"/>
        </w:rPr>
        <w:t>的废气，不宜处理有腐蚀性、附着性较强的粉尘。</w:t>
      </w:r>
    </w:p>
    <w:p w14:paraId="3BFF43A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4"/>
          <w:highlight w:val="none"/>
          <w:lang w:val="en-US" w:eastAsia="zh-CN"/>
        </w:rPr>
      </w:pPr>
      <w:r>
        <w:rPr>
          <w:rFonts w:hint="default" w:ascii="Times New Roman" w:hAnsi="Times New Roman" w:eastAsia="宋体" w:cs="Times New Roman"/>
          <w:caps w:val="0"/>
          <w:snapToGrid/>
          <w:color w:val="auto"/>
          <w:spacing w:val="0"/>
          <w:w w:val="100"/>
          <w:kern w:val="0"/>
          <w:position w:val="0"/>
          <w:sz w:val="24"/>
          <w:highlight w:val="none"/>
          <w:lang w:val="en-US" w:eastAsia="zh-CN"/>
        </w:rPr>
        <w:drawing>
          <wp:inline distT="0" distB="0" distL="114300" distR="114300">
            <wp:extent cx="2605405" cy="2879725"/>
            <wp:effectExtent l="12700" t="12700" r="29845" b="22225"/>
            <wp:docPr id="58" name="图片 7" descr="120ccq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7" descr="120ccq3"/>
                    <pic:cNvPicPr>
                      <a:picLocks noChangeAspect="1"/>
                    </pic:cNvPicPr>
                  </pic:nvPicPr>
                  <pic:blipFill>
                    <a:blip r:embed="rId29"/>
                    <a:srcRect l="49113"/>
                    <a:stretch>
                      <a:fillRect/>
                    </a:stretch>
                  </pic:blipFill>
                  <pic:spPr>
                    <a:xfrm>
                      <a:off x="0" y="0"/>
                      <a:ext cx="2605405" cy="2879725"/>
                    </a:xfrm>
                    <a:prstGeom prst="rect">
                      <a:avLst/>
                    </a:prstGeom>
                    <a:noFill/>
                    <a:ln w="12700" cap="flat" cmpd="sng">
                      <a:solidFill>
                        <a:srgbClr val="000000"/>
                      </a:solidFill>
                      <a:prstDash val="solid"/>
                      <a:miter/>
                      <a:headEnd type="none" w="med" len="med"/>
                      <a:tailEnd type="none" w="med" len="med"/>
                    </a:ln>
                  </pic:spPr>
                </pic:pic>
              </a:graphicData>
            </a:graphic>
          </wp:inline>
        </w:drawing>
      </w:r>
    </w:p>
    <w:p w14:paraId="73E67739">
      <w:pPr>
        <w:pStyle w:val="11"/>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rightChars="0" w:firstLine="0" w:firstLineChars="0"/>
        <w:jc w:val="center"/>
        <w:outlineLvl w:val="9"/>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rPr>
        <w:t>图6.2</w:t>
      </w:r>
      <w:r>
        <w:rPr>
          <w:rFonts w:hint="eastAsia" w:cs="Times New Roman"/>
          <w:b/>
          <w:bCs/>
          <w:caps w:val="0"/>
          <w:snapToGrid/>
          <w:color w:val="auto"/>
          <w:spacing w:val="0"/>
          <w:w w:val="100"/>
          <w:kern w:val="0"/>
          <w:position w:val="0"/>
          <w:sz w:val="21"/>
          <w:szCs w:val="21"/>
          <w:highlight w:val="none"/>
          <w:lang w:val="en-US" w:eastAsia="zh-CN"/>
        </w:rPr>
        <w:t>.1</w:t>
      </w:r>
      <w:r>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rPr>
        <w:t>-</w:t>
      </w:r>
      <w:r>
        <w:rPr>
          <w:rFonts w:hint="eastAsia" w:cs="Times New Roman"/>
          <w:b/>
          <w:bCs/>
          <w:caps w:val="0"/>
          <w:snapToGrid/>
          <w:color w:val="auto"/>
          <w:spacing w:val="0"/>
          <w:w w:val="100"/>
          <w:kern w:val="0"/>
          <w:position w:val="0"/>
          <w:sz w:val="21"/>
          <w:szCs w:val="21"/>
          <w:highlight w:val="none"/>
          <w:lang w:val="en-US" w:eastAsia="zh-CN"/>
        </w:rPr>
        <w:t>1</w:t>
      </w:r>
      <w:r>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rPr>
        <w:t xml:space="preserve">  布袋除尘器工作原理图</w:t>
      </w:r>
    </w:p>
    <w:p w14:paraId="6A749E21">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本项目粉尘经设备密闭收尘系统直接引入布袋除尘器处理，根据同类企业现有废气治理设施的实际操作经验，并参考《排放源统计调查产排污核算方法和系数手册》中袋式除尘效率，布袋除尘效率可达99%，此外，根据计算，本项目采用布袋除尘器处理后颗粒物排放浓度和排放速率满足</w:t>
      </w:r>
      <w:r>
        <w:rPr>
          <w:rFonts w:hint="eastAsia" w:cs="Times New Roman"/>
          <w:caps w:val="0"/>
          <w:snapToGrid/>
          <w:color w:val="auto"/>
          <w:spacing w:val="0"/>
          <w:w w:val="100"/>
          <w:kern w:val="0"/>
          <w:position w:val="0"/>
          <w:szCs w:val="24"/>
          <w:highlight w:val="none"/>
          <w:lang w:val="en-US" w:eastAsia="zh-CN"/>
        </w:rPr>
        <w:t>《合成树脂工业污染物排放标准》（GB31572-2015）（含2024年修改单）</w:t>
      </w:r>
      <w:r>
        <w:rPr>
          <w:rFonts w:hint="default" w:ascii="Times New Roman" w:hAnsi="Times New Roman" w:eastAsia="宋体" w:cs="Times New Roman"/>
          <w:caps w:val="0"/>
          <w:snapToGrid/>
          <w:color w:val="auto"/>
          <w:spacing w:val="0"/>
          <w:w w:val="100"/>
          <w:kern w:val="0"/>
          <w:position w:val="0"/>
          <w:szCs w:val="24"/>
          <w:highlight w:val="none"/>
          <w:lang w:val="en-US" w:eastAsia="zh-CN"/>
        </w:rPr>
        <w:t>表5大气污染物特别排放限值。故本项目采用布袋除尘器处理粉尘的技术是可行的。</w:t>
      </w:r>
    </w:p>
    <w:p w14:paraId="280E810E">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b/>
          <w:bCs/>
          <w:caps w:val="0"/>
          <w:snapToGrid/>
          <w:color w:val="auto"/>
          <w:spacing w:val="0"/>
          <w:w w:val="100"/>
          <w:kern w:val="0"/>
          <w:position w:val="0"/>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同时，为了确保袋式除尘器的稳定运行，本环评建议建设单位应加强除尘器的维护、保养，及时更换老化的布袋，杜绝</w:t>
      </w:r>
      <w:r>
        <w:rPr>
          <w:rFonts w:hint="eastAsia" w:cs="Times New Roman"/>
          <w:caps w:val="0"/>
          <w:snapToGrid/>
          <w:color w:val="auto"/>
          <w:spacing w:val="0"/>
          <w:w w:val="100"/>
          <w:kern w:val="0"/>
          <w:position w:val="0"/>
          <w:szCs w:val="24"/>
          <w:highlight w:val="none"/>
          <w:lang w:val="en-US" w:eastAsia="zh-CN"/>
        </w:rPr>
        <w:t>除尘器</w:t>
      </w:r>
      <w:r>
        <w:rPr>
          <w:rFonts w:hint="default" w:ascii="Times New Roman" w:hAnsi="Times New Roman" w:eastAsia="宋体" w:cs="Times New Roman"/>
          <w:caps w:val="0"/>
          <w:snapToGrid/>
          <w:color w:val="auto"/>
          <w:spacing w:val="0"/>
          <w:w w:val="100"/>
          <w:kern w:val="0"/>
          <w:position w:val="0"/>
          <w:szCs w:val="24"/>
          <w:highlight w:val="none"/>
          <w:lang w:val="en-US" w:eastAsia="zh-CN"/>
        </w:rPr>
        <w:t>因老化破裂而导致的含尘废气直接排放的问题；除尘器运行后应加强管理。</w:t>
      </w:r>
      <w:bookmarkStart w:id="529" w:name="_Toc7539"/>
    </w:p>
    <w:bookmarkEnd w:id="529"/>
    <w:p w14:paraId="4BC25F9A">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530" w:name="_Toc14473"/>
      <w:r>
        <w:rPr>
          <w:rFonts w:hint="default"/>
          <w:color w:val="auto"/>
          <w:spacing w:val="0"/>
          <w:w w:val="100"/>
          <w:position w:val="0"/>
          <w:highlight w:val="none"/>
          <w:lang w:val="en-US" w:eastAsia="zh-CN"/>
        </w:rPr>
        <w:t>6.2.1.</w:t>
      </w:r>
      <w:r>
        <w:rPr>
          <w:rFonts w:hint="eastAsia"/>
          <w:color w:val="auto"/>
          <w:spacing w:val="0"/>
          <w:w w:val="100"/>
          <w:position w:val="0"/>
          <w:highlight w:val="none"/>
          <w:lang w:val="en-US" w:eastAsia="zh-CN"/>
        </w:rPr>
        <w:t>1</w:t>
      </w:r>
      <w:r>
        <w:rPr>
          <w:rFonts w:hint="default"/>
          <w:color w:val="auto"/>
          <w:spacing w:val="0"/>
          <w:w w:val="100"/>
          <w:position w:val="0"/>
          <w:highlight w:val="none"/>
          <w:lang w:val="en-US" w:eastAsia="zh-CN"/>
        </w:rPr>
        <w:t>有机废气处理措施可行性分析</w:t>
      </w:r>
      <w:bookmarkEnd w:id="530"/>
    </w:p>
    <w:p w14:paraId="35E9D395">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目前常用的有机废气处理方法有如下几种：分子筛、活性炭吸附、生物净化、吸收法、催化燃烧法等，</w:t>
      </w:r>
      <w:r>
        <w:rPr>
          <w:rFonts w:hint="default" w:ascii="Times New Roman" w:hAnsi="Times New Roman" w:eastAsia="宋体" w:cs="Times New Roman"/>
          <w:caps w:val="0"/>
          <w:snapToGrid/>
          <w:color w:val="auto"/>
          <w:spacing w:val="0"/>
          <w:w w:val="100"/>
          <w:kern w:val="0"/>
          <w:position w:val="0"/>
          <w:szCs w:val="24"/>
          <w:highlight w:val="none"/>
          <w:lang w:val="en-US" w:eastAsia="zh-CN"/>
        </w:rPr>
        <w:t>各种方法的主要优缺点见表6.2</w:t>
      </w:r>
      <w:r>
        <w:rPr>
          <w:rFonts w:hint="eastAsia" w:cs="Times New Roman"/>
          <w:caps w:val="0"/>
          <w:snapToGrid/>
          <w:color w:val="auto"/>
          <w:spacing w:val="0"/>
          <w:w w:val="100"/>
          <w:kern w:val="0"/>
          <w:position w:val="0"/>
          <w:szCs w:val="24"/>
          <w:highlight w:val="none"/>
          <w:lang w:val="en-US" w:eastAsia="zh-CN"/>
        </w:rPr>
        <w:t>.1-1</w:t>
      </w:r>
      <w:r>
        <w:rPr>
          <w:rFonts w:hint="default" w:ascii="Times New Roman" w:hAnsi="Times New Roman" w:eastAsia="宋体" w:cs="Times New Roman"/>
          <w:caps w:val="0"/>
          <w:snapToGrid/>
          <w:color w:val="auto"/>
          <w:spacing w:val="0"/>
          <w:w w:val="100"/>
          <w:kern w:val="0"/>
          <w:position w:val="0"/>
          <w:szCs w:val="24"/>
          <w:highlight w:val="none"/>
          <w:lang w:val="en-US" w:eastAsia="zh-CN"/>
        </w:rPr>
        <w:t>。</w:t>
      </w:r>
    </w:p>
    <w:p w14:paraId="661DAA9B">
      <w:pPr>
        <w:pStyle w:val="1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rPr>
        <w:t>表6.2</w:t>
      </w:r>
      <w:r>
        <w:rPr>
          <w:rFonts w:hint="eastAsia" w:cs="Times New Roman"/>
          <w:b/>
          <w:bCs/>
          <w:caps w:val="0"/>
          <w:snapToGrid/>
          <w:color w:val="auto"/>
          <w:spacing w:val="0"/>
          <w:w w:val="100"/>
          <w:kern w:val="0"/>
          <w:position w:val="0"/>
          <w:sz w:val="21"/>
          <w:szCs w:val="21"/>
          <w:highlight w:val="none"/>
          <w:lang w:val="en-US" w:eastAsia="zh-CN"/>
        </w:rPr>
        <w:t>.1-1</w:t>
      </w:r>
      <w:r>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rPr>
        <w:t xml:space="preserve">  有机废气主要净化方法比较</w:t>
      </w:r>
    </w:p>
    <w:tbl>
      <w:tblPr>
        <w:tblStyle w:val="2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1024"/>
        <w:gridCol w:w="2850"/>
        <w:gridCol w:w="2074"/>
        <w:gridCol w:w="2472"/>
      </w:tblGrid>
      <w:tr w14:paraId="6ECFCB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tblHeader/>
          <w:jc w:val="center"/>
        </w:trPr>
        <w:tc>
          <w:tcPr>
            <w:tcW w:w="608" w:type="pct"/>
            <w:tcBorders>
              <w:tl2br w:val="nil"/>
              <w:tr2bl w:val="nil"/>
            </w:tcBorders>
            <w:noWrap w:val="0"/>
            <w:vAlign w:val="center"/>
          </w:tcPr>
          <w:p w14:paraId="1B9058B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方法</w:t>
            </w:r>
          </w:p>
        </w:tc>
        <w:tc>
          <w:tcPr>
            <w:tcW w:w="1692" w:type="pct"/>
            <w:tcBorders>
              <w:tl2br w:val="nil"/>
              <w:tr2bl w:val="nil"/>
            </w:tcBorders>
            <w:noWrap w:val="0"/>
            <w:vAlign w:val="center"/>
          </w:tcPr>
          <w:p w14:paraId="36E0321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原理</w:t>
            </w:r>
          </w:p>
        </w:tc>
        <w:tc>
          <w:tcPr>
            <w:tcW w:w="1231" w:type="pct"/>
            <w:tcBorders>
              <w:tl2br w:val="nil"/>
              <w:tr2bl w:val="nil"/>
            </w:tcBorders>
            <w:noWrap w:val="0"/>
            <w:vAlign w:val="center"/>
          </w:tcPr>
          <w:p w14:paraId="59C7B44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优点</w:t>
            </w:r>
          </w:p>
        </w:tc>
        <w:tc>
          <w:tcPr>
            <w:tcW w:w="1467" w:type="pct"/>
            <w:tcBorders>
              <w:tl2br w:val="nil"/>
              <w:tr2bl w:val="nil"/>
            </w:tcBorders>
            <w:noWrap w:val="0"/>
            <w:vAlign w:val="center"/>
          </w:tcPr>
          <w:p w14:paraId="0469DC9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b/>
                <w:bCs/>
                <w:color w:val="auto"/>
                <w:spacing w:val="0"/>
                <w:w w:val="100"/>
                <w:position w:val="0"/>
                <w:highlight w:val="none"/>
              </w:rPr>
            </w:pPr>
            <w:r>
              <w:rPr>
                <w:rFonts w:hint="default"/>
                <w:b/>
                <w:bCs/>
                <w:color w:val="auto"/>
                <w:spacing w:val="0"/>
                <w:w w:val="100"/>
                <w:position w:val="0"/>
                <w:highlight w:val="none"/>
              </w:rPr>
              <w:t>缺点</w:t>
            </w:r>
          </w:p>
        </w:tc>
      </w:tr>
      <w:tr w14:paraId="7E8291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608" w:type="pct"/>
            <w:tcBorders>
              <w:tl2br w:val="nil"/>
              <w:tr2bl w:val="nil"/>
            </w:tcBorders>
            <w:noWrap w:val="0"/>
            <w:vAlign w:val="center"/>
          </w:tcPr>
          <w:p w14:paraId="37547B5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lang w:eastAsia="zh-CN"/>
              </w:rPr>
              <w:t>分子筛、</w:t>
            </w:r>
            <w:r>
              <w:rPr>
                <w:rFonts w:hint="default"/>
                <w:color w:val="auto"/>
                <w:spacing w:val="0"/>
                <w:w w:val="100"/>
                <w:position w:val="0"/>
                <w:highlight w:val="none"/>
                <w:lang w:val="en-US" w:eastAsia="zh-CN"/>
              </w:rPr>
              <w:t>活性炭</w:t>
            </w:r>
            <w:r>
              <w:rPr>
                <w:rFonts w:hint="default"/>
                <w:color w:val="auto"/>
                <w:spacing w:val="0"/>
                <w:w w:val="100"/>
                <w:position w:val="0"/>
                <w:highlight w:val="none"/>
                <w:lang w:eastAsia="zh-CN"/>
              </w:rPr>
              <w:t>吸附-脱附</w:t>
            </w:r>
            <w:r>
              <w:rPr>
                <w:rFonts w:hint="default"/>
                <w:color w:val="auto"/>
                <w:spacing w:val="0"/>
                <w:w w:val="100"/>
                <w:position w:val="0"/>
                <w:highlight w:val="none"/>
              </w:rPr>
              <w:t>法</w:t>
            </w:r>
          </w:p>
        </w:tc>
        <w:tc>
          <w:tcPr>
            <w:tcW w:w="1692" w:type="pct"/>
            <w:tcBorders>
              <w:tl2br w:val="nil"/>
              <w:tr2bl w:val="nil"/>
            </w:tcBorders>
            <w:noWrap w:val="0"/>
            <w:vAlign w:val="center"/>
          </w:tcPr>
          <w:p w14:paraId="21C7B26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rPr>
              <w:t>废气的分子扩散到固体吸附剂表面，有害成分被吸附而达到净化</w:t>
            </w:r>
            <w:r>
              <w:rPr>
                <w:rFonts w:hint="default"/>
                <w:color w:val="auto"/>
                <w:spacing w:val="0"/>
                <w:w w:val="100"/>
                <w:position w:val="0"/>
                <w:highlight w:val="none"/>
                <w:lang w:eastAsia="zh-CN"/>
              </w:rPr>
              <w:t>。</w:t>
            </w:r>
          </w:p>
        </w:tc>
        <w:tc>
          <w:tcPr>
            <w:tcW w:w="1231" w:type="pct"/>
            <w:tcBorders>
              <w:tl2br w:val="nil"/>
              <w:tr2bl w:val="nil"/>
            </w:tcBorders>
            <w:noWrap w:val="0"/>
            <w:vAlign w:val="center"/>
          </w:tcPr>
          <w:p w14:paraId="5288632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rPr>
              <w:t>可处理含有低浓度的碳氢化合物和低温废气；溶剂可回收，进行有效利用；处理程度可以控制</w:t>
            </w:r>
            <w:r>
              <w:rPr>
                <w:rFonts w:hint="default"/>
                <w:color w:val="auto"/>
                <w:spacing w:val="0"/>
                <w:w w:val="100"/>
                <w:position w:val="0"/>
                <w:highlight w:val="none"/>
                <w:lang w:eastAsia="zh-CN"/>
              </w:rPr>
              <w:t>。</w:t>
            </w:r>
          </w:p>
        </w:tc>
        <w:tc>
          <w:tcPr>
            <w:tcW w:w="1467" w:type="pct"/>
            <w:tcBorders>
              <w:tl2br w:val="nil"/>
              <w:tr2bl w:val="nil"/>
            </w:tcBorders>
            <w:noWrap w:val="0"/>
            <w:vAlign w:val="center"/>
          </w:tcPr>
          <w:p w14:paraId="772ABEA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lang w:eastAsia="zh-CN"/>
              </w:rPr>
              <w:t>分子筛、</w:t>
            </w:r>
            <w:r>
              <w:rPr>
                <w:rFonts w:hint="default"/>
                <w:color w:val="auto"/>
                <w:spacing w:val="0"/>
                <w:w w:val="100"/>
                <w:position w:val="0"/>
                <w:highlight w:val="none"/>
                <w:lang w:val="en-US" w:eastAsia="zh-CN"/>
              </w:rPr>
              <w:t>活性炭</w:t>
            </w:r>
            <w:r>
              <w:rPr>
                <w:rFonts w:hint="default"/>
                <w:color w:val="auto"/>
                <w:spacing w:val="0"/>
                <w:w w:val="100"/>
                <w:position w:val="0"/>
                <w:highlight w:val="none"/>
              </w:rPr>
              <w:t>的再生和补充需要花费的费用多</w:t>
            </w:r>
            <w:r>
              <w:rPr>
                <w:rFonts w:hint="default"/>
                <w:color w:val="auto"/>
                <w:spacing w:val="0"/>
                <w:w w:val="100"/>
                <w:position w:val="0"/>
                <w:highlight w:val="none"/>
                <w:lang w:eastAsia="zh-CN"/>
              </w:rPr>
              <w:t>。</w:t>
            </w:r>
          </w:p>
        </w:tc>
      </w:tr>
      <w:tr w14:paraId="6F40DF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608" w:type="pct"/>
            <w:tcBorders>
              <w:tl2br w:val="nil"/>
              <w:tr2bl w:val="nil"/>
            </w:tcBorders>
            <w:noWrap w:val="0"/>
            <w:vAlign w:val="center"/>
          </w:tcPr>
          <w:p w14:paraId="41577CB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生物净化法</w:t>
            </w:r>
          </w:p>
        </w:tc>
        <w:tc>
          <w:tcPr>
            <w:tcW w:w="1692" w:type="pct"/>
            <w:tcBorders>
              <w:tl2br w:val="nil"/>
              <w:tr2bl w:val="nil"/>
            </w:tcBorders>
            <w:noWrap w:val="0"/>
            <w:vAlign w:val="center"/>
          </w:tcPr>
          <w:p w14:paraId="07FBF6F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固定在生物净化器填料上的生物膜能</w:t>
            </w:r>
            <w:r>
              <w:rPr>
                <w:rFonts w:hint="default"/>
                <w:color w:val="auto"/>
                <w:spacing w:val="0"/>
                <w:w w:val="100"/>
                <w:position w:val="0"/>
                <w:highlight w:val="none"/>
                <w:lang w:val="en-US" w:eastAsia="zh-CN"/>
              </w:rPr>
              <w:t>将</w:t>
            </w:r>
            <w:r>
              <w:rPr>
                <w:rFonts w:hint="default"/>
                <w:color w:val="auto"/>
                <w:spacing w:val="0"/>
                <w:w w:val="100"/>
                <w:position w:val="0"/>
                <w:highlight w:val="none"/>
              </w:rPr>
              <w:t>废气中的有机物</w:t>
            </w:r>
            <w:r>
              <w:rPr>
                <w:rFonts w:hint="default"/>
                <w:color w:val="auto"/>
                <w:spacing w:val="0"/>
                <w:w w:val="100"/>
                <w:position w:val="0"/>
                <w:highlight w:val="none"/>
                <w:lang w:eastAsia="zh-CN"/>
              </w:rPr>
              <w:t>（</w:t>
            </w:r>
            <w:r>
              <w:rPr>
                <w:rFonts w:hint="default"/>
                <w:color w:val="auto"/>
                <w:spacing w:val="0"/>
                <w:w w:val="100"/>
                <w:position w:val="0"/>
                <w:highlight w:val="none"/>
              </w:rPr>
              <w:t>VOCs等</w:t>
            </w:r>
            <w:r>
              <w:rPr>
                <w:rFonts w:hint="default"/>
                <w:color w:val="auto"/>
                <w:spacing w:val="0"/>
                <w:w w:val="100"/>
                <w:position w:val="0"/>
                <w:highlight w:val="none"/>
                <w:lang w:eastAsia="zh-CN"/>
              </w:rPr>
              <w:t>）</w:t>
            </w:r>
            <w:r>
              <w:rPr>
                <w:rFonts w:hint="default"/>
                <w:color w:val="auto"/>
                <w:spacing w:val="0"/>
                <w:w w:val="100"/>
                <w:position w:val="0"/>
                <w:highlight w:val="none"/>
              </w:rPr>
              <w:t>降解</w:t>
            </w:r>
            <w:r>
              <w:rPr>
                <w:rFonts w:hint="default"/>
                <w:color w:val="auto"/>
                <w:spacing w:val="0"/>
                <w:w w:val="100"/>
                <w:position w:val="0"/>
                <w:highlight w:val="none"/>
                <w:lang w:val="en-US" w:eastAsia="zh-CN"/>
              </w:rPr>
              <w:t>为</w:t>
            </w:r>
            <w:r>
              <w:rPr>
                <w:rFonts w:hint="default"/>
                <w:color w:val="auto"/>
                <w:spacing w:val="0"/>
                <w:w w:val="100"/>
                <w:position w:val="0"/>
                <w:highlight w:val="none"/>
              </w:rPr>
              <w:t>CO</w:t>
            </w:r>
            <w:r>
              <w:rPr>
                <w:rFonts w:hint="default"/>
                <w:color w:val="auto"/>
                <w:spacing w:val="0"/>
                <w:w w:val="100"/>
                <w:position w:val="0"/>
                <w:highlight w:val="none"/>
                <w:vertAlign w:val="subscript"/>
              </w:rPr>
              <w:t>2</w:t>
            </w:r>
            <w:r>
              <w:rPr>
                <w:rFonts w:hint="default"/>
                <w:color w:val="auto"/>
                <w:spacing w:val="0"/>
                <w:w w:val="100"/>
                <w:position w:val="0"/>
                <w:highlight w:val="none"/>
              </w:rPr>
              <w:t>和H</w:t>
            </w:r>
            <w:r>
              <w:rPr>
                <w:rFonts w:hint="default"/>
                <w:color w:val="auto"/>
                <w:spacing w:val="0"/>
                <w:w w:val="100"/>
                <w:position w:val="0"/>
                <w:highlight w:val="none"/>
                <w:vertAlign w:val="subscript"/>
              </w:rPr>
              <w:t>2</w:t>
            </w:r>
            <w:r>
              <w:rPr>
                <w:rFonts w:hint="default"/>
                <w:color w:val="auto"/>
                <w:spacing w:val="0"/>
                <w:w w:val="100"/>
                <w:position w:val="0"/>
                <w:highlight w:val="none"/>
              </w:rPr>
              <w:t>O，达到净化废气的目的。</w:t>
            </w:r>
          </w:p>
        </w:tc>
        <w:tc>
          <w:tcPr>
            <w:tcW w:w="1231" w:type="pct"/>
            <w:tcBorders>
              <w:tl2br w:val="nil"/>
              <w:tr2bl w:val="nil"/>
            </w:tcBorders>
            <w:noWrap w:val="0"/>
            <w:vAlign w:val="center"/>
          </w:tcPr>
          <w:p w14:paraId="2D4E26A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运行成本低，废水的处理已成熟。</w:t>
            </w:r>
          </w:p>
        </w:tc>
        <w:tc>
          <w:tcPr>
            <w:tcW w:w="1467" w:type="pct"/>
            <w:tcBorders>
              <w:tl2br w:val="nil"/>
              <w:tr2bl w:val="nil"/>
            </w:tcBorders>
            <w:noWrap w:val="0"/>
            <w:vAlign w:val="center"/>
          </w:tcPr>
          <w:p w14:paraId="635F3D0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占地面积大、处理效率低、微生物的驯化适应期较长、过程不易控制。</w:t>
            </w:r>
          </w:p>
        </w:tc>
      </w:tr>
      <w:tr w14:paraId="298680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608" w:type="pct"/>
            <w:tcBorders>
              <w:tl2br w:val="nil"/>
              <w:tr2bl w:val="nil"/>
            </w:tcBorders>
            <w:noWrap w:val="0"/>
            <w:vAlign w:val="center"/>
          </w:tcPr>
          <w:p w14:paraId="42A37CE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吸收法</w:t>
            </w:r>
          </w:p>
        </w:tc>
        <w:tc>
          <w:tcPr>
            <w:tcW w:w="1692" w:type="pct"/>
            <w:tcBorders>
              <w:tl2br w:val="nil"/>
              <w:tr2bl w:val="nil"/>
            </w:tcBorders>
            <w:noWrap w:val="0"/>
            <w:vAlign w:val="center"/>
          </w:tcPr>
          <w:p w14:paraId="425D1DC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rPr>
              <w:t>液体作为吸收剂，使废气中有害气体被吸收剂所吸收从而达到净化</w:t>
            </w:r>
            <w:r>
              <w:rPr>
                <w:rFonts w:hint="default"/>
                <w:color w:val="auto"/>
                <w:spacing w:val="0"/>
                <w:w w:val="100"/>
                <w:position w:val="0"/>
                <w:highlight w:val="none"/>
                <w:lang w:eastAsia="zh-CN"/>
              </w:rPr>
              <w:t>。</w:t>
            </w:r>
          </w:p>
        </w:tc>
        <w:tc>
          <w:tcPr>
            <w:tcW w:w="1231" w:type="pct"/>
            <w:tcBorders>
              <w:tl2br w:val="nil"/>
              <w:tr2bl w:val="nil"/>
            </w:tcBorders>
            <w:noWrap w:val="0"/>
            <w:vAlign w:val="center"/>
          </w:tcPr>
          <w:p w14:paraId="55C142E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rPr>
              <w:t>设备费用低，运转费用少；无爆炸、火灾等危险，安全性高</w:t>
            </w:r>
            <w:r>
              <w:rPr>
                <w:rFonts w:hint="default"/>
                <w:color w:val="auto"/>
                <w:spacing w:val="0"/>
                <w:w w:val="100"/>
                <w:position w:val="0"/>
                <w:highlight w:val="none"/>
                <w:lang w:eastAsia="zh-CN"/>
              </w:rPr>
              <w:t>。</w:t>
            </w:r>
          </w:p>
        </w:tc>
        <w:tc>
          <w:tcPr>
            <w:tcW w:w="1467" w:type="pct"/>
            <w:tcBorders>
              <w:tl2br w:val="nil"/>
              <w:tr2bl w:val="nil"/>
            </w:tcBorders>
            <w:noWrap w:val="0"/>
            <w:vAlign w:val="center"/>
          </w:tcPr>
          <w:p w14:paraId="6FE4FE9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rPr>
              <w:t>需要对产生的废水进行二次处理，对废气种类有限制</w:t>
            </w:r>
            <w:r>
              <w:rPr>
                <w:rFonts w:hint="default"/>
                <w:color w:val="auto"/>
                <w:spacing w:val="0"/>
                <w:w w:val="100"/>
                <w:position w:val="0"/>
                <w:highlight w:val="none"/>
                <w:lang w:eastAsia="zh-CN"/>
              </w:rPr>
              <w:t>。</w:t>
            </w:r>
          </w:p>
        </w:tc>
      </w:tr>
      <w:tr w14:paraId="537E36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608" w:type="pct"/>
            <w:tcBorders>
              <w:tl2br w:val="nil"/>
              <w:tr2bl w:val="nil"/>
            </w:tcBorders>
            <w:noWrap w:val="0"/>
            <w:vAlign w:val="center"/>
          </w:tcPr>
          <w:p w14:paraId="62CBBB0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催化燃烧法</w:t>
            </w:r>
          </w:p>
        </w:tc>
        <w:tc>
          <w:tcPr>
            <w:tcW w:w="1692" w:type="pct"/>
            <w:tcBorders>
              <w:tl2br w:val="nil"/>
              <w:tr2bl w:val="nil"/>
            </w:tcBorders>
            <w:noWrap w:val="0"/>
            <w:vAlign w:val="center"/>
          </w:tcPr>
          <w:p w14:paraId="16E13DA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把废气加热到200～300℃经过催化床催化燃烧转化成无害无臭的二氧化碳和水，达到净化目的。</w:t>
            </w:r>
          </w:p>
        </w:tc>
        <w:tc>
          <w:tcPr>
            <w:tcW w:w="1231" w:type="pct"/>
            <w:tcBorders>
              <w:tl2br w:val="nil"/>
              <w:tr2bl w:val="nil"/>
            </w:tcBorders>
            <w:noWrap w:val="0"/>
            <w:vAlign w:val="center"/>
          </w:tcPr>
          <w:p w14:paraId="3929177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操作温度低，热回收效率高</w:t>
            </w:r>
            <w:r>
              <w:rPr>
                <w:rFonts w:hint="default"/>
                <w:color w:val="auto"/>
                <w:spacing w:val="0"/>
                <w:w w:val="100"/>
                <w:position w:val="0"/>
                <w:highlight w:val="none"/>
                <w:lang w:eastAsia="zh-CN"/>
              </w:rPr>
              <w:t>（</w:t>
            </w:r>
            <w:r>
              <w:rPr>
                <w:rFonts w:hint="default"/>
                <w:color w:val="auto"/>
                <w:spacing w:val="0"/>
                <w:w w:val="100"/>
                <w:position w:val="0"/>
                <w:highlight w:val="none"/>
              </w:rPr>
              <w:t>＞90%</w:t>
            </w:r>
            <w:r>
              <w:rPr>
                <w:rFonts w:hint="default"/>
                <w:color w:val="auto"/>
                <w:spacing w:val="0"/>
                <w:w w:val="100"/>
                <w:position w:val="0"/>
                <w:highlight w:val="none"/>
                <w:lang w:eastAsia="zh-CN"/>
              </w:rPr>
              <w:t>）</w:t>
            </w:r>
            <w:r>
              <w:rPr>
                <w:rFonts w:hint="default"/>
                <w:color w:val="auto"/>
                <w:spacing w:val="0"/>
                <w:w w:val="100"/>
                <w:position w:val="0"/>
                <w:highlight w:val="none"/>
              </w:rPr>
              <w:t>，运行成本较RTO低；高去除率</w:t>
            </w:r>
            <w:r>
              <w:rPr>
                <w:rFonts w:hint="default"/>
                <w:color w:val="auto"/>
                <w:spacing w:val="0"/>
                <w:w w:val="100"/>
                <w:position w:val="0"/>
                <w:highlight w:val="none"/>
                <w:lang w:eastAsia="zh-CN"/>
              </w:rPr>
              <w:t>（95%～99%）</w:t>
            </w:r>
          </w:p>
        </w:tc>
        <w:tc>
          <w:tcPr>
            <w:tcW w:w="1467" w:type="pct"/>
            <w:tcBorders>
              <w:tl2br w:val="nil"/>
              <w:tr2bl w:val="nil"/>
            </w:tcBorders>
            <w:noWrap w:val="0"/>
            <w:vAlign w:val="center"/>
          </w:tcPr>
          <w:p w14:paraId="6A1DF3A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lang w:eastAsia="zh-CN"/>
              </w:rPr>
            </w:pPr>
            <w:r>
              <w:rPr>
                <w:rFonts w:hint="default"/>
                <w:color w:val="auto"/>
                <w:spacing w:val="0"/>
                <w:w w:val="100"/>
                <w:position w:val="0"/>
                <w:highlight w:val="none"/>
              </w:rPr>
              <w:t>催化剂易失活（烧结中毒、结焦），不适合含有S、卤素等化合物的净化</w:t>
            </w:r>
            <w:r>
              <w:rPr>
                <w:rFonts w:hint="default"/>
                <w:color w:val="auto"/>
                <w:spacing w:val="0"/>
                <w:w w:val="100"/>
                <w:position w:val="0"/>
                <w:highlight w:val="none"/>
                <w:lang w:eastAsia="zh-CN"/>
              </w:rPr>
              <w:t>；常用贵金属催化剂成本高。</w:t>
            </w:r>
          </w:p>
        </w:tc>
      </w:tr>
      <w:tr w14:paraId="3A848A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608" w:type="pct"/>
            <w:tcBorders>
              <w:tl2br w:val="nil"/>
              <w:tr2bl w:val="nil"/>
            </w:tcBorders>
            <w:noWrap w:val="0"/>
            <w:vAlign w:val="center"/>
          </w:tcPr>
          <w:p w14:paraId="2C192C2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蓄热式热力燃烧技术</w:t>
            </w:r>
          </w:p>
        </w:tc>
        <w:tc>
          <w:tcPr>
            <w:tcW w:w="1692" w:type="pct"/>
            <w:tcBorders>
              <w:tl2br w:val="nil"/>
              <w:tr2bl w:val="nil"/>
            </w:tcBorders>
            <w:noWrap w:val="0"/>
            <w:vAlign w:val="center"/>
          </w:tcPr>
          <w:p w14:paraId="097473B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废气预热：低温有机废气进入已被上一周期加热的蓄热室，被陶瓷蓄热体预热至接近燃烧温度（约700~800℃）</w:t>
            </w:r>
            <w:r>
              <w:rPr>
                <w:rFonts w:hint="eastAsia"/>
                <w:color w:val="auto"/>
                <w:spacing w:val="0"/>
                <w:w w:val="100"/>
                <w:position w:val="0"/>
                <w:highlight w:val="none"/>
                <w:lang w:eastAsia="zh-CN"/>
              </w:rPr>
              <w:t>；</w:t>
            </w:r>
            <w:r>
              <w:rPr>
                <w:rFonts w:hint="default"/>
                <w:color w:val="auto"/>
                <w:spacing w:val="0"/>
                <w:w w:val="100"/>
                <w:position w:val="0"/>
                <w:highlight w:val="none"/>
              </w:rPr>
              <w:t>高温氧化：预热后的废气进入燃烧室，在760℃以上高温下与氧气反应，VOCs被氧化分解为CO2和H2O，释放大量热量</w:t>
            </w:r>
            <w:r>
              <w:rPr>
                <w:rFonts w:hint="eastAsia"/>
                <w:color w:val="auto"/>
                <w:spacing w:val="0"/>
                <w:w w:val="100"/>
                <w:position w:val="0"/>
                <w:highlight w:val="none"/>
                <w:lang w:eastAsia="zh-CN"/>
              </w:rPr>
              <w:t>；</w:t>
            </w:r>
            <w:r>
              <w:rPr>
                <w:rFonts w:hint="default"/>
                <w:color w:val="auto"/>
                <w:spacing w:val="0"/>
                <w:w w:val="100"/>
                <w:position w:val="0"/>
                <w:highlight w:val="none"/>
              </w:rPr>
              <w:t>热量回收：高温净化气体进入另一个蓄热室，将热量传递给陶瓷蓄热体，自身温度降低后排出。</w:t>
            </w:r>
          </w:p>
          <w:p w14:paraId="24A5AFE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气流切换：系统周期性地切换气流方向，使蓄热体交替进行“吸热”和“放热”，实现热能高效回收。</w:t>
            </w:r>
          </w:p>
        </w:tc>
        <w:tc>
          <w:tcPr>
            <w:tcW w:w="1231" w:type="pct"/>
            <w:tcBorders>
              <w:tl2br w:val="nil"/>
              <w:tr2bl w:val="nil"/>
            </w:tcBorders>
            <w:noWrap w:val="0"/>
            <w:vAlign w:val="center"/>
          </w:tcPr>
          <w:p w14:paraId="7F3C1DB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default"/>
                <w:color w:val="auto"/>
                <w:spacing w:val="0"/>
                <w:w w:val="100"/>
                <w:position w:val="0"/>
                <w:highlight w:val="none"/>
              </w:rPr>
            </w:pPr>
            <w:r>
              <w:rPr>
                <w:rFonts w:hint="default"/>
                <w:color w:val="auto"/>
                <w:spacing w:val="0"/>
                <w:w w:val="100"/>
                <w:position w:val="0"/>
                <w:highlight w:val="none"/>
              </w:rPr>
              <w:t>热回收效率高(＞90%)，运行费用低；净化效率高（95%～99%）</w:t>
            </w:r>
            <w:r>
              <w:rPr>
                <w:rFonts w:hint="eastAsia"/>
                <w:color w:val="auto"/>
                <w:spacing w:val="0"/>
                <w:w w:val="100"/>
                <w:position w:val="0"/>
                <w:highlight w:val="none"/>
                <w:lang w:eastAsia="zh-CN"/>
              </w:rPr>
              <w:t>；</w:t>
            </w:r>
            <w:r>
              <w:rPr>
                <w:rFonts w:hint="default"/>
                <w:color w:val="auto"/>
                <w:spacing w:val="0"/>
                <w:w w:val="100"/>
                <w:position w:val="0"/>
                <w:highlight w:val="none"/>
              </w:rPr>
              <w:t>适用于高温气体</w:t>
            </w:r>
          </w:p>
        </w:tc>
        <w:tc>
          <w:tcPr>
            <w:tcW w:w="1467" w:type="pct"/>
            <w:tcBorders>
              <w:tl2br w:val="nil"/>
              <w:tr2bl w:val="nil"/>
            </w:tcBorders>
            <w:noWrap w:val="0"/>
            <w:vAlign w:val="center"/>
          </w:tcPr>
          <w:p w14:paraId="483FBAC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eastAsia" w:eastAsia="宋体"/>
                <w:color w:val="auto"/>
                <w:spacing w:val="0"/>
                <w:w w:val="100"/>
                <w:position w:val="0"/>
                <w:highlight w:val="none"/>
                <w:lang w:eastAsia="zh-CN"/>
              </w:rPr>
            </w:pPr>
            <w:r>
              <w:rPr>
                <w:rFonts w:hint="default"/>
                <w:color w:val="auto"/>
                <w:spacing w:val="0"/>
                <w:w w:val="100"/>
                <w:position w:val="0"/>
                <w:highlight w:val="none"/>
              </w:rPr>
              <w:t>陶瓷蓄热体床层压损大且易阻塞；低VOCs浓度时燃料费用高；处理含氮化合物时可能造成烟气中NOx超标；不适合处理易自聚化合物（苯乙烯等），其会发生自聚现象，产生高沸点交联物质，造成蓄热体堵塞；不适合处理硅烷类物质，燃烧生成固体尘灰会堵塞蓄热陶瓷或切换阀密封面</w:t>
            </w:r>
            <w:r>
              <w:rPr>
                <w:rFonts w:hint="eastAsia"/>
                <w:color w:val="auto"/>
                <w:spacing w:val="0"/>
                <w:w w:val="100"/>
                <w:position w:val="0"/>
                <w:highlight w:val="none"/>
                <w:lang w:eastAsia="zh-CN"/>
              </w:rPr>
              <w:t>。</w:t>
            </w:r>
          </w:p>
        </w:tc>
      </w:tr>
    </w:tbl>
    <w:p w14:paraId="3100C240">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根据生态环境部大气环境司《挥发性有机物治理实用手册》，对于低浓度的VOCs（通常为小于1000ppm），目前有很多的治理技术可以选择，如吸附浓缩后处理技术、吸收技术、生物技术等，在大多数情况下需要采用组合技术进行深度净化。</w:t>
      </w:r>
    </w:p>
    <w:p w14:paraId="5093A394">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根据生态环境部于2019年6月26日下发的《重点行业挥发性有机物综合治理方案》的通知（环大气〔2019〕53号），</w:t>
      </w:r>
      <w:r>
        <w:rPr>
          <w:rFonts w:hint="default" w:ascii="Times New Roman" w:hAnsi="Times New Roman" w:eastAsia="宋体" w:cs="Times New Roman"/>
          <w:caps w:val="0"/>
          <w:snapToGrid/>
          <w:color w:val="auto"/>
          <w:spacing w:val="0"/>
          <w:w w:val="100"/>
          <w:kern w:val="21"/>
          <w:position w:val="0"/>
          <w:szCs w:val="24"/>
          <w:highlight w:val="none"/>
          <w:lang w:val="en-US" w:eastAsia="zh-CN"/>
        </w:rPr>
        <w:t>“低浓度、大风量废气，</w:t>
      </w:r>
      <w:r>
        <w:rPr>
          <w:rFonts w:hint="default" w:ascii="Times New Roman" w:hAnsi="Times New Roman" w:eastAsia="宋体" w:cs="Times New Roman"/>
          <w:caps w:val="0"/>
          <w:snapToGrid/>
          <w:color w:val="auto"/>
          <w:spacing w:val="0"/>
          <w:w w:val="100"/>
          <w:kern w:val="0"/>
          <w:position w:val="0"/>
          <w:szCs w:val="24"/>
          <w:highlight w:val="none"/>
          <w:lang w:val="en-US" w:eastAsia="zh-CN"/>
        </w:rPr>
        <w:t>宜采用沸石转轮吸附、活性炭吸附、减风增浓等浓缩技术，提高VOCs浓度后净化处理；高浓度废气，优先进行溶剂回收，难以回收的，宜采用高温焚烧、催化燃烧等技术”。吸附浓缩技术（固定床或沸石转轮吸附）近年来在低浓度VOCs的治理中得到了广泛应用，视情况既可以对废气中价值较高的有机物进行冷凝回收，也可以采用催化燃烧或高温焚烧工艺进行销毁。</w:t>
      </w:r>
    </w:p>
    <w:p w14:paraId="7B6B29AC">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olor w:val="auto"/>
          <w:spacing w:val="0"/>
          <w:w w:val="100"/>
          <w:kern w:val="0"/>
          <w:position w:val="0"/>
          <w:sz w:val="24"/>
          <w:szCs w:val="24"/>
          <w:highlight w:val="none"/>
        </w:rPr>
        <w:t>本项目产生的有机废气属于低浓度</w:t>
      </w:r>
      <w:r>
        <w:rPr>
          <w:rFonts w:hint="eastAsia" w:ascii="Times New Roman" w:hAnsi="Times New Roman" w:eastAsia="宋体" w:cs="Times New Roman"/>
          <w:color w:val="auto"/>
          <w:spacing w:val="0"/>
          <w:w w:val="100"/>
          <w:kern w:val="0"/>
          <w:position w:val="0"/>
          <w:sz w:val="24"/>
          <w:szCs w:val="24"/>
          <w:highlight w:val="none"/>
          <w:lang w:eastAsia="zh-CN"/>
        </w:rPr>
        <w:t>、</w:t>
      </w:r>
      <w:r>
        <w:rPr>
          <w:rFonts w:hint="eastAsia" w:cs="Times New Roman"/>
          <w:color w:val="auto"/>
          <w:spacing w:val="0"/>
          <w:w w:val="100"/>
          <w:kern w:val="0"/>
          <w:position w:val="0"/>
          <w:sz w:val="24"/>
          <w:szCs w:val="24"/>
          <w:highlight w:val="none"/>
          <w:lang w:val="en-US" w:eastAsia="zh-CN"/>
        </w:rPr>
        <w:t>大风量</w:t>
      </w:r>
      <w:r>
        <w:rPr>
          <w:rFonts w:hint="eastAsia" w:cs="Times New Roman"/>
          <w:color w:val="auto"/>
          <w:spacing w:val="0"/>
          <w:w w:val="100"/>
          <w:kern w:val="0"/>
          <w:position w:val="0"/>
          <w:sz w:val="24"/>
          <w:szCs w:val="24"/>
          <w:highlight w:val="none"/>
          <w:lang w:eastAsia="zh-CN"/>
        </w:rPr>
        <w:t>非甲烷总烃</w:t>
      </w:r>
      <w:r>
        <w:rPr>
          <w:rFonts w:hint="default" w:ascii="Times New Roman" w:hAnsi="Times New Roman" w:eastAsia="宋体" w:cs="Times New Roman"/>
          <w:color w:val="auto"/>
          <w:spacing w:val="0"/>
          <w:w w:val="100"/>
          <w:kern w:val="0"/>
          <w:position w:val="0"/>
          <w:sz w:val="24"/>
          <w:szCs w:val="24"/>
          <w:highlight w:val="none"/>
        </w:rPr>
        <w:t>废气，且废气均不具备回收价值，</w:t>
      </w:r>
      <w:r>
        <w:rPr>
          <w:rFonts w:hint="eastAsia" w:cs="Times New Roman"/>
          <w:color w:val="auto"/>
          <w:spacing w:val="0"/>
          <w:w w:val="100"/>
          <w:kern w:val="0"/>
          <w:position w:val="0"/>
          <w:sz w:val="24"/>
          <w:szCs w:val="24"/>
          <w:highlight w:val="none"/>
          <w:lang w:val="en-US" w:eastAsia="zh-CN"/>
        </w:rPr>
        <w:t>同时，根据《排污许可证申请与核发技术规范 橡胶和塑料制品工业》（HJ1122-2020）表A.2塑料制品工业排污单位废气污染防治可行技术参考表中，塑料板、管、型材制造废气中非甲烷总烃防治可行技术为：喷淋；吸附；吸附浓缩+热力燃烧/催化燃烧。</w:t>
      </w:r>
      <w:r>
        <w:rPr>
          <w:rFonts w:hint="default" w:ascii="Times New Roman" w:hAnsi="Times New Roman" w:eastAsia="宋体" w:cs="Times New Roman"/>
          <w:color w:val="auto"/>
          <w:spacing w:val="0"/>
          <w:w w:val="100"/>
          <w:kern w:val="0"/>
          <w:position w:val="0"/>
          <w:sz w:val="24"/>
          <w:szCs w:val="24"/>
          <w:highlight w:val="none"/>
        </w:rPr>
        <w:t>因此</w:t>
      </w:r>
      <w:r>
        <w:rPr>
          <w:rFonts w:hint="eastAsia" w:cs="Times New Roman"/>
          <w:color w:val="auto"/>
          <w:spacing w:val="0"/>
          <w:w w:val="100"/>
          <w:kern w:val="0"/>
          <w:position w:val="0"/>
          <w:sz w:val="24"/>
          <w:szCs w:val="24"/>
          <w:highlight w:val="none"/>
          <w:lang w:val="en-US" w:eastAsia="zh-CN"/>
        </w:rPr>
        <w:t>生产</w:t>
      </w:r>
      <w:r>
        <w:rPr>
          <w:rFonts w:hint="default" w:ascii="Times New Roman" w:hAnsi="Times New Roman" w:eastAsia="宋体" w:cs="Times New Roman"/>
          <w:color w:val="auto"/>
          <w:spacing w:val="0"/>
          <w:w w:val="100"/>
          <w:kern w:val="0"/>
          <w:position w:val="0"/>
          <w:sz w:val="24"/>
          <w:szCs w:val="24"/>
          <w:highlight w:val="none"/>
        </w:rPr>
        <w:t>过</w:t>
      </w:r>
      <w:r>
        <w:rPr>
          <w:rFonts w:hint="eastAsia" w:cs="Times New Roman"/>
          <w:color w:val="auto"/>
          <w:spacing w:val="0"/>
          <w:w w:val="100"/>
          <w:kern w:val="0"/>
          <w:position w:val="0"/>
          <w:sz w:val="24"/>
          <w:szCs w:val="24"/>
          <w:highlight w:val="none"/>
          <w:lang w:eastAsia="zh-CN"/>
        </w:rPr>
        <w:t>程中</w:t>
      </w:r>
      <w:r>
        <w:rPr>
          <w:rFonts w:hint="default" w:ascii="Times New Roman" w:hAnsi="Times New Roman" w:eastAsia="宋体" w:cs="Times New Roman"/>
          <w:color w:val="auto"/>
          <w:spacing w:val="0"/>
          <w:w w:val="100"/>
          <w:kern w:val="0"/>
          <w:position w:val="0"/>
          <w:sz w:val="24"/>
          <w:szCs w:val="24"/>
          <w:highlight w:val="none"/>
        </w:rPr>
        <w:t>产生的有机废气选择</w:t>
      </w:r>
      <w:r>
        <w:rPr>
          <w:rFonts w:hint="eastAsia" w:cs="Times New Roman"/>
          <w:caps w:val="0"/>
          <w:snapToGrid/>
          <w:color w:val="auto"/>
          <w:spacing w:val="0"/>
          <w:w w:val="100"/>
          <w:kern w:val="0"/>
          <w:position w:val="0"/>
          <w:szCs w:val="24"/>
          <w:highlight w:val="none"/>
          <w:lang w:val="en-US" w:eastAsia="zh-CN"/>
        </w:rPr>
        <w:t>活性炭吸附脱附+</w:t>
      </w:r>
      <w:r>
        <w:rPr>
          <w:rFonts w:hint="default" w:ascii="Times New Roman" w:hAnsi="Times New Roman" w:eastAsia="宋体" w:cs="Times New Roman"/>
          <w:caps w:val="0"/>
          <w:snapToGrid/>
          <w:color w:val="auto"/>
          <w:spacing w:val="0"/>
          <w:w w:val="100"/>
          <w:kern w:val="0"/>
          <w:position w:val="0"/>
          <w:szCs w:val="24"/>
          <w:highlight w:val="none"/>
          <w:lang w:val="en-US" w:eastAsia="zh-CN"/>
        </w:rPr>
        <w:t>CO</w:t>
      </w:r>
      <w:r>
        <w:rPr>
          <w:rFonts w:hint="eastAsia" w:cs="Times New Roman"/>
          <w:caps w:val="0"/>
          <w:snapToGrid/>
          <w:color w:val="auto"/>
          <w:spacing w:val="0"/>
          <w:w w:val="100"/>
          <w:kern w:val="0"/>
          <w:position w:val="0"/>
          <w:szCs w:val="24"/>
          <w:highlight w:val="none"/>
          <w:lang w:val="en-US" w:eastAsia="zh-CN"/>
        </w:rPr>
        <w:t>催化燃烧</w:t>
      </w:r>
      <w:r>
        <w:rPr>
          <w:rFonts w:hint="default" w:ascii="Times New Roman" w:hAnsi="Times New Roman" w:eastAsia="宋体" w:cs="Times New Roman"/>
          <w:caps w:val="0"/>
          <w:snapToGrid/>
          <w:color w:val="auto"/>
          <w:spacing w:val="0"/>
          <w:w w:val="100"/>
          <w:kern w:val="0"/>
          <w:position w:val="0"/>
          <w:szCs w:val="24"/>
          <w:highlight w:val="none"/>
          <w:lang w:val="en-US" w:eastAsia="zh-CN"/>
        </w:rPr>
        <w:t>装置的技术处理有机废气</w:t>
      </w:r>
      <w:r>
        <w:rPr>
          <w:rFonts w:hint="eastAsia" w:cs="Times New Roman"/>
          <w:caps w:val="0"/>
          <w:snapToGrid/>
          <w:color w:val="auto"/>
          <w:spacing w:val="0"/>
          <w:w w:val="100"/>
          <w:kern w:val="0"/>
          <w:position w:val="0"/>
          <w:szCs w:val="24"/>
          <w:highlight w:val="none"/>
          <w:lang w:val="en-US" w:eastAsia="zh-CN"/>
        </w:rPr>
        <w:t>，属可行技术。</w:t>
      </w:r>
    </w:p>
    <w:p w14:paraId="618BB9C9">
      <w:pPr>
        <w:keepNext w:val="0"/>
        <w:keepLines w:val="0"/>
        <w:pageBreakBefore w:val="0"/>
        <w:widowControl w:val="0"/>
        <w:kinsoku/>
        <w:wordWrap/>
        <w:overflowPunct/>
        <w:topLinePunct w:val="0"/>
        <w:autoSpaceDE/>
        <w:autoSpaceDN/>
        <w:bidi w:val="0"/>
        <w:adjustRightInd/>
        <w:snapToGrid/>
        <w:ind w:left="0" w:leftChars="0" w:right="0" w:rightChars="0" w:firstLine="482" w:firstLineChars="200"/>
        <w:textAlignment w:val="auto"/>
        <w:outlineLvl w:val="9"/>
        <w:rPr>
          <w:rFonts w:hint="default" w:ascii="Times New Roman" w:hAnsi="Times New Roman" w:eastAsia="宋体" w:cs="Times New Roman"/>
          <w:b/>
          <w:bCs/>
          <w:caps w:val="0"/>
          <w:snapToGrid/>
          <w:color w:val="auto"/>
          <w:spacing w:val="0"/>
          <w:w w:val="100"/>
          <w:kern w:val="0"/>
          <w:position w:val="0"/>
          <w:szCs w:val="24"/>
          <w:highlight w:val="none"/>
          <w:lang w:val="en-US" w:eastAsia="zh-CN"/>
        </w:rPr>
      </w:pPr>
      <w:r>
        <w:rPr>
          <w:rFonts w:hint="eastAsia" w:cs="Times New Roman"/>
          <w:b/>
          <w:bCs/>
          <w:caps w:val="0"/>
          <w:snapToGrid/>
          <w:color w:val="auto"/>
          <w:spacing w:val="0"/>
          <w:w w:val="100"/>
          <w:kern w:val="0"/>
          <w:position w:val="0"/>
          <w:szCs w:val="24"/>
          <w:highlight w:val="none"/>
          <w:lang w:val="en-US" w:eastAsia="zh-CN"/>
        </w:rPr>
        <w:t>活性炭吸附脱附+催化燃烧</w:t>
      </w:r>
      <w:r>
        <w:rPr>
          <w:rFonts w:hint="default" w:ascii="Times New Roman" w:hAnsi="Times New Roman" w:eastAsia="宋体" w:cs="Times New Roman"/>
          <w:b/>
          <w:bCs/>
          <w:caps w:val="0"/>
          <w:snapToGrid/>
          <w:color w:val="auto"/>
          <w:spacing w:val="0"/>
          <w:w w:val="100"/>
          <w:kern w:val="0"/>
          <w:position w:val="0"/>
          <w:szCs w:val="24"/>
          <w:highlight w:val="none"/>
          <w:lang w:val="en-US" w:eastAsia="zh-CN"/>
        </w:rPr>
        <w:t>原理如下：</w:t>
      </w:r>
    </w:p>
    <w:p w14:paraId="71F7A0AA">
      <w:pPr>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jc w:val="both"/>
        <w:textAlignment w:val="baseline"/>
        <w:rPr>
          <w:rFonts w:hint="default" w:ascii="Times New Roman" w:hAnsi="Times New Roman" w:eastAsia="宋体" w:cs="Times New Roman"/>
          <w:color w:val="auto"/>
          <w:spacing w:val="0"/>
          <w:w w:val="100"/>
          <w:position w:val="0"/>
          <w:sz w:val="24"/>
          <w:szCs w:val="24"/>
          <w:highlight w:val="none"/>
          <w:lang w:eastAsia="zh-CN"/>
        </w:rPr>
      </w:pPr>
      <w:r>
        <w:rPr>
          <w:rFonts w:hint="default" w:ascii="Times New Roman" w:hAnsi="Times New Roman" w:eastAsia="宋体" w:cs="Times New Roman"/>
          <w:color w:val="auto"/>
          <w:spacing w:val="0"/>
          <w:w w:val="100"/>
          <w:position w:val="0"/>
          <w:sz w:val="24"/>
          <w:szCs w:val="24"/>
          <w:highlight w:val="none"/>
        </w:rPr>
        <w:t>吸附浓缩：在引风机的作用下将捕集后的低温、低浓度废气进入净化装置内吸附体，废气通过颗粒状活性炭吸附净化，净化后空气通过风机经过排气筒排空</w:t>
      </w:r>
      <w:r>
        <w:rPr>
          <w:rFonts w:hint="default" w:ascii="Times New Roman" w:hAnsi="Times New Roman" w:eastAsia="宋体" w:cs="Times New Roman"/>
          <w:color w:val="auto"/>
          <w:spacing w:val="0"/>
          <w:w w:val="100"/>
          <w:position w:val="0"/>
          <w:sz w:val="24"/>
          <w:szCs w:val="24"/>
          <w:highlight w:val="none"/>
          <w:lang w:eastAsia="zh-CN"/>
        </w:rPr>
        <w:t>。</w:t>
      </w:r>
    </w:p>
    <w:p w14:paraId="0D9B921E">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rPr>
        <w:t>脱附再生：当活性炭在吸附室内吸附至浓缩到饱和定量值时，从吸附体中自动转换1个室为脱附室，自动循环转换吸附、脱附。脱附时，由</w:t>
      </w:r>
      <w:r>
        <w:rPr>
          <w:rFonts w:hint="eastAsia" w:cs="Times New Roman"/>
          <w:color w:val="auto"/>
          <w:spacing w:val="0"/>
          <w:w w:val="100"/>
          <w:position w:val="0"/>
          <w:sz w:val="24"/>
          <w:szCs w:val="24"/>
          <w:highlight w:val="none"/>
          <w:lang w:val="en-US" w:eastAsia="zh-CN"/>
        </w:rPr>
        <w:t>设备</w:t>
      </w:r>
      <w:r>
        <w:rPr>
          <w:rFonts w:hint="default" w:ascii="Times New Roman" w:hAnsi="Times New Roman" w:eastAsia="宋体" w:cs="Times New Roman"/>
          <w:color w:val="auto"/>
          <w:spacing w:val="0"/>
          <w:w w:val="100"/>
          <w:position w:val="0"/>
          <w:sz w:val="24"/>
          <w:szCs w:val="24"/>
          <w:highlight w:val="none"/>
        </w:rPr>
        <w:t>外的气体作为脱附气体，在经过热交换器的作用下，使活性炭碳室进行脱附。脱附出的气体经热交换器后进入催化燃烧器，燃烧器内通过电加热将温度升至350°C左右，燃烧后的气体再进入热交换器，与脱附出的气体进行热交换，对脱附气体进行预加热</w:t>
      </w:r>
      <w:r>
        <w:rPr>
          <w:rFonts w:hint="default" w:ascii="Times New Roman" w:hAnsi="Times New Roman" w:eastAsia="宋体" w:cs="Times New Roman"/>
          <w:color w:val="auto"/>
          <w:spacing w:val="0"/>
          <w:w w:val="100"/>
          <w:position w:val="0"/>
          <w:sz w:val="24"/>
          <w:szCs w:val="24"/>
          <w:highlight w:val="none"/>
          <w:lang w:eastAsia="zh-CN"/>
        </w:rPr>
        <w:t>，</w:t>
      </w:r>
      <w:r>
        <w:rPr>
          <w:rFonts w:hint="default" w:ascii="Times New Roman" w:hAnsi="Times New Roman" w:eastAsia="宋体" w:cs="Times New Roman"/>
          <w:color w:val="auto"/>
          <w:spacing w:val="0"/>
          <w:w w:val="100"/>
          <w:position w:val="0"/>
          <w:sz w:val="24"/>
          <w:szCs w:val="24"/>
          <w:highlight w:val="none"/>
        </w:rPr>
        <w:t>此技术充分利用催化燃烧反应放出的热量，加热进气，提高热能利用率，减少加热电能。</w:t>
      </w:r>
    </w:p>
    <w:p w14:paraId="31038F72">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催化分解净化：收集的有机废气经阻火器并经主进风阀/旁通阀切换调节进入热交换器，通过热交换器的换热和电加热器的加热，使温度较低的有机废气加热到催化起燃温度。然后升温后的有机废气进入催化反应床，在催化剂的催化作用下，有机物进行氧化反应生成H</w:t>
      </w:r>
      <w:r>
        <w:rPr>
          <w:rFonts w:hint="default" w:ascii="Times New Roman" w:hAnsi="Times New Roman" w:eastAsia="宋体" w:cs="Times New Roman"/>
          <w:caps w:val="0"/>
          <w:snapToGrid/>
          <w:color w:val="auto"/>
          <w:spacing w:val="0"/>
          <w:w w:val="100"/>
          <w:kern w:val="0"/>
          <w:position w:val="0"/>
          <w:szCs w:val="24"/>
          <w:highlight w:val="none"/>
          <w:vertAlign w:val="subscript"/>
          <w:lang w:val="en-US" w:eastAsia="zh-CN"/>
        </w:rPr>
        <w:t>2</w:t>
      </w:r>
      <w:r>
        <w:rPr>
          <w:rFonts w:hint="default" w:ascii="Times New Roman" w:hAnsi="Times New Roman" w:eastAsia="宋体" w:cs="Times New Roman"/>
          <w:caps w:val="0"/>
          <w:snapToGrid/>
          <w:color w:val="auto"/>
          <w:spacing w:val="0"/>
          <w:w w:val="100"/>
          <w:kern w:val="0"/>
          <w:position w:val="0"/>
          <w:szCs w:val="24"/>
          <w:highlight w:val="none"/>
          <w:lang w:val="en-US" w:eastAsia="zh-CN"/>
        </w:rPr>
        <w:t>O和CO</w:t>
      </w:r>
      <w:r>
        <w:rPr>
          <w:rFonts w:hint="default" w:ascii="Times New Roman" w:hAnsi="Times New Roman" w:eastAsia="宋体" w:cs="Times New Roman"/>
          <w:caps w:val="0"/>
          <w:snapToGrid/>
          <w:color w:val="auto"/>
          <w:spacing w:val="0"/>
          <w:w w:val="100"/>
          <w:kern w:val="0"/>
          <w:position w:val="0"/>
          <w:szCs w:val="24"/>
          <w:highlight w:val="none"/>
          <w:vertAlign w:val="subscript"/>
          <w:lang w:val="en-US" w:eastAsia="zh-CN"/>
        </w:rPr>
        <w:t>2</w:t>
      </w:r>
      <w:r>
        <w:rPr>
          <w:rFonts w:hint="default" w:ascii="Times New Roman" w:hAnsi="Times New Roman" w:eastAsia="宋体" w:cs="Times New Roman"/>
          <w:caps w:val="0"/>
          <w:snapToGrid/>
          <w:color w:val="auto"/>
          <w:spacing w:val="0"/>
          <w:w w:val="100"/>
          <w:kern w:val="0"/>
          <w:position w:val="0"/>
          <w:szCs w:val="24"/>
          <w:highlight w:val="none"/>
          <w:lang w:val="en-US" w:eastAsia="zh-CN"/>
        </w:rPr>
        <w:t>。由于催化反应放热，使反应后气体温度上升达到一定的温度值。反应后的高温气体经热交换器换热，余热脱附废气使温度升高，并且反应后的高温气体降低一定量的温度，最后经排风机高空排放。其工艺流程示意图如下：</w:t>
      </w:r>
    </w:p>
    <w:p w14:paraId="70DD7FCD">
      <w:pPr>
        <w:pStyle w:val="1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ind w:left="0" w:leftChars="0" w:right="0" w:rightChars="0" w:firstLine="0" w:firstLineChars="0"/>
        <w:textAlignment w:val="auto"/>
        <w:outlineLvl w:val="9"/>
        <w:rPr>
          <w:rFonts w:hint="default" w:ascii="Times New Roman" w:hAnsi="Times New Roman" w:eastAsia="宋体" w:cs="Times New Roman"/>
          <w:caps w:val="0"/>
          <w:snapToGrid/>
          <w:color w:val="auto"/>
          <w:spacing w:val="0"/>
          <w:w w:val="100"/>
          <w:kern w:val="0"/>
          <w:position w:val="0"/>
          <w:highlight w:val="none"/>
        </w:rPr>
      </w:pPr>
      <w:r>
        <w:rPr>
          <w:rFonts w:hint="default" w:ascii="Times New Roman" w:hAnsi="Times New Roman" w:eastAsia="宋体" w:cs="Times New Roman"/>
          <w:caps w:val="0"/>
          <w:snapToGrid/>
          <w:color w:val="auto"/>
          <w:spacing w:val="0"/>
          <w:w w:val="100"/>
          <w:kern w:val="0"/>
          <w:position w:val="0"/>
          <w:highlight w:val="none"/>
        </w:rPr>
        <w:drawing>
          <wp:inline distT="0" distB="0" distL="114300" distR="114300">
            <wp:extent cx="5676900" cy="1457325"/>
            <wp:effectExtent l="12700" t="12700" r="25400" b="15875"/>
            <wp:docPr id="5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9"/>
                    <pic:cNvPicPr>
                      <a:picLocks noChangeAspect="1"/>
                    </pic:cNvPicPr>
                  </pic:nvPicPr>
                  <pic:blipFill>
                    <a:blip r:embed="rId30"/>
                    <a:stretch>
                      <a:fillRect/>
                    </a:stretch>
                  </pic:blipFill>
                  <pic:spPr>
                    <a:xfrm>
                      <a:off x="0" y="0"/>
                      <a:ext cx="5676900" cy="1457325"/>
                    </a:xfrm>
                    <a:prstGeom prst="rect">
                      <a:avLst/>
                    </a:prstGeom>
                    <a:solidFill>
                      <a:srgbClr val="000000"/>
                    </a:solidFill>
                    <a:ln w="12700" cap="flat" cmpd="sng">
                      <a:solidFill>
                        <a:srgbClr val="000000"/>
                      </a:solidFill>
                      <a:prstDash val="solid"/>
                      <a:miter/>
                      <a:headEnd type="none" w="med" len="med"/>
                      <a:tailEnd type="none" w="med" len="med"/>
                    </a:ln>
                  </pic:spPr>
                </pic:pic>
              </a:graphicData>
            </a:graphic>
          </wp:inline>
        </w:drawing>
      </w:r>
    </w:p>
    <w:p w14:paraId="499754A7">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催化室箱体外表面设加强筋，壳体良好密封，设备的内外壁在经过除锈处理工艺后，均涂高温防腐油漆；同时，内部采用高效岩棉保温，与气体介质接触部分由高性能保温棉隔离，耐温1000~1100℃。保证燃烧室与蓄热设备外壁温度≤50℃（燃烧器周围除外）。高温部分设警示标志。炉体顶部设置有泄爆装置。设备设有操作维护平台，在平台和扶梯均设护栏，保障设备在操作、检修维护时能够更加安全、方便。主要部件如下：</w:t>
      </w:r>
    </w:p>
    <w:p w14:paraId="4AA53A1F">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阻火器：将设备和废气源之间的危险阻隔开来，保证处理设备和生产设备之间的安全，同时除去废气源中的粉尘。结构为波纹网型，参照国家标准制造；更换快捷，清理方便。是本设备中的安全设施之一。</w:t>
      </w:r>
    </w:p>
    <w:p w14:paraId="2D689C8E">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热交换器：将有机气体分解后的热能和废气源冷气流进行冷热交换，置换热能，提高废气源的温度。当废气浓度达到一定值时，通过热交换器的作用，可以保证设备在无运行功率的状态下正常运转，是催化净化装置中对废气源进行第一次温度提升的装置，也是设备中节能设施之一；通过热交换器内部对气流的合理控制，使交换器的效率保证在60%以上。结构采用冷轧钢板，合理地布置，使冷热气流全面接触进行能量置换。</w:t>
      </w:r>
    </w:p>
    <w:p w14:paraId="481F0D98">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预热室：废气源在进入催化燃烧室之前，经温度检测仪检测温度达不到催化反应的条件，由布置在预热室内的电加热系统进行温度的第二次提升；电加热元件为红外线加热管，由固定绝缘板固定，维护更换十分方便。</w:t>
      </w:r>
    </w:p>
    <w:p w14:paraId="1D04CA90">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催化反应室：达到温度条件的有机废气源进入催化反应室；催化反应室采用抽屉式，内装催化剂，中间分插电加热元件，利用红外线辐射原理，使催化剂温度达到反应温度，使部分有机物进行分解，释放出能量，直接使废气温度提升，是本设备设计的第三温度提升处，也叫催化升温；温度提升后的有机气体进入催化固定床，内置蜂窝状催化剂，满足反应条件的有机气体在此完全分解，废气变成洁净气体。</w:t>
      </w:r>
    </w:p>
    <w:p w14:paraId="4D01B6A1">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③活性炭吸附装置</w:t>
      </w:r>
    </w:p>
    <w:p w14:paraId="713EF07B">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活性炭吸附是一种物理吸附过程，其核心原理是利用活性炭的多孔结构和巨大的比表面积，通过分子间作用力（范德华力）将废气中的污染物吸附在表面。活性炭的微孔结构（孔径小于2nm）、中孔结构（孔径2-50nm）和大孔结构（孔径大于50nm）共同构成了其强大的吸附能力。当废气通过活性炭层时，污染物分子被吸附在活性炭表面，洁净气体则通过吸附箱排出。吸附效率取决于活性炭的比表面积、孔隙结构以及污染物的性质和浓度。</w:t>
      </w:r>
    </w:p>
    <w:p w14:paraId="5DCFC3E9">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综上所述，本项目采取的</w:t>
      </w:r>
      <w:r>
        <w:rPr>
          <w:rFonts w:hint="eastAsia" w:cs="Times New Roman"/>
          <w:caps w:val="0"/>
          <w:snapToGrid/>
          <w:color w:val="auto"/>
          <w:spacing w:val="0"/>
          <w:w w:val="100"/>
          <w:kern w:val="0"/>
          <w:position w:val="0"/>
          <w:szCs w:val="24"/>
          <w:highlight w:val="none"/>
          <w:lang w:val="en-US" w:eastAsia="zh-CN"/>
        </w:rPr>
        <w:t>活性炭吸附脱附+催化燃烧</w:t>
      </w:r>
      <w:r>
        <w:rPr>
          <w:rFonts w:hint="default" w:ascii="Times New Roman" w:hAnsi="Times New Roman" w:eastAsia="宋体" w:cs="Times New Roman"/>
          <w:caps w:val="0"/>
          <w:snapToGrid/>
          <w:color w:val="auto"/>
          <w:spacing w:val="0"/>
          <w:w w:val="100"/>
          <w:kern w:val="0"/>
          <w:position w:val="0"/>
          <w:szCs w:val="24"/>
          <w:highlight w:val="none"/>
          <w:lang w:val="en-US" w:eastAsia="zh-CN"/>
        </w:rPr>
        <w:t>装置处理有机废气是</w:t>
      </w:r>
      <w:r>
        <w:rPr>
          <w:rFonts w:hint="eastAsia" w:cs="Times New Roman"/>
          <w:caps w:val="0"/>
          <w:snapToGrid/>
          <w:color w:val="auto"/>
          <w:spacing w:val="0"/>
          <w:w w:val="100"/>
          <w:kern w:val="0"/>
          <w:position w:val="0"/>
          <w:szCs w:val="24"/>
          <w:highlight w:val="none"/>
          <w:lang w:val="en-US" w:eastAsia="zh-CN"/>
        </w:rPr>
        <w:t>经济</w:t>
      </w:r>
      <w:r>
        <w:rPr>
          <w:rFonts w:hint="default" w:ascii="Times New Roman" w:hAnsi="Times New Roman" w:eastAsia="宋体" w:cs="Times New Roman"/>
          <w:caps w:val="0"/>
          <w:snapToGrid/>
          <w:color w:val="auto"/>
          <w:spacing w:val="0"/>
          <w:w w:val="100"/>
          <w:kern w:val="0"/>
          <w:position w:val="0"/>
          <w:szCs w:val="24"/>
          <w:highlight w:val="none"/>
          <w:lang w:val="en-US" w:eastAsia="zh-CN"/>
        </w:rPr>
        <w:t>可行的。</w:t>
      </w:r>
    </w:p>
    <w:p w14:paraId="65A95C4B">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531" w:name="_Toc14333"/>
      <w:bookmarkStart w:id="532" w:name="_Toc489707167"/>
      <w:r>
        <w:rPr>
          <w:rFonts w:hint="default"/>
          <w:color w:val="auto"/>
          <w:spacing w:val="0"/>
          <w:w w:val="100"/>
          <w:position w:val="0"/>
          <w:highlight w:val="none"/>
          <w:lang w:val="en-US" w:eastAsia="zh-CN"/>
        </w:rPr>
        <w:t>6.2.1.</w:t>
      </w:r>
      <w:r>
        <w:rPr>
          <w:rFonts w:hint="eastAsia"/>
          <w:color w:val="auto"/>
          <w:spacing w:val="0"/>
          <w:w w:val="100"/>
          <w:position w:val="0"/>
          <w:highlight w:val="none"/>
          <w:lang w:val="en-US" w:eastAsia="zh-CN"/>
        </w:rPr>
        <w:t>2</w:t>
      </w:r>
      <w:r>
        <w:rPr>
          <w:rFonts w:hint="default"/>
          <w:color w:val="auto"/>
          <w:spacing w:val="0"/>
          <w:w w:val="100"/>
          <w:position w:val="0"/>
          <w:highlight w:val="none"/>
          <w:lang w:val="en-US" w:eastAsia="zh-CN"/>
        </w:rPr>
        <w:t>无组织废气污染防治措施可行性分析</w:t>
      </w:r>
      <w:bookmarkEnd w:id="531"/>
    </w:p>
    <w:p w14:paraId="30AD08B6">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项目投产后无组织废气主要为未被收集的废气。为了控制无组织废气对周边环境产生的影响，本项目采取采取加强车间自然通风，加强生产管理，对净化装置定期检修和维护，确保其正常运行等措施来减少车间无组织废气的排放。</w:t>
      </w:r>
    </w:p>
    <w:p w14:paraId="4D86CA7C">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除上述措施外，所有生产操作均按照规范执行，对废气收集和处理设备定期检查、检修和维护，确保其正常运行，以进一步减少车间无组织废气的排放。废气收集处理系统发生故障或检修时停止</w:t>
      </w:r>
      <w:r>
        <w:rPr>
          <w:rFonts w:hint="eastAsia" w:cs="Times New Roman"/>
          <w:caps w:val="0"/>
          <w:snapToGrid/>
          <w:color w:val="auto"/>
          <w:spacing w:val="0"/>
          <w:w w:val="100"/>
          <w:kern w:val="0"/>
          <w:position w:val="0"/>
          <w:szCs w:val="24"/>
          <w:highlight w:val="none"/>
          <w:lang w:val="en-US" w:eastAsia="zh-CN"/>
        </w:rPr>
        <w:t>对应工段生产</w:t>
      </w:r>
      <w:r>
        <w:rPr>
          <w:rFonts w:hint="default" w:ascii="Times New Roman" w:hAnsi="Times New Roman" w:eastAsia="宋体" w:cs="Times New Roman"/>
          <w:caps w:val="0"/>
          <w:snapToGrid/>
          <w:color w:val="auto"/>
          <w:spacing w:val="0"/>
          <w:w w:val="100"/>
          <w:kern w:val="0"/>
          <w:position w:val="0"/>
          <w:szCs w:val="24"/>
          <w:highlight w:val="none"/>
          <w:lang w:val="en-US" w:eastAsia="zh-CN"/>
        </w:rPr>
        <w:t>，待检修完毕，废气收集处理系统能正常运行后再进行</w:t>
      </w:r>
      <w:r>
        <w:rPr>
          <w:rFonts w:hint="eastAsia" w:cs="Times New Roman"/>
          <w:caps w:val="0"/>
          <w:snapToGrid/>
          <w:color w:val="auto"/>
          <w:spacing w:val="0"/>
          <w:w w:val="100"/>
          <w:kern w:val="0"/>
          <w:position w:val="0"/>
          <w:szCs w:val="24"/>
          <w:highlight w:val="none"/>
          <w:lang w:val="en-US" w:eastAsia="zh-CN"/>
        </w:rPr>
        <w:t>生产</w:t>
      </w:r>
      <w:r>
        <w:rPr>
          <w:rFonts w:hint="default" w:ascii="Times New Roman" w:hAnsi="Times New Roman" w:eastAsia="宋体" w:cs="Times New Roman"/>
          <w:caps w:val="0"/>
          <w:snapToGrid/>
          <w:color w:val="auto"/>
          <w:spacing w:val="0"/>
          <w:w w:val="100"/>
          <w:kern w:val="0"/>
          <w:position w:val="0"/>
          <w:szCs w:val="24"/>
          <w:highlight w:val="none"/>
          <w:lang w:val="en-US" w:eastAsia="zh-CN"/>
        </w:rPr>
        <w:t>。</w:t>
      </w:r>
      <w:r>
        <w:rPr>
          <w:rFonts w:hint="eastAsia" w:cs="Times New Roman"/>
          <w:caps w:val="0"/>
          <w:snapToGrid/>
          <w:color w:val="auto"/>
          <w:spacing w:val="0"/>
          <w:w w:val="100"/>
          <w:kern w:val="0"/>
          <w:position w:val="0"/>
          <w:szCs w:val="24"/>
          <w:highlight w:val="none"/>
          <w:lang w:val="en-US" w:eastAsia="zh-CN"/>
        </w:rPr>
        <w:t>废气处理设备</w:t>
      </w:r>
      <w:r>
        <w:rPr>
          <w:rFonts w:hint="default" w:ascii="Times New Roman" w:hAnsi="Times New Roman" w:eastAsia="宋体" w:cs="Times New Roman"/>
          <w:caps w:val="0"/>
          <w:snapToGrid/>
          <w:color w:val="auto"/>
          <w:spacing w:val="0"/>
          <w:w w:val="100"/>
          <w:kern w:val="0"/>
          <w:position w:val="0"/>
          <w:szCs w:val="24"/>
          <w:highlight w:val="none"/>
          <w:lang w:val="en-US" w:eastAsia="zh-CN"/>
        </w:rPr>
        <w:t>发生故障或检修时停止生产工序，待检修完毕，</w:t>
      </w:r>
      <w:r>
        <w:rPr>
          <w:rFonts w:hint="eastAsia" w:cs="Times New Roman"/>
          <w:caps w:val="0"/>
          <w:snapToGrid/>
          <w:color w:val="auto"/>
          <w:spacing w:val="0"/>
          <w:w w:val="100"/>
          <w:kern w:val="0"/>
          <w:position w:val="0"/>
          <w:szCs w:val="24"/>
          <w:highlight w:val="none"/>
          <w:lang w:val="en-US" w:eastAsia="zh-CN"/>
        </w:rPr>
        <w:t>设备</w:t>
      </w:r>
      <w:r>
        <w:rPr>
          <w:rFonts w:hint="default" w:ascii="Times New Roman" w:hAnsi="Times New Roman" w:eastAsia="宋体" w:cs="Times New Roman"/>
          <w:caps w:val="0"/>
          <w:snapToGrid/>
          <w:color w:val="auto"/>
          <w:spacing w:val="0"/>
          <w:w w:val="100"/>
          <w:kern w:val="0"/>
          <w:position w:val="0"/>
          <w:szCs w:val="24"/>
          <w:highlight w:val="none"/>
          <w:lang w:val="en-US" w:eastAsia="zh-CN"/>
        </w:rPr>
        <w:t>能正常运行后再进行生产作业。</w:t>
      </w:r>
    </w:p>
    <w:p w14:paraId="6AC244F5">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以上措施可有效从源头及生产工序减少无组织排放量，建设单位在认真做好废气污染物无组织排放防范措施的基础上，项目产生的无组织排放废气对周边环境产生的影响在可接受范围内。</w:t>
      </w:r>
    </w:p>
    <w:p w14:paraId="776D01D6">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综上所述，本项目无组织废气控制措施满足《挥发性有机物无组织排放控制标准》（GB37822-2019）以及</w:t>
      </w:r>
      <w:r>
        <w:rPr>
          <w:rFonts w:hint="eastAsia" w:cs="Times New Roman"/>
          <w:caps w:val="0"/>
          <w:snapToGrid/>
          <w:color w:val="auto"/>
          <w:spacing w:val="0"/>
          <w:w w:val="100"/>
          <w:kern w:val="0"/>
          <w:position w:val="0"/>
          <w:szCs w:val="24"/>
          <w:highlight w:val="none"/>
          <w:lang w:val="en-US" w:eastAsia="zh-CN"/>
        </w:rPr>
        <w:t>《合成树脂工业污染物排放标准》（GB31572-2015）（含2024年修改单）</w:t>
      </w:r>
      <w:r>
        <w:rPr>
          <w:rFonts w:hint="default" w:ascii="Times New Roman" w:hAnsi="Times New Roman" w:eastAsia="宋体" w:cs="Times New Roman"/>
          <w:caps w:val="0"/>
          <w:snapToGrid/>
          <w:color w:val="auto"/>
          <w:spacing w:val="0"/>
          <w:w w:val="100"/>
          <w:kern w:val="0"/>
          <w:position w:val="0"/>
          <w:szCs w:val="24"/>
          <w:highlight w:val="none"/>
          <w:lang w:val="en-US" w:eastAsia="zh-CN"/>
        </w:rPr>
        <w:t>表9排放限值要求。经采取以上措施后，可有效将运行期产生的废气控制在低水平，</w:t>
      </w:r>
      <w:r>
        <w:rPr>
          <w:rFonts w:hint="default" w:ascii="Times New Roman" w:hAnsi="Times New Roman" w:eastAsia="宋体" w:cs="Times New Roman"/>
          <w:caps w:val="0"/>
          <w:snapToGrid/>
          <w:color w:val="auto"/>
          <w:spacing w:val="0"/>
          <w:w w:val="100"/>
          <w:kern w:val="0"/>
          <w:position w:val="0"/>
          <w:szCs w:val="24"/>
          <w:highlight w:val="none"/>
        </w:rPr>
        <w:t>另外项目区周边</w:t>
      </w:r>
      <w:r>
        <w:rPr>
          <w:rFonts w:hint="default" w:ascii="Times New Roman" w:hAnsi="Times New Roman" w:eastAsia="宋体" w:cs="Times New Roman"/>
          <w:caps w:val="0"/>
          <w:snapToGrid/>
          <w:color w:val="auto"/>
          <w:spacing w:val="0"/>
          <w:w w:val="100"/>
          <w:kern w:val="0"/>
          <w:position w:val="0"/>
          <w:szCs w:val="24"/>
          <w:highlight w:val="none"/>
          <w:lang w:val="en-US" w:eastAsia="zh-CN"/>
        </w:rPr>
        <w:t>500m范围内</w:t>
      </w:r>
      <w:r>
        <w:rPr>
          <w:rFonts w:hint="default" w:ascii="Times New Roman" w:hAnsi="Times New Roman" w:eastAsia="宋体" w:cs="Times New Roman"/>
          <w:caps w:val="0"/>
          <w:snapToGrid/>
          <w:color w:val="auto"/>
          <w:spacing w:val="0"/>
          <w:w w:val="100"/>
          <w:kern w:val="0"/>
          <w:position w:val="0"/>
          <w:szCs w:val="24"/>
          <w:highlight w:val="none"/>
        </w:rPr>
        <w:t>无居民居住，</w:t>
      </w:r>
      <w:r>
        <w:rPr>
          <w:rFonts w:hint="default" w:ascii="Times New Roman" w:hAnsi="Times New Roman" w:eastAsia="宋体" w:cs="Times New Roman"/>
          <w:caps w:val="0"/>
          <w:snapToGrid/>
          <w:color w:val="auto"/>
          <w:spacing w:val="0"/>
          <w:w w:val="100"/>
          <w:kern w:val="0"/>
          <w:position w:val="0"/>
          <w:szCs w:val="24"/>
          <w:highlight w:val="none"/>
          <w:lang w:val="en-US" w:eastAsia="zh-CN"/>
        </w:rPr>
        <w:t>对居民生活基本无影响。因此，本项目有机废气采取“</w:t>
      </w:r>
      <w:r>
        <w:rPr>
          <w:rFonts w:hint="eastAsia" w:cs="Times New Roman"/>
          <w:caps w:val="0"/>
          <w:snapToGrid/>
          <w:color w:val="auto"/>
          <w:spacing w:val="0"/>
          <w:w w:val="100"/>
          <w:kern w:val="0"/>
          <w:position w:val="0"/>
          <w:szCs w:val="24"/>
          <w:highlight w:val="none"/>
          <w:lang w:val="en-US" w:eastAsia="zh-CN"/>
        </w:rPr>
        <w:t>活性炭吸附脱附+催化燃烧</w:t>
      </w:r>
      <w:r>
        <w:rPr>
          <w:rFonts w:hint="default" w:ascii="Times New Roman" w:hAnsi="Times New Roman" w:eastAsia="宋体" w:cs="Times New Roman"/>
          <w:caps w:val="0"/>
          <w:snapToGrid/>
          <w:color w:val="auto"/>
          <w:spacing w:val="0"/>
          <w:w w:val="100"/>
          <w:kern w:val="0"/>
          <w:position w:val="0"/>
          <w:szCs w:val="24"/>
          <w:highlight w:val="none"/>
          <w:lang w:val="en-US" w:eastAsia="zh-CN"/>
        </w:rPr>
        <w:t>装置”、</w:t>
      </w:r>
      <w:r>
        <w:rPr>
          <w:rFonts w:hint="eastAsia" w:cs="Times New Roman"/>
          <w:caps w:val="0"/>
          <w:snapToGrid/>
          <w:color w:val="auto"/>
          <w:spacing w:val="0"/>
          <w:w w:val="100"/>
          <w:kern w:val="0"/>
          <w:position w:val="0"/>
          <w:szCs w:val="24"/>
          <w:highlight w:val="none"/>
          <w:lang w:val="en-US" w:eastAsia="zh-CN"/>
        </w:rPr>
        <w:t>粉尘</w:t>
      </w:r>
      <w:r>
        <w:rPr>
          <w:rFonts w:hint="default" w:ascii="Times New Roman" w:hAnsi="Times New Roman" w:eastAsia="宋体" w:cs="Times New Roman"/>
          <w:caps w:val="0"/>
          <w:snapToGrid/>
          <w:color w:val="auto"/>
          <w:spacing w:val="0"/>
          <w:w w:val="100"/>
          <w:kern w:val="0"/>
          <w:position w:val="0"/>
          <w:szCs w:val="24"/>
          <w:highlight w:val="none"/>
          <w:lang w:val="en-US" w:eastAsia="zh-CN"/>
        </w:rPr>
        <w:t>采取</w:t>
      </w:r>
      <w:r>
        <w:rPr>
          <w:rFonts w:hint="eastAsia" w:cs="Times New Roman"/>
          <w:caps w:val="0"/>
          <w:snapToGrid/>
          <w:color w:val="auto"/>
          <w:spacing w:val="0"/>
          <w:w w:val="100"/>
          <w:kern w:val="0"/>
          <w:position w:val="0"/>
          <w:szCs w:val="24"/>
          <w:highlight w:val="none"/>
          <w:lang w:val="en-US" w:eastAsia="zh-CN"/>
        </w:rPr>
        <w:t>布袋除尘器</w:t>
      </w:r>
      <w:r>
        <w:rPr>
          <w:rFonts w:hint="default" w:ascii="Times New Roman" w:hAnsi="Times New Roman" w:eastAsia="宋体" w:cs="Times New Roman"/>
          <w:caps w:val="0"/>
          <w:snapToGrid/>
          <w:color w:val="auto"/>
          <w:spacing w:val="0"/>
          <w:w w:val="100"/>
          <w:kern w:val="0"/>
          <w:position w:val="0"/>
          <w:szCs w:val="24"/>
          <w:highlight w:val="none"/>
          <w:lang w:val="en-US" w:eastAsia="zh-CN"/>
        </w:rPr>
        <w:t>处理的措施是可行的。</w:t>
      </w:r>
    </w:p>
    <w:p w14:paraId="7561CDE1">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环评要求：以主要排放源为起点，各方向外100m范围内的区域设置卫生防护距离，今后在该卫生防护距离内禁止新建学校、医院、居民区等敏感点以及对大气环境质量有特殊要求的企业。</w:t>
      </w:r>
    </w:p>
    <w:p w14:paraId="5DC472EC">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533" w:name="_Toc7404"/>
      <w:r>
        <w:rPr>
          <w:rFonts w:hint="default"/>
          <w:color w:val="auto"/>
          <w:spacing w:val="0"/>
          <w:w w:val="100"/>
          <w:position w:val="0"/>
          <w:highlight w:val="none"/>
          <w:lang w:val="en-US" w:eastAsia="zh-CN"/>
        </w:rPr>
        <w:t>6.2.1.</w:t>
      </w:r>
      <w:r>
        <w:rPr>
          <w:rFonts w:hint="eastAsia"/>
          <w:color w:val="auto"/>
          <w:spacing w:val="0"/>
          <w:w w:val="100"/>
          <w:position w:val="0"/>
          <w:highlight w:val="none"/>
          <w:lang w:val="en-US" w:eastAsia="zh-CN"/>
        </w:rPr>
        <w:t>3</w:t>
      </w:r>
      <w:r>
        <w:rPr>
          <w:rFonts w:hint="default"/>
          <w:color w:val="auto"/>
          <w:spacing w:val="0"/>
          <w:w w:val="100"/>
          <w:position w:val="0"/>
          <w:highlight w:val="none"/>
          <w:lang w:val="en-US" w:eastAsia="zh-CN"/>
        </w:rPr>
        <w:t>废气达标可行性分析</w:t>
      </w:r>
      <w:bookmarkEnd w:id="533"/>
    </w:p>
    <w:p w14:paraId="6DB42D7E">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项目运营期废气主要包括有组织废气和无组织废气。有组织废气主要为</w:t>
      </w:r>
      <w:r>
        <w:rPr>
          <w:rFonts w:hint="eastAsia" w:cs="Times New Roman"/>
          <w:caps w:val="0"/>
          <w:snapToGrid/>
          <w:color w:val="auto"/>
          <w:spacing w:val="0"/>
          <w:w w:val="100"/>
          <w:kern w:val="0"/>
          <w:position w:val="0"/>
          <w:szCs w:val="24"/>
          <w:highlight w:val="none"/>
          <w:lang w:val="en-US" w:eastAsia="zh-CN"/>
        </w:rPr>
        <w:t>各生产线产生的有机废气和颗粒物</w:t>
      </w:r>
      <w:r>
        <w:rPr>
          <w:rFonts w:hint="default" w:ascii="Times New Roman" w:hAnsi="Times New Roman" w:eastAsia="宋体" w:cs="Times New Roman"/>
          <w:caps w:val="0"/>
          <w:snapToGrid/>
          <w:color w:val="auto"/>
          <w:spacing w:val="0"/>
          <w:w w:val="100"/>
          <w:kern w:val="0"/>
          <w:position w:val="0"/>
          <w:szCs w:val="24"/>
          <w:highlight w:val="none"/>
          <w:lang w:val="en-US" w:eastAsia="zh-CN"/>
        </w:rPr>
        <w:t>；无组织废气主要为</w:t>
      </w:r>
      <w:r>
        <w:rPr>
          <w:rFonts w:hint="eastAsia" w:cs="Times New Roman"/>
          <w:caps w:val="0"/>
          <w:snapToGrid/>
          <w:color w:val="auto"/>
          <w:spacing w:val="0"/>
          <w:w w:val="100"/>
          <w:kern w:val="0"/>
          <w:position w:val="0"/>
          <w:szCs w:val="24"/>
          <w:highlight w:val="none"/>
          <w:lang w:val="en-US" w:eastAsia="zh-CN"/>
        </w:rPr>
        <w:t>各生产线</w:t>
      </w:r>
      <w:r>
        <w:rPr>
          <w:rFonts w:hint="default" w:ascii="Times New Roman" w:hAnsi="Times New Roman" w:eastAsia="宋体" w:cs="Times New Roman"/>
          <w:caps w:val="0"/>
          <w:snapToGrid/>
          <w:color w:val="auto"/>
          <w:spacing w:val="0"/>
          <w:w w:val="100"/>
          <w:kern w:val="0"/>
          <w:position w:val="0"/>
          <w:szCs w:val="24"/>
          <w:highlight w:val="none"/>
          <w:lang w:val="en-US" w:eastAsia="zh-CN"/>
        </w:rPr>
        <w:t>未收集到的废气。</w:t>
      </w:r>
    </w:p>
    <w:p w14:paraId="09C53FE2">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eastAsia" w:cs="Times New Roman"/>
          <w:caps w:val="0"/>
          <w:snapToGrid/>
          <w:color w:val="auto"/>
          <w:spacing w:val="0"/>
          <w:w w:val="100"/>
          <w:kern w:val="0"/>
          <w:position w:val="0"/>
          <w:szCs w:val="24"/>
          <w:highlight w:val="none"/>
          <w:lang w:val="en-US" w:eastAsia="zh-CN"/>
        </w:rPr>
        <w:t>（1）排气筒高度合理性</w:t>
      </w:r>
    </w:p>
    <w:p w14:paraId="2587FAEC">
      <w:pPr>
        <w:keepNext w:val="0"/>
        <w:keepLines w:val="0"/>
        <w:pageBreakBefore w:val="0"/>
        <w:widowControl w:val="0"/>
        <w:suppressLineNumbers w:val="0"/>
        <w:kinsoku/>
        <w:wordWrap/>
        <w:overflowPunct/>
        <w:topLinePunct w:val="0"/>
        <w:autoSpaceDE/>
        <w:autoSpaceDN/>
        <w:bidi w:val="0"/>
        <w:adjustRightInd/>
        <w:snapToGrid/>
        <w:ind w:firstLine="480" w:firstLineChars="200"/>
        <w:jc w:val="left"/>
        <w:textAlignment w:val="auto"/>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eastAsia" w:ascii="Times New Roman" w:hAnsi="Times New Roman" w:eastAsia="宋体" w:cs="Times New Roman"/>
          <w:caps w:val="0"/>
          <w:snapToGrid/>
          <w:color w:val="auto"/>
          <w:spacing w:val="0"/>
          <w:w w:val="100"/>
          <w:kern w:val="0"/>
          <w:position w:val="0"/>
          <w:szCs w:val="24"/>
          <w:highlight w:val="none"/>
          <w:lang w:val="en-US" w:eastAsia="zh-CN"/>
        </w:rPr>
        <w:t>根据</w:t>
      </w:r>
      <w:r>
        <w:rPr>
          <w:rFonts w:hint="eastAsia" w:cs="Times New Roman"/>
          <w:caps w:val="0"/>
          <w:snapToGrid/>
          <w:color w:val="auto"/>
          <w:spacing w:val="0"/>
          <w:w w:val="100"/>
          <w:kern w:val="0"/>
          <w:position w:val="0"/>
          <w:szCs w:val="24"/>
          <w:highlight w:val="none"/>
          <w:lang w:val="en-US" w:eastAsia="zh-CN"/>
        </w:rPr>
        <w:t>《合成树脂工业污染物排放标准》（GB31572-2015）（含2024年修改单）</w:t>
      </w:r>
      <w:r>
        <w:rPr>
          <w:rFonts w:hint="eastAsia" w:ascii="Times New Roman" w:hAnsi="Times New Roman" w:eastAsia="宋体" w:cs="Times New Roman"/>
          <w:color w:val="auto"/>
          <w:spacing w:val="0"/>
          <w:w w:val="100"/>
          <w:kern w:val="24"/>
          <w:position w:val="0"/>
          <w:sz w:val="24"/>
          <w:szCs w:val="24"/>
          <w:highlight w:val="none"/>
          <w:lang w:val="en-US" w:eastAsia="zh-CN" w:bidi="ar"/>
        </w:rPr>
        <w:t>中</w:t>
      </w:r>
      <w:r>
        <w:rPr>
          <w:rFonts w:hint="eastAsia" w:cs="Times New Roman"/>
          <w:color w:val="auto"/>
          <w:spacing w:val="0"/>
          <w:w w:val="100"/>
          <w:kern w:val="24"/>
          <w:position w:val="0"/>
          <w:sz w:val="24"/>
          <w:szCs w:val="24"/>
          <w:highlight w:val="none"/>
          <w:lang w:val="en-US" w:eastAsia="zh-CN" w:bidi="ar"/>
        </w:rPr>
        <w:t>“5.4.2 废气收集系统与处理装置应符合相关安全技术要求。排气筒高度不低于15m（因安全考虑或有特殊工艺要求的，以及装置区污水池处理设施除外），具体高度以及与周围建筑物的相对高度关系应根据环境影响评价文件确定”，</w:t>
      </w:r>
      <w:r>
        <w:rPr>
          <w:rFonts w:hint="eastAsia" w:ascii="Times New Roman" w:hAnsi="Times New Roman" w:eastAsia="宋体" w:cs="Times New Roman"/>
          <w:caps w:val="0"/>
          <w:snapToGrid/>
          <w:color w:val="auto"/>
          <w:spacing w:val="0"/>
          <w:w w:val="100"/>
          <w:kern w:val="0"/>
          <w:position w:val="0"/>
          <w:szCs w:val="24"/>
          <w:highlight w:val="none"/>
          <w:lang w:val="en-US" w:eastAsia="zh-CN"/>
        </w:rPr>
        <w:t>因此，</w:t>
      </w:r>
      <w:r>
        <w:rPr>
          <w:rFonts w:hint="eastAsia" w:cs="Times New Roman"/>
          <w:color w:val="auto"/>
          <w:spacing w:val="0"/>
          <w:w w:val="100"/>
          <w:kern w:val="24"/>
          <w:position w:val="0"/>
          <w:sz w:val="24"/>
          <w:szCs w:val="24"/>
          <w:highlight w:val="none"/>
          <w:lang w:val="en-US" w:eastAsia="zh-CN" w:bidi="ar"/>
        </w:rPr>
        <w:t>本项目有组织废气最终经</w:t>
      </w:r>
      <w:r>
        <w:rPr>
          <w:rFonts w:hint="eastAsia" w:cs="Times New Roman"/>
          <w:caps w:val="0"/>
          <w:snapToGrid/>
          <w:color w:val="auto"/>
          <w:spacing w:val="0"/>
          <w:w w:val="100"/>
          <w:kern w:val="0"/>
          <w:position w:val="0"/>
          <w:szCs w:val="24"/>
          <w:highlight w:val="none"/>
          <w:lang w:val="en-US" w:eastAsia="zh-CN"/>
        </w:rPr>
        <w:t>2根15m高排气筒（DA001、DA002）排放合理</w:t>
      </w:r>
      <w:r>
        <w:rPr>
          <w:rFonts w:hint="eastAsia" w:ascii="Times New Roman" w:hAnsi="Times New Roman" w:eastAsia="宋体" w:cs="Times New Roman"/>
          <w:caps w:val="0"/>
          <w:snapToGrid/>
          <w:color w:val="auto"/>
          <w:spacing w:val="0"/>
          <w:w w:val="100"/>
          <w:kern w:val="0"/>
          <w:position w:val="0"/>
          <w:szCs w:val="24"/>
          <w:highlight w:val="none"/>
          <w:lang w:val="en-US" w:eastAsia="zh-CN"/>
        </w:rPr>
        <w:t>。</w:t>
      </w:r>
    </w:p>
    <w:p w14:paraId="74ACA8CA">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w:t>
      </w:r>
      <w:r>
        <w:rPr>
          <w:rFonts w:hint="eastAsia" w:cs="Times New Roman"/>
          <w:caps w:val="0"/>
          <w:snapToGrid/>
          <w:color w:val="auto"/>
          <w:spacing w:val="0"/>
          <w:w w:val="100"/>
          <w:kern w:val="0"/>
          <w:position w:val="0"/>
          <w:szCs w:val="24"/>
          <w:highlight w:val="none"/>
          <w:lang w:val="en-US" w:eastAsia="zh-CN"/>
        </w:rPr>
        <w:t>2</w:t>
      </w:r>
      <w:r>
        <w:rPr>
          <w:rFonts w:hint="default" w:ascii="Times New Roman" w:hAnsi="Times New Roman" w:eastAsia="宋体" w:cs="Times New Roman"/>
          <w:caps w:val="0"/>
          <w:snapToGrid/>
          <w:color w:val="auto"/>
          <w:spacing w:val="0"/>
          <w:w w:val="100"/>
          <w:kern w:val="0"/>
          <w:position w:val="0"/>
          <w:szCs w:val="24"/>
          <w:highlight w:val="none"/>
          <w:lang w:val="en-US" w:eastAsia="zh-CN"/>
        </w:rPr>
        <w:t>）有组织废气达标分析</w:t>
      </w:r>
    </w:p>
    <w:p w14:paraId="1BD72AC3">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eastAsia" w:cs="Times New Roman"/>
          <w:caps w:val="0"/>
          <w:snapToGrid/>
          <w:color w:val="auto"/>
          <w:spacing w:val="0"/>
          <w:w w:val="100"/>
          <w:kern w:val="0"/>
          <w:position w:val="0"/>
          <w:szCs w:val="24"/>
          <w:highlight w:val="none"/>
          <w:lang w:val="en-US" w:eastAsia="zh-CN"/>
        </w:rPr>
        <w:t>生产过程中产生的粉尘收集至布袋除尘器处理后由1根15m排气筒（DA001）排放</w:t>
      </w:r>
      <w:r>
        <w:rPr>
          <w:rFonts w:hint="default" w:ascii="Times New Roman" w:hAnsi="Times New Roman" w:eastAsia="宋体" w:cs="Times New Roman"/>
          <w:caps w:val="0"/>
          <w:snapToGrid/>
          <w:color w:val="auto"/>
          <w:spacing w:val="0"/>
          <w:w w:val="100"/>
          <w:kern w:val="0"/>
          <w:position w:val="0"/>
          <w:szCs w:val="24"/>
          <w:highlight w:val="none"/>
          <w:lang w:val="en-US" w:eastAsia="zh-CN"/>
        </w:rPr>
        <w:t>，根据工程分析，处理后的颗粒物排放满足</w:t>
      </w:r>
      <w:r>
        <w:rPr>
          <w:rFonts w:hint="eastAsia" w:cs="Times New Roman"/>
          <w:caps w:val="0"/>
          <w:snapToGrid/>
          <w:color w:val="auto"/>
          <w:spacing w:val="0"/>
          <w:w w:val="100"/>
          <w:kern w:val="0"/>
          <w:position w:val="0"/>
          <w:szCs w:val="24"/>
          <w:highlight w:val="none"/>
          <w:lang w:val="en-US" w:eastAsia="zh-CN"/>
        </w:rPr>
        <w:t>《合成树脂工业污染物排放标准》（GB31572-2015）（含2024年修改单）</w:t>
      </w:r>
      <w:r>
        <w:rPr>
          <w:rFonts w:hint="default" w:ascii="Times New Roman" w:hAnsi="Times New Roman" w:eastAsia="宋体" w:cs="Times New Roman"/>
          <w:caps w:val="0"/>
          <w:snapToGrid/>
          <w:color w:val="auto"/>
          <w:spacing w:val="0"/>
          <w:w w:val="100"/>
          <w:kern w:val="0"/>
          <w:position w:val="0"/>
          <w:szCs w:val="24"/>
          <w:highlight w:val="none"/>
          <w:lang w:val="en-US" w:eastAsia="zh-CN"/>
        </w:rPr>
        <w:t>表5大气污染物特别排放限值要求；</w:t>
      </w:r>
      <w:r>
        <w:rPr>
          <w:rFonts w:hint="eastAsia" w:cs="Times New Roman"/>
          <w:caps w:val="0"/>
          <w:snapToGrid/>
          <w:color w:val="auto"/>
          <w:spacing w:val="0"/>
          <w:w w:val="100"/>
          <w:kern w:val="0"/>
          <w:position w:val="0"/>
          <w:szCs w:val="24"/>
          <w:highlight w:val="none"/>
          <w:lang w:val="en-US" w:eastAsia="zh-CN"/>
        </w:rPr>
        <w:t>有机废气经集气罩收集至1套“活性炭吸附脱附+催化燃烧装置”</w:t>
      </w:r>
      <w:r>
        <w:rPr>
          <w:rFonts w:hint="default" w:ascii="Times New Roman" w:hAnsi="Times New Roman" w:eastAsia="宋体" w:cs="Times New Roman"/>
          <w:caps w:val="0"/>
          <w:snapToGrid/>
          <w:color w:val="auto"/>
          <w:spacing w:val="0"/>
          <w:w w:val="100"/>
          <w:kern w:val="0"/>
          <w:position w:val="0"/>
          <w:szCs w:val="24"/>
          <w:highlight w:val="none"/>
          <w:lang w:val="en-US" w:eastAsia="zh-CN"/>
        </w:rPr>
        <w:t>处理后由</w:t>
      </w:r>
      <w:r>
        <w:rPr>
          <w:rFonts w:hint="eastAsia" w:cs="Times New Roman"/>
          <w:caps w:val="0"/>
          <w:snapToGrid/>
          <w:color w:val="auto"/>
          <w:spacing w:val="0"/>
          <w:w w:val="100"/>
          <w:kern w:val="0"/>
          <w:position w:val="0"/>
          <w:szCs w:val="24"/>
          <w:highlight w:val="none"/>
          <w:lang w:val="en-US" w:eastAsia="zh-CN"/>
        </w:rPr>
        <w:t>1</w:t>
      </w:r>
      <w:r>
        <w:rPr>
          <w:rFonts w:hint="eastAsia" w:ascii="Times New Roman" w:hAnsi="Times New Roman" w:eastAsia="宋体" w:cs="Times New Roman"/>
          <w:caps w:val="0"/>
          <w:snapToGrid/>
          <w:color w:val="auto"/>
          <w:spacing w:val="0"/>
          <w:w w:val="100"/>
          <w:kern w:val="0"/>
          <w:position w:val="0"/>
          <w:szCs w:val="24"/>
          <w:highlight w:val="none"/>
          <w:lang w:val="en-US" w:eastAsia="zh-CN"/>
        </w:rPr>
        <w:t>根</w:t>
      </w:r>
      <w:r>
        <w:rPr>
          <w:rFonts w:hint="eastAsia" w:cs="Times New Roman"/>
          <w:caps w:val="0"/>
          <w:snapToGrid/>
          <w:color w:val="auto"/>
          <w:spacing w:val="0"/>
          <w:w w:val="100"/>
          <w:kern w:val="0"/>
          <w:position w:val="0"/>
          <w:szCs w:val="24"/>
          <w:highlight w:val="none"/>
          <w:lang w:val="en-US" w:eastAsia="zh-CN"/>
        </w:rPr>
        <w:t>15m</w:t>
      </w:r>
      <w:r>
        <w:rPr>
          <w:rFonts w:hint="default" w:ascii="Times New Roman" w:hAnsi="Times New Roman" w:eastAsia="宋体" w:cs="Times New Roman"/>
          <w:caps w:val="0"/>
          <w:snapToGrid/>
          <w:color w:val="auto"/>
          <w:spacing w:val="0"/>
          <w:w w:val="100"/>
          <w:kern w:val="0"/>
          <w:position w:val="0"/>
          <w:szCs w:val="24"/>
          <w:highlight w:val="none"/>
          <w:lang w:val="en-US" w:eastAsia="zh-CN"/>
        </w:rPr>
        <w:t>高排气筒（</w:t>
      </w:r>
      <w:r>
        <w:rPr>
          <w:rFonts w:hint="eastAsia" w:ascii="Times New Roman" w:hAnsi="Times New Roman" w:eastAsia="宋体" w:cs="Times New Roman"/>
          <w:caps w:val="0"/>
          <w:snapToGrid/>
          <w:color w:val="auto"/>
          <w:spacing w:val="0"/>
          <w:w w:val="100"/>
          <w:kern w:val="0"/>
          <w:position w:val="0"/>
          <w:szCs w:val="24"/>
          <w:highlight w:val="none"/>
          <w:lang w:val="en-US" w:eastAsia="zh-CN"/>
        </w:rPr>
        <w:t>DA00</w:t>
      </w:r>
      <w:r>
        <w:rPr>
          <w:rFonts w:hint="eastAsia" w:cs="Times New Roman"/>
          <w:caps w:val="0"/>
          <w:snapToGrid/>
          <w:color w:val="auto"/>
          <w:spacing w:val="0"/>
          <w:w w:val="100"/>
          <w:kern w:val="0"/>
          <w:position w:val="0"/>
          <w:szCs w:val="24"/>
          <w:highlight w:val="none"/>
          <w:lang w:val="en-US" w:eastAsia="zh-CN"/>
        </w:rPr>
        <w:t>2</w:t>
      </w:r>
      <w:r>
        <w:rPr>
          <w:rFonts w:hint="default" w:ascii="Times New Roman" w:hAnsi="Times New Roman" w:eastAsia="宋体" w:cs="Times New Roman"/>
          <w:caps w:val="0"/>
          <w:snapToGrid/>
          <w:color w:val="auto"/>
          <w:spacing w:val="0"/>
          <w:w w:val="100"/>
          <w:kern w:val="0"/>
          <w:position w:val="0"/>
          <w:szCs w:val="24"/>
          <w:highlight w:val="none"/>
          <w:lang w:val="en-US" w:eastAsia="zh-CN"/>
        </w:rPr>
        <w:t>）排放</w:t>
      </w:r>
      <w:r>
        <w:rPr>
          <w:rFonts w:hint="eastAsia" w:ascii="Times New Roman" w:hAnsi="Times New Roman" w:eastAsia="宋体" w:cs="Times New Roman"/>
          <w:caps w:val="0"/>
          <w:snapToGrid/>
          <w:color w:val="auto"/>
          <w:spacing w:val="0"/>
          <w:w w:val="100"/>
          <w:kern w:val="0"/>
          <w:position w:val="0"/>
          <w:szCs w:val="24"/>
          <w:highlight w:val="none"/>
          <w:lang w:val="en-US" w:eastAsia="zh-CN"/>
        </w:rPr>
        <w:t>，</w:t>
      </w:r>
      <w:r>
        <w:rPr>
          <w:rFonts w:hint="default" w:ascii="Times New Roman" w:hAnsi="Times New Roman" w:eastAsia="宋体" w:cs="Times New Roman"/>
          <w:caps w:val="0"/>
          <w:snapToGrid/>
          <w:color w:val="auto"/>
          <w:spacing w:val="0"/>
          <w:w w:val="100"/>
          <w:kern w:val="0"/>
          <w:position w:val="0"/>
          <w:szCs w:val="24"/>
          <w:highlight w:val="none"/>
          <w:lang w:val="en-US" w:eastAsia="zh-CN"/>
        </w:rPr>
        <w:t>根据工程分析，非甲烷总烃排放满足</w:t>
      </w:r>
      <w:r>
        <w:rPr>
          <w:rFonts w:hint="eastAsia" w:cs="Times New Roman"/>
          <w:caps w:val="0"/>
          <w:snapToGrid/>
          <w:color w:val="auto"/>
          <w:spacing w:val="0"/>
          <w:w w:val="100"/>
          <w:kern w:val="0"/>
          <w:position w:val="0"/>
          <w:szCs w:val="24"/>
          <w:highlight w:val="none"/>
          <w:lang w:val="en-US" w:eastAsia="zh-CN"/>
        </w:rPr>
        <w:t>《合成树脂工业污染物排放标准》（GB31572-2015）（含2024年修改单）</w:t>
      </w:r>
      <w:r>
        <w:rPr>
          <w:rFonts w:hint="default" w:ascii="Times New Roman" w:hAnsi="Times New Roman" w:eastAsia="宋体" w:cs="Times New Roman"/>
          <w:caps w:val="0"/>
          <w:snapToGrid/>
          <w:color w:val="auto"/>
          <w:spacing w:val="0"/>
          <w:w w:val="100"/>
          <w:kern w:val="0"/>
          <w:position w:val="0"/>
          <w:szCs w:val="24"/>
          <w:highlight w:val="none"/>
          <w:lang w:val="en-US" w:eastAsia="zh-CN"/>
        </w:rPr>
        <w:t>表5大气污染物特别排放限值要求。</w:t>
      </w:r>
    </w:p>
    <w:p w14:paraId="3777F8D1">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w:t>
      </w:r>
      <w:r>
        <w:rPr>
          <w:rFonts w:hint="eastAsia" w:cs="Times New Roman"/>
          <w:caps w:val="0"/>
          <w:snapToGrid/>
          <w:color w:val="auto"/>
          <w:spacing w:val="0"/>
          <w:w w:val="100"/>
          <w:kern w:val="0"/>
          <w:position w:val="0"/>
          <w:szCs w:val="24"/>
          <w:highlight w:val="none"/>
          <w:lang w:val="en-US" w:eastAsia="zh-CN"/>
        </w:rPr>
        <w:t>3</w:t>
      </w:r>
      <w:r>
        <w:rPr>
          <w:rFonts w:hint="default" w:ascii="Times New Roman" w:hAnsi="Times New Roman" w:eastAsia="宋体" w:cs="Times New Roman"/>
          <w:caps w:val="0"/>
          <w:snapToGrid/>
          <w:color w:val="auto"/>
          <w:spacing w:val="0"/>
          <w:w w:val="100"/>
          <w:kern w:val="0"/>
          <w:position w:val="0"/>
          <w:szCs w:val="24"/>
          <w:highlight w:val="none"/>
          <w:lang w:val="en-US" w:eastAsia="zh-CN"/>
        </w:rPr>
        <w:t>）无组织废气达标分析</w:t>
      </w:r>
    </w:p>
    <w:p w14:paraId="28BBAD6D">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项目厂房内无组织排放的废气主要采取源头控制、加强通风等措施减少无组织废气排放影响，根据大气影响分析中预测分析，项目厂界颗粒物、非甲烷总烃排放均能满足</w:t>
      </w:r>
      <w:r>
        <w:rPr>
          <w:rFonts w:hint="eastAsia" w:cs="Times New Roman"/>
          <w:caps w:val="0"/>
          <w:snapToGrid/>
          <w:color w:val="auto"/>
          <w:spacing w:val="0"/>
          <w:w w:val="100"/>
          <w:kern w:val="0"/>
          <w:position w:val="0"/>
          <w:szCs w:val="24"/>
          <w:highlight w:val="none"/>
          <w:lang w:val="en-US" w:eastAsia="zh-CN"/>
        </w:rPr>
        <w:t>《合成树脂工业污染物排放标准》（GB31572-2015）（含2024年修改单）</w:t>
      </w:r>
      <w:r>
        <w:rPr>
          <w:rFonts w:hint="default" w:ascii="Times New Roman" w:hAnsi="Times New Roman" w:eastAsia="宋体" w:cs="Times New Roman"/>
          <w:caps w:val="0"/>
          <w:snapToGrid/>
          <w:color w:val="auto"/>
          <w:spacing w:val="0"/>
          <w:w w:val="100"/>
          <w:kern w:val="0"/>
          <w:position w:val="0"/>
          <w:szCs w:val="24"/>
          <w:highlight w:val="none"/>
          <w:lang w:val="en-US" w:eastAsia="zh-CN"/>
        </w:rPr>
        <w:t>表9排放限值要求。</w:t>
      </w:r>
    </w:p>
    <w:p w14:paraId="2F54490B">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w:t>
      </w:r>
      <w:r>
        <w:rPr>
          <w:rFonts w:hint="eastAsia" w:cs="Times New Roman"/>
          <w:caps w:val="0"/>
          <w:snapToGrid/>
          <w:color w:val="auto"/>
          <w:spacing w:val="0"/>
          <w:w w:val="100"/>
          <w:kern w:val="0"/>
          <w:position w:val="0"/>
          <w:szCs w:val="24"/>
          <w:highlight w:val="none"/>
          <w:lang w:val="en-US" w:eastAsia="zh-CN"/>
        </w:rPr>
        <w:t>4</w:t>
      </w:r>
      <w:r>
        <w:rPr>
          <w:rFonts w:hint="default" w:ascii="Times New Roman" w:hAnsi="Times New Roman" w:eastAsia="宋体" w:cs="Times New Roman"/>
          <w:caps w:val="0"/>
          <w:snapToGrid/>
          <w:color w:val="auto"/>
          <w:spacing w:val="0"/>
          <w:w w:val="100"/>
          <w:kern w:val="0"/>
          <w:position w:val="0"/>
          <w:szCs w:val="24"/>
          <w:highlight w:val="none"/>
          <w:lang w:val="en-US" w:eastAsia="zh-CN"/>
        </w:rPr>
        <w:t>）厂区内有机废气达标分析</w:t>
      </w:r>
    </w:p>
    <w:p w14:paraId="5C3FF83B">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针对厂区内无组织排放的有机废气，其主要影响车间室内环境空气，建设单位通过在生产车间顶部设置换气扇将废气引风排出，做好车间通风换气工作以改善空气环境；同时加强操作工人的自我防护，配备必要的劳保用品（口罩、眼镜等），并严格按照相关劳动规范作业，以尽量减轻废气排放对环境空气及员工健康的影响。采取上述措施后，厂区内无组织有机废气排放满足《挥发性有机物无组织排放控制标准》（GB37822-2019）附录A.1中特别排放限值要求。</w:t>
      </w:r>
    </w:p>
    <w:p w14:paraId="165EE146">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同时根据在企业日常运营过程中，需加强以下内容：</w:t>
      </w:r>
    </w:p>
    <w:p w14:paraId="4D2F260E">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a.企业应建立台账，记录含VOCs原辅材料和含VOCs产品的名称、使用量，回收量、废弃量、去向以及VOCs含量等信息，台账保存期限不少于3年。</w:t>
      </w:r>
    </w:p>
    <w:p w14:paraId="2186A699">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b.通风生产设备、操作工位、车间厂房等应在符合安全生产、职业卫生相关规定的前提下，根据行业作业规程与标准、工业建筑及洁净厂房通风设计规范等的要求，采用合理的通风量。</w:t>
      </w:r>
    </w:p>
    <w:p w14:paraId="2F91B548">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c.项目生产过程均为封闭式车间，且有防风防雨、防火措施。</w:t>
      </w:r>
    </w:p>
    <w:p w14:paraId="7CCF05CB">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olor w:val="auto"/>
          <w:spacing w:val="0"/>
          <w:w w:val="100"/>
          <w:kern w:val="0"/>
          <w:position w:val="0"/>
          <w:highlight w:val="none"/>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在采取以上措施后，项目厂区内无组织排放的挥发性有机物不会对区域产生影响。</w:t>
      </w:r>
    </w:p>
    <w:p w14:paraId="70517322">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根据非正常状态下产生的废气预测浓度可知，在非正常状态下，排放浓度主要由无组织排放贡献，因此项目运营期应加强管理，为杜绝和避免超标排放，应采取以下措施：</w:t>
      </w:r>
    </w:p>
    <w:p w14:paraId="0F8C1B88">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①环保设施需设专人管理及专人维护；</w:t>
      </w:r>
    </w:p>
    <w:p w14:paraId="4E4C86CC">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②定期对各项环保设施检修，对易损部件，应备件充足，随时可以更换，对于定期更换的吸附剂、催化剂等，应如期及时更换，确保其正常工作，处理效率满足要求；</w:t>
      </w:r>
    </w:p>
    <w:p w14:paraId="1318D60E">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olor w:val="auto"/>
          <w:spacing w:val="0"/>
          <w:w w:val="100"/>
          <w:kern w:val="0"/>
          <w:position w:val="0"/>
          <w:highlight w:val="none"/>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③一旦废气处理设施故障，必须立即停产，及时修理恢复。</w:t>
      </w:r>
    </w:p>
    <w:p w14:paraId="57557B8C">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534" w:name="_Toc1001"/>
      <w:r>
        <w:rPr>
          <w:rFonts w:hint="default"/>
          <w:color w:val="auto"/>
          <w:spacing w:val="0"/>
          <w:w w:val="100"/>
          <w:position w:val="0"/>
          <w:highlight w:val="none"/>
          <w:lang w:val="en-US" w:eastAsia="zh-CN"/>
        </w:rPr>
        <w:t>6.2.1.</w:t>
      </w:r>
      <w:r>
        <w:rPr>
          <w:rFonts w:hint="eastAsia"/>
          <w:color w:val="auto"/>
          <w:spacing w:val="0"/>
          <w:w w:val="100"/>
          <w:position w:val="0"/>
          <w:highlight w:val="none"/>
          <w:lang w:val="en-US" w:eastAsia="zh-CN"/>
        </w:rPr>
        <w:t>4</w:t>
      </w:r>
      <w:r>
        <w:rPr>
          <w:rFonts w:hint="default"/>
          <w:color w:val="auto"/>
          <w:spacing w:val="0"/>
          <w:w w:val="100"/>
          <w:position w:val="0"/>
          <w:highlight w:val="none"/>
          <w:lang w:val="en-US" w:eastAsia="zh-CN"/>
        </w:rPr>
        <w:t>废气污染防治设施的运行和维护方案</w:t>
      </w:r>
      <w:bookmarkEnd w:id="534"/>
    </w:p>
    <w:p w14:paraId="0B158BEE">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（1）设备运行规定</w:t>
      </w:r>
    </w:p>
    <w:p w14:paraId="39BAD01C">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①废气污染防治设施须与主体生产设备同时运行；由于紧急事故或设备维修等原因造成设备停止运行时，应立即报告当地生态环境主管部门。</w:t>
      </w:r>
    </w:p>
    <w:p w14:paraId="45DF3272">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②设备正常运行中须确保废气排放符合污染物排放标准要求。</w:t>
      </w:r>
    </w:p>
    <w:p w14:paraId="28FF3A92">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③主体生产设备与废气污染防治设施均不可超负荷运行。</w:t>
      </w:r>
    </w:p>
    <w:p w14:paraId="7F676D2B">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④企业应建立健全废气污染防治设施相关的规章制度，以及运行、维护和操作规程，建立主体生产设备和废气污染防治设施运行状况的台账制度。</w:t>
      </w:r>
    </w:p>
    <w:p w14:paraId="524730C1">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（2）人员和运行管理</w:t>
      </w:r>
    </w:p>
    <w:p w14:paraId="74340275">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①废气污染防治设施须纳入生产管理中，并配备专业的管理人员和技术人员。</w:t>
      </w:r>
    </w:p>
    <w:p w14:paraId="09508F13">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②在废气污染防治设施启用前，建设单位应对管理和运行人员进行培训，使管理和运行人员掌握废气污染防治设施及其他附属设施的具体操作和应急情况下的处理措施。</w:t>
      </w:r>
    </w:p>
    <w:p w14:paraId="2DBBA0AA">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③建设单位应建立废气污染防治设施运行状况、维护等记录制度。</w:t>
      </w:r>
    </w:p>
    <w:p w14:paraId="261FC4A3">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④运行人员应遵守建设单位规定的巡视制度和交接班制度</w:t>
      </w:r>
    </w:p>
    <w:p w14:paraId="0A361271">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（3）废气污染防治设施的维护</w:t>
      </w:r>
    </w:p>
    <w:p w14:paraId="44088869">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①废气污染防治设施的维护须纳入全厂的设备维护计划中。</w:t>
      </w:r>
    </w:p>
    <w:p w14:paraId="511C9C19">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r>
        <w:rPr>
          <w:rFonts w:hint="default"/>
          <w:color w:val="auto"/>
          <w:spacing w:val="0"/>
          <w:w w:val="100"/>
          <w:position w:val="0"/>
          <w:highlight w:val="none"/>
          <w:lang w:val="en-US" w:eastAsia="zh-CN"/>
        </w:rPr>
        <w:t>②维护人员应根据计划定期检查、维护和更换必要的部件和材料，并做好相关记录工作，确保污染物可长期稳定达标排放。</w:t>
      </w:r>
      <w:bookmarkEnd w:id="532"/>
    </w:p>
    <w:bookmarkEnd w:id="525"/>
    <w:bookmarkEnd w:id="526"/>
    <w:bookmarkEnd w:id="527"/>
    <w:bookmarkEnd w:id="528"/>
    <w:p w14:paraId="6A9D9CCA">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535" w:name="_Toc3713"/>
      <w:bookmarkStart w:id="536" w:name="_Toc1829"/>
      <w:r>
        <w:rPr>
          <w:rFonts w:hint="default"/>
          <w:color w:val="auto"/>
          <w:spacing w:val="0"/>
          <w:w w:val="100"/>
          <w:position w:val="0"/>
          <w:highlight w:val="none"/>
          <w:lang w:val="en-US" w:eastAsia="zh-CN"/>
        </w:rPr>
        <w:t>6.2.2废水防治措施分析</w:t>
      </w:r>
      <w:bookmarkEnd w:id="535"/>
      <w:bookmarkEnd w:id="536"/>
    </w:p>
    <w:p w14:paraId="272BD2F0">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cs="Times New Roman" w:eastAsiaTheme="minorEastAsia"/>
          <w:color w:val="auto"/>
          <w:spacing w:val="0"/>
          <w:w w:val="100"/>
          <w:position w:val="0"/>
          <w:sz w:val="24"/>
          <w:highlight w:val="none"/>
          <w:lang w:val="en-US" w:eastAsia="zh-CN"/>
        </w:rPr>
      </w:pPr>
      <w:r>
        <w:rPr>
          <w:rFonts w:hint="eastAsia" w:cs="Times New Roman"/>
          <w:caps w:val="0"/>
          <w:snapToGrid/>
          <w:color w:val="auto"/>
          <w:spacing w:val="0"/>
          <w:w w:val="100"/>
          <w:kern w:val="0"/>
          <w:position w:val="0"/>
          <w:szCs w:val="24"/>
          <w:highlight w:val="none"/>
          <w:lang w:val="en-US" w:eastAsia="zh-CN"/>
        </w:rPr>
        <w:t>本项目生产废水循环使用不外排，</w:t>
      </w:r>
      <w:r>
        <w:rPr>
          <w:rFonts w:hint="default" w:ascii="Times New Roman" w:hAnsi="Times New Roman" w:cs="Times New Roman" w:eastAsiaTheme="minorEastAsia"/>
          <w:color w:val="auto"/>
          <w:spacing w:val="0"/>
          <w:w w:val="100"/>
          <w:position w:val="0"/>
          <w:sz w:val="24"/>
          <w:highlight w:val="none"/>
          <w:lang w:val="en-US" w:eastAsia="zh-CN"/>
        </w:rPr>
        <w:t>生活污水满足《污水综合排放标准》（GB8978-1996）三级标准要求</w:t>
      </w:r>
      <w:r>
        <w:rPr>
          <w:rFonts w:hint="eastAsia" w:eastAsia="宋体"/>
          <w:color w:val="auto"/>
          <w:spacing w:val="0"/>
          <w:w w:val="100"/>
          <w:position w:val="0"/>
          <w:highlight w:val="none"/>
          <w:lang w:val="en-US" w:eastAsia="zh-CN"/>
        </w:rPr>
        <w:t>及《污水排入城镇下水道水质标准》（</w:t>
      </w:r>
      <w:r>
        <w:rPr>
          <w:rFonts w:hint="default" w:eastAsia="宋体"/>
          <w:color w:val="auto"/>
          <w:spacing w:val="0"/>
          <w:w w:val="100"/>
          <w:position w:val="0"/>
          <w:highlight w:val="none"/>
          <w:lang w:val="en-US" w:eastAsia="zh-CN"/>
        </w:rPr>
        <w:t>GB/T31962-2015</w:t>
      </w:r>
      <w:r>
        <w:rPr>
          <w:rFonts w:hint="eastAsia" w:eastAsia="宋体"/>
          <w:color w:val="auto"/>
          <w:spacing w:val="0"/>
          <w:w w:val="100"/>
          <w:position w:val="0"/>
          <w:highlight w:val="none"/>
          <w:lang w:val="en-US" w:eastAsia="zh-CN"/>
        </w:rPr>
        <w:t>）中</w:t>
      </w:r>
      <w:r>
        <w:rPr>
          <w:rFonts w:hint="default" w:eastAsia="宋体"/>
          <w:color w:val="auto"/>
          <w:spacing w:val="0"/>
          <w:w w:val="100"/>
          <w:position w:val="0"/>
          <w:highlight w:val="none"/>
          <w:lang w:val="en-US" w:eastAsia="zh-CN"/>
        </w:rPr>
        <w:t>NH</w:t>
      </w:r>
      <w:r>
        <w:rPr>
          <w:rFonts w:hint="default" w:eastAsia="宋体"/>
          <w:color w:val="auto"/>
          <w:spacing w:val="0"/>
          <w:w w:val="100"/>
          <w:position w:val="0"/>
          <w:highlight w:val="none"/>
          <w:vertAlign w:val="subscript"/>
          <w:lang w:val="en-US" w:eastAsia="zh-CN"/>
        </w:rPr>
        <w:t>3</w:t>
      </w:r>
      <w:r>
        <w:rPr>
          <w:rFonts w:hint="default" w:eastAsia="宋体"/>
          <w:color w:val="auto"/>
          <w:spacing w:val="0"/>
          <w:w w:val="100"/>
          <w:position w:val="0"/>
          <w:highlight w:val="none"/>
          <w:lang w:val="en-US" w:eastAsia="zh-CN"/>
        </w:rPr>
        <w:t>-N</w:t>
      </w:r>
      <w:r>
        <w:rPr>
          <w:rFonts w:hint="eastAsia" w:eastAsia="宋体"/>
          <w:color w:val="auto"/>
          <w:spacing w:val="0"/>
          <w:w w:val="100"/>
          <w:position w:val="0"/>
          <w:highlight w:val="none"/>
          <w:lang w:val="en-US" w:eastAsia="zh-CN"/>
        </w:rPr>
        <w:t>最高允许值</w:t>
      </w:r>
      <w:r>
        <w:rPr>
          <w:rFonts w:hint="default" w:eastAsia="宋体"/>
          <w:color w:val="auto"/>
          <w:spacing w:val="0"/>
          <w:w w:val="100"/>
          <w:position w:val="0"/>
          <w:highlight w:val="none"/>
          <w:lang w:val="en-US" w:eastAsia="zh-CN"/>
        </w:rPr>
        <w:t>B</w:t>
      </w:r>
      <w:r>
        <w:rPr>
          <w:rFonts w:hint="eastAsia" w:eastAsia="宋体"/>
          <w:color w:val="auto"/>
          <w:spacing w:val="0"/>
          <w:w w:val="100"/>
          <w:position w:val="0"/>
          <w:highlight w:val="none"/>
          <w:lang w:val="en-US" w:eastAsia="zh-CN"/>
        </w:rPr>
        <w:t>级标准</w:t>
      </w:r>
      <w:r>
        <w:rPr>
          <w:rFonts w:hint="default" w:eastAsia="宋体"/>
          <w:color w:val="auto"/>
          <w:spacing w:val="0"/>
          <w:w w:val="100"/>
          <w:position w:val="0"/>
          <w:highlight w:val="none"/>
          <w:lang w:val="en-US" w:eastAsia="zh-CN"/>
        </w:rPr>
        <w:t>45mg/L</w:t>
      </w:r>
      <w:r>
        <w:rPr>
          <w:rFonts w:hint="default" w:ascii="Times New Roman" w:hAnsi="Times New Roman" w:cs="Times New Roman" w:eastAsiaTheme="minorEastAsia"/>
          <w:color w:val="auto"/>
          <w:spacing w:val="0"/>
          <w:w w:val="100"/>
          <w:position w:val="0"/>
          <w:sz w:val="24"/>
          <w:highlight w:val="none"/>
          <w:lang w:val="en-US" w:eastAsia="zh-CN"/>
        </w:rPr>
        <w:t>，排入园区污水管网，最终进入</w:t>
      </w:r>
      <w:r>
        <w:rPr>
          <w:rFonts w:hint="eastAsia" w:cs="Times New Roman" w:eastAsiaTheme="minorEastAsia"/>
          <w:color w:val="auto"/>
          <w:spacing w:val="0"/>
          <w:w w:val="100"/>
          <w:position w:val="0"/>
          <w:sz w:val="24"/>
          <w:highlight w:val="none"/>
          <w:lang w:val="en-US" w:eastAsia="zh-CN"/>
        </w:rPr>
        <w:t>阜西区污水处理厂</w:t>
      </w:r>
      <w:r>
        <w:rPr>
          <w:rFonts w:hint="eastAsia" w:ascii="Times New Roman" w:hAnsi="Times New Roman" w:cs="Times New Roman" w:eastAsiaTheme="minorEastAsia"/>
          <w:color w:val="auto"/>
          <w:spacing w:val="0"/>
          <w:w w:val="100"/>
          <w:position w:val="0"/>
          <w:sz w:val="24"/>
          <w:highlight w:val="none"/>
          <w:lang w:val="en-US" w:eastAsia="zh-CN"/>
        </w:rPr>
        <w:t>处理</w:t>
      </w:r>
      <w:r>
        <w:rPr>
          <w:rFonts w:hint="default" w:ascii="Times New Roman" w:hAnsi="Times New Roman" w:cs="Times New Roman" w:eastAsiaTheme="minorEastAsia"/>
          <w:color w:val="auto"/>
          <w:spacing w:val="0"/>
          <w:w w:val="100"/>
          <w:position w:val="0"/>
          <w:sz w:val="24"/>
          <w:highlight w:val="none"/>
          <w:lang w:val="en-US" w:eastAsia="zh-CN"/>
        </w:rPr>
        <w:t>。</w:t>
      </w:r>
    </w:p>
    <w:p w14:paraId="44928D8D">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eastAsia="宋体"/>
          <w:color w:val="auto"/>
          <w:spacing w:val="0"/>
          <w:w w:val="100"/>
          <w:kern w:val="24"/>
          <w:position w:val="0"/>
          <w:sz w:val="24"/>
          <w:szCs w:val="24"/>
          <w:highlight w:val="none"/>
          <w:lang w:val="en-US" w:eastAsia="zh-CN"/>
        </w:rPr>
      </w:pPr>
      <w:r>
        <w:rPr>
          <w:rFonts w:hint="eastAsia"/>
          <w:color w:val="auto"/>
          <w:spacing w:val="0"/>
          <w:w w:val="100"/>
          <w:kern w:val="24"/>
          <w:position w:val="0"/>
          <w:sz w:val="24"/>
          <w:szCs w:val="24"/>
          <w:highlight w:val="none"/>
          <w:lang w:val="en-US" w:eastAsia="zh-CN"/>
        </w:rPr>
        <w:t>污水处理厂依托可行性分析</w:t>
      </w:r>
    </w:p>
    <w:p w14:paraId="29A5E4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outlineLvl w:val="9"/>
        <w:rPr>
          <w:rFonts w:hint="default" w:ascii="Times New Roman" w:hAnsi="Times New Roman" w:eastAsia="宋体" w:cs="Times New Roman"/>
          <w:color w:val="auto"/>
          <w:spacing w:val="0"/>
          <w:w w:val="100"/>
          <w:kern w:val="24"/>
          <w:position w:val="0"/>
          <w:sz w:val="24"/>
          <w:highlight w:val="none"/>
        </w:rPr>
      </w:pPr>
      <w:r>
        <w:rPr>
          <w:rFonts w:hint="default" w:ascii="Times New Roman" w:hAnsi="Times New Roman" w:eastAsia="宋体" w:cs="Times New Roman"/>
          <w:color w:val="auto"/>
          <w:spacing w:val="0"/>
          <w:w w:val="100"/>
          <w:kern w:val="24"/>
          <w:position w:val="0"/>
          <w:sz w:val="24"/>
          <w:highlight w:val="none"/>
        </w:rPr>
        <w:t>阜西区污水处理厂</w:t>
      </w:r>
      <w:r>
        <w:rPr>
          <w:rFonts w:hint="eastAsia" w:cs="Times New Roman"/>
          <w:color w:val="auto"/>
          <w:spacing w:val="0"/>
          <w:w w:val="100"/>
          <w:kern w:val="24"/>
          <w:position w:val="0"/>
          <w:sz w:val="24"/>
          <w:highlight w:val="none"/>
          <w:lang w:val="en-US" w:eastAsia="zh-CN"/>
        </w:rPr>
        <w:t>于</w:t>
      </w:r>
      <w:r>
        <w:rPr>
          <w:rFonts w:hint="default" w:ascii="Times New Roman" w:hAnsi="Times New Roman" w:eastAsia="宋体" w:cs="Times New Roman"/>
          <w:color w:val="auto"/>
          <w:spacing w:val="0"/>
          <w:w w:val="100"/>
          <w:kern w:val="24"/>
          <w:position w:val="0"/>
          <w:sz w:val="24"/>
          <w:highlight w:val="none"/>
        </w:rPr>
        <w:t>2016年6月取得《关于阜康市西部城区污水处理厂及配套管网工程环境影响报告书的批复》（新环函〔2016〕680号），于2016年建成，2018年5月31日完成验收，阜西区污水处理厂采用较为先进的污水处理工艺，水解酸化+A2/O+MBR膜池，其设计规模为5万立方米/日，目前日处理规模达到2万立方米/日，园区下水管网均已敷设完毕，各企业内排水管网与园区主下水管网接通后即可排水。根据实地调查，目前项目区污水管网已经铺设完毕，阜西区污水处理厂已投入运营，经处理后的污水水质满足《城镇污水处理厂污染物排放标准》（GB18918-2002）一级 A 排放标准，目前仍有充足容量，因此本项目生活污水依托园区排水管网进入阜康市西部城区污水处理厂处理合理、可行。</w:t>
      </w:r>
    </w:p>
    <w:p w14:paraId="0303954E">
      <w:pPr>
        <w:keepNext w:val="0"/>
        <w:keepLines w:val="0"/>
        <w:pageBreakBefore w:val="0"/>
        <w:widowControl w:val="0"/>
        <w:tabs>
          <w:tab w:val="left" w:pos="4948"/>
        </w:tabs>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综上</w:t>
      </w:r>
      <w:r>
        <w:rPr>
          <w:rFonts w:hint="eastAsia" w:ascii="Times New Roman" w:hAnsi="Times New Roman" w:eastAsia="宋体" w:cs="Times New Roman"/>
          <w:color w:val="auto"/>
          <w:spacing w:val="0"/>
          <w:w w:val="100"/>
          <w:position w:val="0"/>
          <w:sz w:val="24"/>
          <w:highlight w:val="none"/>
          <w:lang w:eastAsia="zh-CN"/>
        </w:rPr>
        <w:t>，</w:t>
      </w:r>
      <w:r>
        <w:rPr>
          <w:rFonts w:hint="default" w:ascii="Times New Roman" w:hAnsi="Times New Roman" w:eastAsia="宋体" w:cs="Times New Roman"/>
          <w:color w:val="auto"/>
          <w:spacing w:val="0"/>
          <w:w w:val="100"/>
          <w:position w:val="0"/>
          <w:sz w:val="24"/>
          <w:highlight w:val="none"/>
        </w:rPr>
        <w:t>本项目生产废水</w:t>
      </w:r>
      <w:r>
        <w:rPr>
          <w:rFonts w:hint="eastAsia" w:ascii="Times New Roman" w:hAnsi="Times New Roman" w:eastAsia="宋体" w:cs="Times New Roman"/>
          <w:color w:val="auto"/>
          <w:spacing w:val="0"/>
          <w:w w:val="100"/>
          <w:position w:val="0"/>
          <w:sz w:val="24"/>
          <w:highlight w:val="none"/>
          <w:lang w:val="en-US" w:eastAsia="zh-CN"/>
        </w:rPr>
        <w:t>和</w:t>
      </w:r>
      <w:r>
        <w:rPr>
          <w:rFonts w:hint="eastAsia" w:cs="Times New Roman"/>
          <w:color w:val="auto"/>
          <w:spacing w:val="0"/>
          <w:w w:val="100"/>
          <w:position w:val="0"/>
          <w:sz w:val="24"/>
          <w:highlight w:val="none"/>
          <w:lang w:val="en-US" w:eastAsia="zh-CN"/>
        </w:rPr>
        <w:t>生活污水</w:t>
      </w:r>
      <w:r>
        <w:rPr>
          <w:rFonts w:hint="default" w:ascii="Times New Roman" w:hAnsi="Times New Roman" w:eastAsia="宋体" w:cs="Times New Roman"/>
          <w:color w:val="auto"/>
          <w:spacing w:val="0"/>
          <w:w w:val="100"/>
          <w:position w:val="0"/>
          <w:sz w:val="24"/>
          <w:highlight w:val="none"/>
        </w:rPr>
        <w:t>经排水管区进入</w:t>
      </w:r>
      <w:r>
        <w:rPr>
          <w:rFonts w:hint="eastAsia"/>
          <w:b w:val="0"/>
          <w:bCs/>
          <w:color w:val="auto"/>
          <w:spacing w:val="0"/>
          <w:w w:val="100"/>
          <w:kern w:val="2"/>
          <w:position w:val="0"/>
          <w:highlight w:val="none"/>
          <w:lang w:eastAsia="zh-CN"/>
        </w:rPr>
        <w:t>甘泉堡工业园区中小微企业创新区</w:t>
      </w:r>
      <w:r>
        <w:rPr>
          <w:rFonts w:hint="default" w:ascii="Times New Roman" w:hAnsi="Times New Roman" w:eastAsia="宋体" w:cs="Times New Roman"/>
          <w:color w:val="auto"/>
          <w:spacing w:val="0"/>
          <w:w w:val="100"/>
          <w:position w:val="0"/>
          <w:sz w:val="24"/>
          <w:highlight w:val="none"/>
        </w:rPr>
        <w:t>，去向合理，不会对周围水环境产生明显不利影响，措施可行。</w:t>
      </w:r>
    </w:p>
    <w:p w14:paraId="558B881E">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537" w:name="_Toc16926"/>
      <w:bookmarkStart w:id="538" w:name="_Toc1098"/>
      <w:bookmarkStart w:id="539" w:name="_Toc17459"/>
      <w:bookmarkStart w:id="540" w:name="_Toc26830"/>
      <w:bookmarkStart w:id="541" w:name="_Toc29985"/>
      <w:bookmarkStart w:id="542" w:name="_Toc27969"/>
      <w:r>
        <w:rPr>
          <w:rFonts w:hint="default"/>
          <w:color w:val="auto"/>
          <w:spacing w:val="0"/>
          <w:w w:val="100"/>
          <w:position w:val="0"/>
          <w:highlight w:val="none"/>
          <w:lang w:val="en-US" w:eastAsia="zh-CN"/>
        </w:rPr>
        <w:t>6.2.3地下水污染防治措施</w:t>
      </w:r>
      <w:bookmarkEnd w:id="537"/>
      <w:bookmarkEnd w:id="538"/>
      <w:bookmarkEnd w:id="539"/>
      <w:bookmarkEnd w:id="540"/>
      <w:bookmarkEnd w:id="541"/>
      <w:bookmarkEnd w:id="542"/>
    </w:p>
    <w:p w14:paraId="75E8FE93">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543" w:name="_Toc24027"/>
      <w:r>
        <w:rPr>
          <w:rFonts w:hint="default"/>
          <w:color w:val="auto"/>
          <w:spacing w:val="0"/>
          <w:w w:val="100"/>
          <w:position w:val="0"/>
          <w:highlight w:val="none"/>
          <w:lang w:val="en-US" w:eastAsia="zh-CN"/>
        </w:rPr>
        <w:t>6.2.3.1源头防控措施</w:t>
      </w:r>
      <w:bookmarkEnd w:id="543"/>
    </w:p>
    <w:p w14:paraId="20823A76">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rPr>
      </w:pPr>
      <w:r>
        <w:rPr>
          <w:rFonts w:hint="default" w:ascii="Times New Roman" w:hAnsi="Times New Roman" w:eastAsia="宋体" w:cs="Times New Roman"/>
          <w:caps w:val="0"/>
          <w:snapToGrid/>
          <w:color w:val="auto"/>
          <w:spacing w:val="0"/>
          <w:w w:val="100"/>
          <w:kern w:val="0"/>
          <w:position w:val="0"/>
          <w:highlight w:val="none"/>
        </w:rPr>
        <w:t>源头控制措施：主要包括</w:t>
      </w:r>
      <w:r>
        <w:rPr>
          <w:rFonts w:hint="default" w:ascii="Times New Roman" w:hAnsi="Times New Roman" w:eastAsia="宋体" w:cs="Times New Roman"/>
          <w:caps w:val="0"/>
          <w:snapToGrid/>
          <w:color w:val="auto"/>
          <w:spacing w:val="0"/>
          <w:w w:val="100"/>
          <w:kern w:val="0"/>
          <w:position w:val="0"/>
          <w:highlight w:val="none"/>
          <w:lang w:eastAsia="zh-CN"/>
        </w:rPr>
        <w:t>危废贮存库</w:t>
      </w:r>
      <w:r>
        <w:rPr>
          <w:rFonts w:hint="default" w:ascii="Times New Roman" w:hAnsi="Times New Roman" w:eastAsia="宋体" w:cs="Times New Roman"/>
          <w:caps w:val="0"/>
          <w:snapToGrid/>
          <w:color w:val="auto"/>
          <w:spacing w:val="0"/>
          <w:w w:val="100"/>
          <w:kern w:val="0"/>
          <w:position w:val="0"/>
          <w:highlight w:val="none"/>
        </w:rPr>
        <w:t>、</w:t>
      </w:r>
      <w:r>
        <w:rPr>
          <w:rFonts w:hint="eastAsia" w:cs="Times New Roman"/>
          <w:caps w:val="0"/>
          <w:snapToGrid/>
          <w:color w:val="auto"/>
          <w:spacing w:val="0"/>
          <w:w w:val="100"/>
          <w:kern w:val="0"/>
          <w:position w:val="0"/>
          <w:highlight w:val="none"/>
          <w:lang w:val="en-US" w:eastAsia="zh-CN"/>
        </w:rPr>
        <w:t>生产车间</w:t>
      </w:r>
      <w:r>
        <w:rPr>
          <w:rFonts w:hint="default" w:ascii="Times New Roman" w:hAnsi="Times New Roman" w:eastAsia="宋体" w:cs="Times New Roman"/>
          <w:caps w:val="0"/>
          <w:snapToGrid/>
          <w:color w:val="auto"/>
          <w:spacing w:val="0"/>
          <w:w w:val="100"/>
          <w:kern w:val="0"/>
          <w:position w:val="0"/>
          <w:highlight w:val="none"/>
        </w:rPr>
        <w:t>等采取相应措施，防止和降低污染物跑、冒、滴、漏，将污染物泄漏的环境风险事故降到最低程度。</w:t>
      </w:r>
    </w:p>
    <w:p w14:paraId="461B441A">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rPr>
      </w:pPr>
      <w:r>
        <w:rPr>
          <w:rFonts w:hint="default" w:ascii="Times New Roman" w:hAnsi="Times New Roman" w:eastAsia="宋体" w:cs="Times New Roman"/>
          <w:caps w:val="0"/>
          <w:snapToGrid/>
          <w:color w:val="auto"/>
          <w:spacing w:val="0"/>
          <w:w w:val="100"/>
          <w:kern w:val="0"/>
          <w:position w:val="0"/>
          <w:highlight w:val="none"/>
        </w:rPr>
        <w:t>本项目评价区包气带防污性能一般，在制订防渗措施时要从严要求。地面防渗措施，主要包括</w:t>
      </w:r>
      <w:r>
        <w:rPr>
          <w:rFonts w:hint="eastAsia" w:cs="Times New Roman"/>
          <w:caps w:val="0"/>
          <w:snapToGrid/>
          <w:color w:val="auto"/>
          <w:spacing w:val="0"/>
          <w:w w:val="100"/>
          <w:kern w:val="0"/>
          <w:position w:val="0"/>
          <w:highlight w:val="none"/>
          <w:lang w:val="en-US" w:eastAsia="zh-CN"/>
        </w:rPr>
        <w:t>生产车间</w:t>
      </w:r>
      <w:r>
        <w:rPr>
          <w:rFonts w:hint="default" w:ascii="Times New Roman" w:hAnsi="Times New Roman" w:eastAsia="宋体" w:cs="Times New Roman"/>
          <w:caps w:val="0"/>
          <w:snapToGrid/>
          <w:color w:val="auto"/>
          <w:spacing w:val="0"/>
          <w:w w:val="100"/>
          <w:kern w:val="0"/>
          <w:position w:val="0"/>
          <w:highlight w:val="none"/>
        </w:rPr>
        <w:t>、</w:t>
      </w:r>
      <w:r>
        <w:rPr>
          <w:rFonts w:hint="default" w:ascii="Times New Roman" w:hAnsi="Times New Roman" w:eastAsia="宋体" w:cs="Times New Roman"/>
          <w:caps w:val="0"/>
          <w:snapToGrid/>
          <w:color w:val="auto"/>
          <w:spacing w:val="0"/>
          <w:w w:val="100"/>
          <w:kern w:val="0"/>
          <w:position w:val="0"/>
          <w:highlight w:val="none"/>
          <w:lang w:eastAsia="zh-CN"/>
        </w:rPr>
        <w:t>危废贮存库</w:t>
      </w:r>
      <w:r>
        <w:rPr>
          <w:rFonts w:hint="default" w:ascii="Times New Roman" w:hAnsi="Times New Roman" w:eastAsia="宋体" w:cs="Times New Roman"/>
          <w:caps w:val="0"/>
          <w:snapToGrid/>
          <w:color w:val="auto"/>
          <w:spacing w:val="0"/>
          <w:w w:val="100"/>
          <w:kern w:val="0"/>
          <w:position w:val="0"/>
          <w:highlight w:val="none"/>
        </w:rPr>
        <w:t>等的防渗措施。通过在污染区地面进行防渗处理，防止地面的污染物渗入地下。</w:t>
      </w:r>
    </w:p>
    <w:p w14:paraId="6F494E18">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544" w:name="_Toc3117"/>
      <w:r>
        <w:rPr>
          <w:rFonts w:hint="default"/>
          <w:color w:val="auto"/>
          <w:spacing w:val="0"/>
          <w:w w:val="100"/>
          <w:position w:val="0"/>
          <w:highlight w:val="none"/>
          <w:lang w:val="en-US" w:eastAsia="zh-CN"/>
        </w:rPr>
        <w:t>6.2.3.2分区防控措施</w:t>
      </w:r>
      <w:bookmarkEnd w:id="544"/>
    </w:p>
    <w:p w14:paraId="3A756B3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snapToGrid/>
          <w:color w:val="auto"/>
          <w:spacing w:val="0"/>
          <w:w w:val="100"/>
          <w:kern w:val="0"/>
          <w:position w:val="0"/>
          <w:sz w:val="24"/>
          <w:szCs w:val="24"/>
          <w:highlight w:val="none"/>
        </w:rPr>
      </w:pPr>
      <w:r>
        <w:rPr>
          <w:rFonts w:hint="default" w:ascii="Times New Roman" w:hAnsi="Times New Roman" w:eastAsia="宋体" w:cs="Times New Roman"/>
          <w:snapToGrid/>
          <w:color w:val="auto"/>
          <w:spacing w:val="0"/>
          <w:w w:val="100"/>
          <w:kern w:val="0"/>
          <w:position w:val="0"/>
          <w:sz w:val="24"/>
          <w:szCs w:val="24"/>
          <w:highlight w:val="none"/>
        </w:rPr>
        <w:t>《环境影响评价技术导则</w:t>
      </w:r>
      <w:r>
        <w:rPr>
          <w:rFonts w:hint="default" w:ascii="Times New Roman" w:hAnsi="Times New Roman" w:eastAsia="宋体" w:cs="Times New Roman"/>
          <w:snapToGrid/>
          <w:color w:val="auto"/>
          <w:spacing w:val="0"/>
          <w:w w:val="100"/>
          <w:kern w:val="0"/>
          <w:position w:val="0"/>
          <w:sz w:val="24"/>
          <w:szCs w:val="24"/>
          <w:highlight w:val="none"/>
          <w:lang w:val="en-US" w:eastAsia="zh-CN"/>
        </w:rPr>
        <w:t xml:space="preserve"> </w:t>
      </w:r>
      <w:r>
        <w:rPr>
          <w:rFonts w:hint="default" w:ascii="Times New Roman" w:hAnsi="Times New Roman" w:eastAsia="宋体" w:cs="Times New Roman"/>
          <w:snapToGrid/>
          <w:color w:val="auto"/>
          <w:spacing w:val="0"/>
          <w:w w:val="100"/>
          <w:kern w:val="0"/>
          <w:position w:val="0"/>
          <w:sz w:val="24"/>
          <w:szCs w:val="24"/>
          <w:highlight w:val="none"/>
        </w:rPr>
        <w:t>地下水环境》（HJ610-2016）将地下水污染防渗分区分为三个级别：重点防渗区、一般防渗区、简单防渗区，防渗分区判定如下：</w:t>
      </w:r>
    </w:p>
    <w:p w14:paraId="4CD21A9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0"/>
          <w:position w:val="0"/>
          <w:sz w:val="21"/>
          <w:szCs w:val="21"/>
          <w:highlight w:val="none"/>
        </w:rPr>
      </w:pPr>
      <w:r>
        <w:rPr>
          <w:rFonts w:hint="default" w:ascii="Times New Roman" w:hAnsi="Times New Roman" w:eastAsia="宋体" w:cs="Times New Roman"/>
          <w:b/>
          <w:bCs/>
          <w:snapToGrid/>
          <w:color w:val="auto"/>
          <w:spacing w:val="0"/>
          <w:w w:val="100"/>
          <w:kern w:val="28"/>
          <w:position w:val="0"/>
          <w:sz w:val="21"/>
          <w:szCs w:val="21"/>
          <w:highlight w:val="none"/>
        </w:rPr>
        <w:t>表</w:t>
      </w:r>
      <w:r>
        <w:rPr>
          <w:rFonts w:hint="eastAsia" w:ascii="Times New Roman" w:hAnsi="Times New Roman" w:eastAsia="宋体" w:cs="Times New Roman"/>
          <w:b/>
          <w:bCs/>
          <w:snapToGrid/>
          <w:color w:val="auto"/>
          <w:spacing w:val="0"/>
          <w:w w:val="100"/>
          <w:kern w:val="28"/>
          <w:position w:val="0"/>
          <w:sz w:val="21"/>
          <w:szCs w:val="21"/>
          <w:highlight w:val="none"/>
          <w:lang w:val="en-US" w:eastAsia="zh-CN"/>
        </w:rPr>
        <w:t xml:space="preserve">6.2.3-1  </w:t>
      </w:r>
      <w:r>
        <w:rPr>
          <w:rFonts w:hint="default" w:ascii="Times New Roman" w:hAnsi="Times New Roman" w:eastAsia="宋体" w:cs="Times New Roman"/>
          <w:b/>
          <w:bCs/>
          <w:snapToGrid/>
          <w:color w:val="auto"/>
          <w:spacing w:val="0"/>
          <w:w w:val="100"/>
          <w:kern w:val="28"/>
          <w:position w:val="0"/>
          <w:sz w:val="21"/>
          <w:szCs w:val="21"/>
          <w:highlight w:val="none"/>
        </w:rPr>
        <w:t>污染控制难易程度分级参照表</w:t>
      </w:r>
    </w:p>
    <w:tbl>
      <w:tblPr>
        <w:tblStyle w:val="36"/>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1025"/>
        <w:gridCol w:w="5902"/>
        <w:gridCol w:w="1488"/>
      </w:tblGrid>
      <w:tr w14:paraId="5F17AD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609" w:type="pct"/>
            <w:tcBorders>
              <w:tl2br w:val="nil"/>
              <w:tr2bl w:val="nil"/>
            </w:tcBorders>
            <w:noWrap w:val="0"/>
            <w:vAlign w:val="center"/>
          </w:tcPr>
          <w:p w14:paraId="5EAD87A5">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0"/>
                <w:position w:val="0"/>
                <w:sz w:val="21"/>
                <w:szCs w:val="21"/>
                <w:highlight w:val="none"/>
              </w:rPr>
            </w:pPr>
            <w:r>
              <w:rPr>
                <w:rFonts w:hint="default" w:ascii="Times New Roman" w:hAnsi="Times New Roman" w:eastAsia="宋体" w:cs="Times New Roman"/>
                <w:b/>
                <w:bCs/>
                <w:snapToGrid/>
                <w:color w:val="auto"/>
                <w:spacing w:val="0"/>
                <w:w w:val="100"/>
                <w:kern w:val="0"/>
                <w:position w:val="0"/>
                <w:sz w:val="21"/>
                <w:szCs w:val="21"/>
                <w:highlight w:val="none"/>
              </w:rPr>
              <w:t>污染控制难易程度</w:t>
            </w:r>
          </w:p>
        </w:tc>
        <w:tc>
          <w:tcPr>
            <w:tcW w:w="3506" w:type="pct"/>
            <w:tcBorders>
              <w:tl2br w:val="nil"/>
              <w:tr2bl w:val="nil"/>
            </w:tcBorders>
            <w:noWrap w:val="0"/>
            <w:vAlign w:val="center"/>
          </w:tcPr>
          <w:p w14:paraId="37AE48D4">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0"/>
                <w:position w:val="0"/>
                <w:sz w:val="21"/>
                <w:szCs w:val="21"/>
                <w:highlight w:val="none"/>
              </w:rPr>
            </w:pPr>
            <w:r>
              <w:rPr>
                <w:rFonts w:hint="default" w:ascii="Times New Roman" w:hAnsi="Times New Roman" w:eastAsia="宋体" w:cs="Times New Roman"/>
                <w:b/>
                <w:bCs/>
                <w:snapToGrid/>
                <w:color w:val="auto"/>
                <w:spacing w:val="0"/>
                <w:w w:val="100"/>
                <w:kern w:val="0"/>
                <w:position w:val="0"/>
                <w:sz w:val="21"/>
                <w:szCs w:val="21"/>
                <w:highlight w:val="none"/>
              </w:rPr>
              <w:t>污染物类型</w:t>
            </w:r>
          </w:p>
        </w:tc>
        <w:tc>
          <w:tcPr>
            <w:tcW w:w="884" w:type="pct"/>
            <w:tcBorders>
              <w:tl2br w:val="nil"/>
              <w:tr2bl w:val="nil"/>
            </w:tcBorders>
            <w:noWrap w:val="0"/>
            <w:vAlign w:val="center"/>
          </w:tcPr>
          <w:p w14:paraId="7C296FDA">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b/>
                <w:bCs/>
                <w:snapToGrid/>
                <w:color w:val="auto"/>
                <w:spacing w:val="0"/>
                <w:w w:val="100"/>
                <w:kern w:val="0"/>
                <w:position w:val="0"/>
                <w:sz w:val="21"/>
                <w:szCs w:val="21"/>
                <w:highlight w:val="none"/>
                <w:lang w:eastAsia="zh"/>
              </w:rPr>
            </w:pPr>
            <w:r>
              <w:rPr>
                <w:rFonts w:hint="eastAsia" w:ascii="Times New Roman" w:hAnsi="Times New Roman" w:eastAsia="宋体" w:cs="Times New Roman"/>
                <w:b/>
                <w:bCs/>
                <w:snapToGrid/>
                <w:color w:val="auto"/>
                <w:spacing w:val="0"/>
                <w:w w:val="100"/>
                <w:kern w:val="0"/>
                <w:position w:val="0"/>
                <w:sz w:val="21"/>
                <w:szCs w:val="21"/>
                <w:highlight w:val="none"/>
                <w:lang w:eastAsia="zh"/>
              </w:rPr>
              <w:t>本项目</w:t>
            </w:r>
          </w:p>
        </w:tc>
      </w:tr>
      <w:tr w14:paraId="39FE3F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609" w:type="pct"/>
            <w:tcBorders>
              <w:tl2br w:val="nil"/>
              <w:tr2bl w:val="nil"/>
            </w:tcBorders>
            <w:noWrap w:val="0"/>
            <w:vAlign w:val="center"/>
          </w:tcPr>
          <w:p w14:paraId="121AE509">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难</w:t>
            </w:r>
          </w:p>
        </w:tc>
        <w:tc>
          <w:tcPr>
            <w:tcW w:w="3506" w:type="pct"/>
            <w:tcBorders>
              <w:tl2br w:val="nil"/>
              <w:tr2bl w:val="nil"/>
            </w:tcBorders>
            <w:noWrap w:val="0"/>
            <w:vAlign w:val="center"/>
          </w:tcPr>
          <w:p w14:paraId="1ABDE324">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对地下水环境有污染的物料或污染物泄漏后，不能及时发现和处理</w:t>
            </w:r>
          </w:p>
        </w:tc>
        <w:tc>
          <w:tcPr>
            <w:tcW w:w="884" w:type="pct"/>
            <w:tcBorders>
              <w:tl2br w:val="nil"/>
              <w:tr2bl w:val="nil"/>
            </w:tcBorders>
            <w:noWrap w:val="0"/>
            <w:vAlign w:val="center"/>
          </w:tcPr>
          <w:p w14:paraId="6F8D235B">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snapToGrid/>
                <w:color w:val="auto"/>
                <w:spacing w:val="0"/>
                <w:w w:val="100"/>
                <w:kern w:val="0"/>
                <w:position w:val="0"/>
                <w:sz w:val="21"/>
                <w:szCs w:val="21"/>
                <w:highlight w:val="none"/>
                <w:lang w:eastAsia="zh"/>
              </w:rPr>
            </w:pPr>
            <w:r>
              <w:rPr>
                <w:rFonts w:hint="eastAsia" w:ascii="Times New Roman" w:hAnsi="Times New Roman" w:eastAsia="宋体" w:cs="Times New Roman"/>
                <w:snapToGrid/>
                <w:color w:val="auto"/>
                <w:spacing w:val="0"/>
                <w:w w:val="100"/>
                <w:kern w:val="0"/>
                <w:position w:val="0"/>
                <w:sz w:val="21"/>
                <w:szCs w:val="21"/>
                <w:highlight w:val="none"/>
                <w:lang w:eastAsia="zh"/>
              </w:rPr>
              <w:t>--</w:t>
            </w:r>
          </w:p>
        </w:tc>
      </w:tr>
      <w:tr w14:paraId="3B0FAD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609" w:type="pct"/>
            <w:tcBorders>
              <w:tl2br w:val="nil"/>
              <w:tr2bl w:val="nil"/>
            </w:tcBorders>
            <w:noWrap w:val="0"/>
            <w:vAlign w:val="center"/>
          </w:tcPr>
          <w:p w14:paraId="058C7FA1">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易</w:t>
            </w:r>
          </w:p>
        </w:tc>
        <w:tc>
          <w:tcPr>
            <w:tcW w:w="3506" w:type="pct"/>
            <w:tcBorders>
              <w:tl2br w:val="nil"/>
              <w:tr2bl w:val="nil"/>
            </w:tcBorders>
            <w:noWrap w:val="0"/>
            <w:vAlign w:val="center"/>
          </w:tcPr>
          <w:p w14:paraId="2D224840">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对地下水环境有污染的物料或污染物泄漏后，可及时发现和处理</w:t>
            </w:r>
          </w:p>
        </w:tc>
        <w:tc>
          <w:tcPr>
            <w:tcW w:w="884" w:type="pct"/>
            <w:tcBorders>
              <w:tl2br w:val="nil"/>
              <w:tr2bl w:val="nil"/>
            </w:tcBorders>
            <w:noWrap w:val="0"/>
            <w:vAlign w:val="center"/>
          </w:tcPr>
          <w:p w14:paraId="20B7236A">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caps w:val="0"/>
                <w:color w:val="auto"/>
                <w:spacing w:val="0"/>
                <w:w w:val="100"/>
                <w:kern w:val="21"/>
                <w:position w:val="0"/>
                <w:sz w:val="21"/>
                <w:szCs w:val="21"/>
              </w:rPr>
              <w:t>√</w:t>
            </w:r>
          </w:p>
        </w:tc>
      </w:tr>
    </w:tbl>
    <w:p w14:paraId="517A101E">
      <w:pPr>
        <w:keepNext w:val="0"/>
        <w:keepLines w:val="0"/>
        <w:pageBreakBefore w:val="0"/>
        <w:widowControl w:val="0"/>
        <w:kinsoku/>
        <w:wordWrap/>
        <w:overflowPunct/>
        <w:topLinePunct w:val="0"/>
        <w:autoSpaceDE/>
        <w:autoSpaceDN/>
        <w:bidi w:val="0"/>
        <w:adjustRightInd/>
        <w:snapToGrid/>
        <w:spacing w:before="0" w:beforeLines="5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0"/>
          <w:position w:val="0"/>
          <w:sz w:val="21"/>
          <w:szCs w:val="21"/>
          <w:highlight w:val="none"/>
        </w:rPr>
      </w:pPr>
      <w:r>
        <w:rPr>
          <w:rFonts w:hint="default" w:ascii="Times New Roman" w:hAnsi="Times New Roman" w:eastAsia="宋体" w:cs="Times New Roman"/>
          <w:b/>
          <w:bCs/>
          <w:snapToGrid/>
          <w:color w:val="auto"/>
          <w:spacing w:val="0"/>
          <w:w w:val="100"/>
          <w:kern w:val="0"/>
          <w:position w:val="0"/>
          <w:sz w:val="21"/>
          <w:szCs w:val="21"/>
          <w:highlight w:val="none"/>
        </w:rPr>
        <w:t>表</w:t>
      </w:r>
      <w:r>
        <w:rPr>
          <w:rFonts w:hint="eastAsia" w:ascii="Times New Roman" w:hAnsi="Times New Roman" w:eastAsia="宋体" w:cs="Times New Roman"/>
          <w:b/>
          <w:bCs/>
          <w:snapToGrid/>
          <w:color w:val="auto"/>
          <w:spacing w:val="0"/>
          <w:w w:val="100"/>
          <w:kern w:val="0"/>
          <w:position w:val="0"/>
          <w:sz w:val="21"/>
          <w:szCs w:val="21"/>
          <w:highlight w:val="none"/>
          <w:lang w:val="en-US" w:eastAsia="zh-CN"/>
        </w:rPr>
        <w:t>6.2.3-2</w:t>
      </w:r>
      <w:r>
        <w:rPr>
          <w:rFonts w:hint="default" w:ascii="Times New Roman" w:hAnsi="Times New Roman" w:eastAsia="宋体" w:cs="Times New Roman"/>
          <w:b/>
          <w:bCs/>
          <w:snapToGrid/>
          <w:color w:val="auto"/>
          <w:spacing w:val="0"/>
          <w:w w:val="100"/>
          <w:kern w:val="0"/>
          <w:position w:val="0"/>
          <w:sz w:val="21"/>
          <w:szCs w:val="21"/>
          <w:highlight w:val="none"/>
          <w:lang w:val="en-US" w:eastAsia="zh-CN"/>
        </w:rPr>
        <w:t xml:space="preserve">  </w:t>
      </w:r>
      <w:r>
        <w:rPr>
          <w:rFonts w:hint="default" w:ascii="Times New Roman" w:hAnsi="Times New Roman" w:eastAsia="宋体" w:cs="Times New Roman"/>
          <w:b/>
          <w:bCs/>
          <w:snapToGrid/>
          <w:color w:val="auto"/>
          <w:spacing w:val="0"/>
          <w:w w:val="100"/>
          <w:kern w:val="0"/>
          <w:position w:val="0"/>
          <w:sz w:val="21"/>
          <w:szCs w:val="21"/>
          <w:highlight w:val="none"/>
        </w:rPr>
        <w:t>天然包气带防污性能分级参照表</w:t>
      </w:r>
    </w:p>
    <w:tbl>
      <w:tblPr>
        <w:tblStyle w:val="36"/>
        <w:tblW w:w="884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80" w:type="dxa"/>
          <w:left w:w="128" w:type="dxa"/>
          <w:bottom w:w="80" w:type="dxa"/>
          <w:right w:w="128" w:type="dxa"/>
        </w:tblCellMar>
      </w:tblPr>
      <w:tblGrid>
        <w:gridCol w:w="526"/>
        <w:gridCol w:w="7441"/>
        <w:gridCol w:w="876"/>
      </w:tblGrid>
      <w:tr w14:paraId="59A2BB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80" w:type="dxa"/>
            <w:left w:w="128" w:type="dxa"/>
            <w:bottom w:w="80" w:type="dxa"/>
            <w:right w:w="128" w:type="dxa"/>
          </w:tblCellMar>
        </w:tblPrEx>
        <w:trPr>
          <w:trHeight w:val="0" w:hRule="atLeast"/>
          <w:jc w:val="center"/>
        </w:trPr>
        <w:tc>
          <w:tcPr>
            <w:tcW w:w="526" w:type="dxa"/>
            <w:tcBorders>
              <w:tl2br w:val="nil"/>
              <w:tr2bl w:val="nil"/>
            </w:tcBorders>
            <w:noWrap w:val="0"/>
            <w:vAlign w:val="center"/>
          </w:tcPr>
          <w:p w14:paraId="1D60F528">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0"/>
                <w:position w:val="0"/>
                <w:sz w:val="21"/>
                <w:szCs w:val="21"/>
                <w:highlight w:val="none"/>
              </w:rPr>
            </w:pPr>
            <w:r>
              <w:rPr>
                <w:rFonts w:hint="default" w:ascii="Times New Roman" w:hAnsi="Times New Roman" w:eastAsia="宋体" w:cs="Times New Roman"/>
                <w:b/>
                <w:bCs/>
                <w:snapToGrid/>
                <w:color w:val="auto"/>
                <w:spacing w:val="0"/>
                <w:w w:val="100"/>
                <w:kern w:val="0"/>
                <w:position w:val="0"/>
                <w:sz w:val="21"/>
                <w:szCs w:val="21"/>
                <w:highlight w:val="none"/>
              </w:rPr>
              <w:t>分级</w:t>
            </w:r>
          </w:p>
        </w:tc>
        <w:tc>
          <w:tcPr>
            <w:tcW w:w="7441" w:type="dxa"/>
            <w:tcBorders>
              <w:tl2br w:val="nil"/>
              <w:tr2bl w:val="nil"/>
            </w:tcBorders>
            <w:noWrap w:val="0"/>
            <w:vAlign w:val="center"/>
          </w:tcPr>
          <w:p w14:paraId="62FAD054">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0"/>
                <w:position w:val="0"/>
                <w:sz w:val="21"/>
                <w:szCs w:val="21"/>
                <w:highlight w:val="none"/>
              </w:rPr>
            </w:pPr>
            <w:r>
              <w:rPr>
                <w:rFonts w:hint="default" w:ascii="Times New Roman" w:hAnsi="Times New Roman" w:eastAsia="宋体" w:cs="Times New Roman"/>
                <w:b/>
                <w:bCs/>
                <w:snapToGrid/>
                <w:color w:val="auto"/>
                <w:spacing w:val="0"/>
                <w:w w:val="100"/>
                <w:kern w:val="0"/>
                <w:position w:val="0"/>
                <w:sz w:val="21"/>
                <w:szCs w:val="21"/>
                <w:highlight w:val="none"/>
              </w:rPr>
              <w:t>包气带岩土的渗透性能</w:t>
            </w:r>
          </w:p>
        </w:tc>
        <w:tc>
          <w:tcPr>
            <w:tcW w:w="876" w:type="dxa"/>
            <w:tcBorders>
              <w:tl2br w:val="nil"/>
              <w:tr2bl w:val="nil"/>
            </w:tcBorders>
            <w:noWrap w:val="0"/>
            <w:vAlign w:val="center"/>
          </w:tcPr>
          <w:p w14:paraId="4FF2320B">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b/>
                <w:bCs/>
                <w:snapToGrid/>
                <w:color w:val="auto"/>
                <w:spacing w:val="0"/>
                <w:w w:val="100"/>
                <w:kern w:val="0"/>
                <w:position w:val="0"/>
                <w:sz w:val="21"/>
                <w:szCs w:val="21"/>
                <w:highlight w:val="none"/>
                <w:lang w:eastAsia="zh"/>
              </w:rPr>
            </w:pPr>
            <w:r>
              <w:rPr>
                <w:rFonts w:hint="eastAsia" w:ascii="Times New Roman" w:hAnsi="Times New Roman" w:eastAsia="宋体" w:cs="Times New Roman"/>
                <w:b/>
                <w:bCs/>
                <w:snapToGrid/>
                <w:color w:val="auto"/>
                <w:spacing w:val="0"/>
                <w:w w:val="100"/>
                <w:kern w:val="0"/>
                <w:position w:val="0"/>
                <w:sz w:val="21"/>
                <w:szCs w:val="21"/>
                <w:highlight w:val="none"/>
                <w:lang w:eastAsia="zh"/>
              </w:rPr>
              <w:t>本项目</w:t>
            </w:r>
          </w:p>
        </w:tc>
      </w:tr>
      <w:tr w14:paraId="3BF4DA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80" w:type="dxa"/>
            <w:left w:w="128" w:type="dxa"/>
            <w:bottom w:w="80" w:type="dxa"/>
            <w:right w:w="128" w:type="dxa"/>
          </w:tblCellMar>
        </w:tblPrEx>
        <w:trPr>
          <w:trHeight w:val="0" w:hRule="atLeast"/>
          <w:jc w:val="center"/>
        </w:trPr>
        <w:tc>
          <w:tcPr>
            <w:tcW w:w="526" w:type="dxa"/>
            <w:tcBorders>
              <w:tl2br w:val="nil"/>
              <w:tr2bl w:val="nil"/>
            </w:tcBorders>
            <w:noWrap w:val="0"/>
            <w:vAlign w:val="center"/>
          </w:tcPr>
          <w:p w14:paraId="0733668D">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强</w:t>
            </w:r>
          </w:p>
        </w:tc>
        <w:tc>
          <w:tcPr>
            <w:tcW w:w="7441" w:type="dxa"/>
            <w:tcBorders>
              <w:tl2br w:val="nil"/>
              <w:tr2bl w:val="nil"/>
            </w:tcBorders>
            <w:noWrap w:val="0"/>
            <w:vAlign w:val="center"/>
          </w:tcPr>
          <w:p w14:paraId="2D5D3324">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岩（土）层单层厚度Mb≥1.0m，渗透系数K≤1X10</w:t>
            </w:r>
            <w:r>
              <w:rPr>
                <w:rFonts w:hint="default" w:ascii="Times New Roman" w:hAnsi="Times New Roman" w:eastAsia="宋体" w:cs="Times New Roman"/>
                <w:snapToGrid/>
                <w:color w:val="auto"/>
                <w:spacing w:val="0"/>
                <w:w w:val="100"/>
                <w:kern w:val="0"/>
                <w:position w:val="0"/>
                <w:sz w:val="21"/>
                <w:szCs w:val="21"/>
                <w:highlight w:val="none"/>
                <w:vertAlign w:val="superscript"/>
              </w:rPr>
              <w:t>-6</w:t>
            </w:r>
            <w:r>
              <w:rPr>
                <w:rFonts w:hint="default" w:ascii="Times New Roman" w:hAnsi="Times New Roman" w:eastAsia="宋体" w:cs="Times New Roman"/>
                <w:snapToGrid/>
                <w:color w:val="auto"/>
                <w:spacing w:val="0"/>
                <w:w w:val="100"/>
                <w:kern w:val="0"/>
                <w:position w:val="0"/>
                <w:sz w:val="21"/>
                <w:szCs w:val="21"/>
                <w:highlight w:val="none"/>
              </w:rPr>
              <w:t>cm/s，且分布连续、稳定</w:t>
            </w:r>
          </w:p>
        </w:tc>
        <w:tc>
          <w:tcPr>
            <w:tcW w:w="876" w:type="dxa"/>
            <w:tcBorders>
              <w:tl2br w:val="nil"/>
              <w:tr2bl w:val="nil"/>
            </w:tcBorders>
            <w:noWrap w:val="0"/>
            <w:vAlign w:val="center"/>
          </w:tcPr>
          <w:p w14:paraId="797F1C0F">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caps w:val="0"/>
                <w:color w:val="auto"/>
                <w:spacing w:val="0"/>
                <w:w w:val="100"/>
                <w:kern w:val="21"/>
                <w:position w:val="0"/>
                <w:sz w:val="21"/>
                <w:szCs w:val="21"/>
              </w:rPr>
              <w:t>√</w:t>
            </w:r>
          </w:p>
        </w:tc>
      </w:tr>
      <w:tr w14:paraId="792A4D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80" w:type="dxa"/>
            <w:left w:w="128" w:type="dxa"/>
            <w:bottom w:w="80" w:type="dxa"/>
            <w:right w:w="128" w:type="dxa"/>
          </w:tblCellMar>
        </w:tblPrEx>
        <w:trPr>
          <w:trHeight w:val="0" w:hRule="atLeast"/>
          <w:jc w:val="center"/>
        </w:trPr>
        <w:tc>
          <w:tcPr>
            <w:tcW w:w="526" w:type="dxa"/>
            <w:tcBorders>
              <w:tl2br w:val="nil"/>
              <w:tr2bl w:val="nil"/>
            </w:tcBorders>
            <w:noWrap w:val="0"/>
            <w:vAlign w:val="center"/>
          </w:tcPr>
          <w:p w14:paraId="7AC68E4F">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中</w:t>
            </w:r>
          </w:p>
        </w:tc>
        <w:tc>
          <w:tcPr>
            <w:tcW w:w="7441" w:type="dxa"/>
            <w:tcBorders>
              <w:tl2br w:val="nil"/>
              <w:tr2bl w:val="nil"/>
            </w:tcBorders>
            <w:noWrap w:val="0"/>
            <w:vAlign w:val="center"/>
          </w:tcPr>
          <w:p w14:paraId="0F8194E9">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岩（土）层单层厚度0.5m≤Mb＜1.0m，渗透系数K≤1×10</w:t>
            </w:r>
            <w:r>
              <w:rPr>
                <w:rFonts w:hint="default" w:ascii="Times New Roman" w:hAnsi="Times New Roman" w:eastAsia="宋体" w:cs="Times New Roman"/>
                <w:snapToGrid/>
                <w:color w:val="auto"/>
                <w:spacing w:val="0"/>
                <w:w w:val="100"/>
                <w:kern w:val="0"/>
                <w:position w:val="0"/>
                <w:sz w:val="21"/>
                <w:szCs w:val="21"/>
                <w:highlight w:val="none"/>
                <w:vertAlign w:val="superscript"/>
              </w:rPr>
              <w:t>-6</w:t>
            </w:r>
            <w:r>
              <w:rPr>
                <w:rFonts w:hint="default" w:ascii="Times New Roman" w:hAnsi="Times New Roman" w:eastAsia="宋体" w:cs="Times New Roman"/>
                <w:snapToGrid/>
                <w:color w:val="auto"/>
                <w:spacing w:val="0"/>
                <w:w w:val="100"/>
                <w:kern w:val="0"/>
                <w:position w:val="0"/>
                <w:sz w:val="21"/>
                <w:szCs w:val="21"/>
                <w:highlight w:val="none"/>
              </w:rPr>
              <w:t>cm/s，且分布连续、稳定岩（土）层单层厚度Mb≥1.0m，渗透系数1×10</w:t>
            </w:r>
            <w:r>
              <w:rPr>
                <w:rFonts w:hint="default" w:ascii="Times New Roman" w:hAnsi="Times New Roman" w:eastAsia="宋体" w:cs="Times New Roman"/>
                <w:snapToGrid/>
                <w:color w:val="auto"/>
                <w:spacing w:val="0"/>
                <w:w w:val="100"/>
                <w:kern w:val="0"/>
                <w:position w:val="0"/>
                <w:sz w:val="21"/>
                <w:szCs w:val="21"/>
                <w:highlight w:val="none"/>
                <w:vertAlign w:val="superscript"/>
              </w:rPr>
              <w:t>-6</w:t>
            </w:r>
            <w:r>
              <w:rPr>
                <w:rFonts w:hint="default" w:ascii="Times New Roman" w:hAnsi="Times New Roman" w:eastAsia="宋体" w:cs="Times New Roman"/>
                <w:snapToGrid/>
                <w:color w:val="auto"/>
                <w:spacing w:val="0"/>
                <w:w w:val="100"/>
                <w:kern w:val="0"/>
                <w:position w:val="0"/>
                <w:sz w:val="21"/>
                <w:szCs w:val="21"/>
                <w:highlight w:val="none"/>
              </w:rPr>
              <w:t>cm/s＜K≤1×10</w:t>
            </w:r>
            <w:r>
              <w:rPr>
                <w:rFonts w:hint="default" w:ascii="Times New Roman" w:hAnsi="Times New Roman" w:eastAsia="宋体" w:cs="Times New Roman"/>
                <w:snapToGrid/>
                <w:color w:val="auto"/>
                <w:spacing w:val="0"/>
                <w:w w:val="100"/>
                <w:kern w:val="0"/>
                <w:position w:val="0"/>
                <w:sz w:val="21"/>
                <w:szCs w:val="21"/>
                <w:highlight w:val="none"/>
                <w:vertAlign w:val="superscript"/>
              </w:rPr>
              <w:t>-4</w:t>
            </w:r>
            <w:r>
              <w:rPr>
                <w:rFonts w:hint="default" w:ascii="Times New Roman" w:hAnsi="Times New Roman" w:eastAsia="宋体" w:cs="Times New Roman"/>
                <w:snapToGrid/>
                <w:color w:val="auto"/>
                <w:spacing w:val="0"/>
                <w:w w:val="100"/>
                <w:kern w:val="0"/>
                <w:position w:val="0"/>
                <w:sz w:val="21"/>
                <w:szCs w:val="21"/>
                <w:highlight w:val="none"/>
              </w:rPr>
              <w:t>cm/s，且分布连续、稳定</w:t>
            </w:r>
          </w:p>
        </w:tc>
        <w:tc>
          <w:tcPr>
            <w:tcW w:w="876" w:type="dxa"/>
            <w:tcBorders>
              <w:tl2br w:val="nil"/>
              <w:tr2bl w:val="nil"/>
            </w:tcBorders>
            <w:noWrap w:val="0"/>
            <w:vAlign w:val="center"/>
          </w:tcPr>
          <w:p w14:paraId="0D3670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eastAsia" w:ascii="Times New Roman" w:hAnsi="Times New Roman" w:eastAsia="宋体" w:cs="Times New Roman"/>
                <w:snapToGrid/>
                <w:color w:val="auto"/>
                <w:spacing w:val="0"/>
                <w:w w:val="100"/>
                <w:kern w:val="0"/>
                <w:position w:val="0"/>
                <w:sz w:val="21"/>
                <w:szCs w:val="21"/>
                <w:highlight w:val="none"/>
                <w:lang w:eastAsia="zh"/>
              </w:rPr>
              <w:t>-</w:t>
            </w:r>
            <w:r>
              <w:rPr>
                <w:rFonts w:hint="eastAsia" w:eastAsia="宋体" w:cs="Times New Roman"/>
                <w:snapToGrid/>
                <w:color w:val="auto"/>
                <w:spacing w:val="0"/>
                <w:w w:val="100"/>
                <w:kern w:val="0"/>
                <w:position w:val="0"/>
                <w:sz w:val="21"/>
                <w:szCs w:val="21"/>
                <w:highlight w:val="none"/>
                <w:lang w:eastAsia="zh"/>
              </w:rPr>
              <w:t>-</w:t>
            </w:r>
          </w:p>
        </w:tc>
      </w:tr>
      <w:tr w14:paraId="7682B0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80" w:type="dxa"/>
            <w:left w:w="128" w:type="dxa"/>
            <w:bottom w:w="80" w:type="dxa"/>
            <w:right w:w="128" w:type="dxa"/>
          </w:tblCellMar>
        </w:tblPrEx>
        <w:trPr>
          <w:trHeight w:val="0" w:hRule="atLeast"/>
          <w:jc w:val="center"/>
        </w:trPr>
        <w:tc>
          <w:tcPr>
            <w:tcW w:w="526" w:type="dxa"/>
            <w:tcBorders>
              <w:tl2br w:val="nil"/>
              <w:tr2bl w:val="nil"/>
            </w:tcBorders>
            <w:noWrap w:val="0"/>
            <w:vAlign w:val="center"/>
          </w:tcPr>
          <w:p w14:paraId="24D28C12">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弱</w:t>
            </w:r>
          </w:p>
        </w:tc>
        <w:tc>
          <w:tcPr>
            <w:tcW w:w="7441" w:type="dxa"/>
            <w:tcBorders>
              <w:tl2br w:val="nil"/>
              <w:tr2bl w:val="nil"/>
            </w:tcBorders>
            <w:noWrap w:val="0"/>
            <w:vAlign w:val="center"/>
          </w:tcPr>
          <w:p w14:paraId="7C2F28AB">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岩（土）层不满足上述“强”和“中”条件</w:t>
            </w:r>
          </w:p>
        </w:tc>
        <w:tc>
          <w:tcPr>
            <w:tcW w:w="876" w:type="dxa"/>
            <w:tcBorders>
              <w:tl2br w:val="nil"/>
              <w:tr2bl w:val="nil"/>
            </w:tcBorders>
            <w:noWrap w:val="0"/>
            <w:vAlign w:val="center"/>
          </w:tcPr>
          <w:p w14:paraId="201D6A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eastAsia" w:ascii="Times New Roman" w:hAnsi="Times New Roman" w:eastAsia="宋体" w:cs="Times New Roman"/>
                <w:snapToGrid/>
                <w:color w:val="auto"/>
                <w:spacing w:val="0"/>
                <w:w w:val="100"/>
                <w:kern w:val="0"/>
                <w:position w:val="0"/>
                <w:sz w:val="21"/>
                <w:szCs w:val="21"/>
                <w:highlight w:val="none"/>
                <w:lang w:eastAsia="zh"/>
              </w:rPr>
              <w:t>-</w:t>
            </w:r>
            <w:r>
              <w:rPr>
                <w:rFonts w:hint="eastAsia" w:eastAsia="宋体" w:cs="Times New Roman"/>
                <w:snapToGrid/>
                <w:color w:val="auto"/>
                <w:spacing w:val="0"/>
                <w:w w:val="100"/>
                <w:kern w:val="0"/>
                <w:position w:val="0"/>
                <w:sz w:val="21"/>
                <w:szCs w:val="21"/>
                <w:highlight w:val="none"/>
                <w:lang w:eastAsia="zh"/>
              </w:rPr>
              <w:t>-</w:t>
            </w:r>
          </w:p>
        </w:tc>
      </w:tr>
    </w:tbl>
    <w:p w14:paraId="0F6D974D">
      <w:pPr>
        <w:keepNext w:val="0"/>
        <w:keepLines w:val="0"/>
        <w:pageBreakBefore w:val="0"/>
        <w:widowControl w:val="0"/>
        <w:kinsoku/>
        <w:wordWrap/>
        <w:overflowPunct/>
        <w:topLinePunct w:val="0"/>
        <w:autoSpaceDE/>
        <w:autoSpaceDN/>
        <w:bidi w:val="0"/>
        <w:adjustRightInd/>
        <w:snapToGrid/>
        <w:spacing w:before="0" w:beforeLines="5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0"/>
          <w:position w:val="0"/>
          <w:sz w:val="21"/>
          <w:szCs w:val="21"/>
          <w:highlight w:val="none"/>
        </w:rPr>
      </w:pPr>
      <w:r>
        <w:rPr>
          <w:rFonts w:hint="default" w:ascii="Times New Roman" w:hAnsi="Times New Roman" w:eastAsia="宋体" w:cs="Times New Roman"/>
          <w:b/>
          <w:bCs/>
          <w:snapToGrid/>
          <w:color w:val="auto"/>
          <w:spacing w:val="0"/>
          <w:w w:val="100"/>
          <w:kern w:val="0"/>
          <w:position w:val="0"/>
          <w:sz w:val="21"/>
          <w:szCs w:val="21"/>
          <w:highlight w:val="none"/>
        </w:rPr>
        <w:t>表</w:t>
      </w:r>
      <w:r>
        <w:rPr>
          <w:rFonts w:hint="eastAsia" w:ascii="Times New Roman" w:hAnsi="Times New Roman" w:eastAsia="宋体" w:cs="Times New Roman"/>
          <w:b/>
          <w:bCs/>
          <w:snapToGrid/>
          <w:color w:val="auto"/>
          <w:spacing w:val="0"/>
          <w:w w:val="100"/>
          <w:kern w:val="0"/>
          <w:position w:val="0"/>
          <w:sz w:val="21"/>
          <w:szCs w:val="21"/>
          <w:highlight w:val="none"/>
          <w:lang w:val="en-US" w:eastAsia="zh-CN"/>
        </w:rPr>
        <w:t>6.2.3-3</w:t>
      </w:r>
      <w:r>
        <w:rPr>
          <w:rFonts w:hint="default" w:ascii="Times New Roman" w:hAnsi="Times New Roman" w:eastAsia="宋体" w:cs="Times New Roman"/>
          <w:b/>
          <w:bCs/>
          <w:snapToGrid/>
          <w:color w:val="auto"/>
          <w:spacing w:val="0"/>
          <w:w w:val="100"/>
          <w:kern w:val="0"/>
          <w:position w:val="0"/>
          <w:sz w:val="21"/>
          <w:szCs w:val="21"/>
          <w:highlight w:val="none"/>
          <w:lang w:val="en-US" w:eastAsia="zh-CN"/>
        </w:rPr>
        <w:t xml:space="preserve">  </w:t>
      </w:r>
      <w:r>
        <w:rPr>
          <w:rFonts w:hint="default" w:ascii="Times New Roman" w:hAnsi="Times New Roman" w:eastAsia="宋体" w:cs="Times New Roman"/>
          <w:b/>
          <w:bCs/>
          <w:snapToGrid/>
          <w:color w:val="auto"/>
          <w:spacing w:val="0"/>
          <w:w w:val="100"/>
          <w:kern w:val="0"/>
          <w:position w:val="0"/>
          <w:sz w:val="21"/>
          <w:szCs w:val="21"/>
          <w:highlight w:val="none"/>
        </w:rPr>
        <w:t>地下水污染防渗分区参照表</w:t>
      </w:r>
    </w:p>
    <w:tbl>
      <w:tblPr>
        <w:tblStyle w:val="36"/>
        <w:tblW w:w="931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1284"/>
        <w:gridCol w:w="1174"/>
        <w:gridCol w:w="982"/>
        <w:gridCol w:w="1565"/>
        <w:gridCol w:w="3114"/>
        <w:gridCol w:w="1194"/>
      </w:tblGrid>
      <w:tr w14:paraId="3F5680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0" w:hRule="atLeast"/>
          <w:tblHeader/>
          <w:jc w:val="center"/>
        </w:trPr>
        <w:tc>
          <w:tcPr>
            <w:tcW w:w="1284" w:type="dxa"/>
            <w:tcBorders>
              <w:tl2br w:val="nil"/>
              <w:tr2bl w:val="nil"/>
            </w:tcBorders>
            <w:noWrap w:val="0"/>
            <w:vAlign w:val="center"/>
          </w:tcPr>
          <w:p w14:paraId="7F7CAB92">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0"/>
                <w:position w:val="0"/>
                <w:sz w:val="21"/>
                <w:szCs w:val="21"/>
                <w:highlight w:val="none"/>
              </w:rPr>
            </w:pPr>
            <w:r>
              <w:rPr>
                <w:rFonts w:hint="default" w:ascii="Times New Roman" w:hAnsi="Times New Roman" w:eastAsia="宋体" w:cs="Times New Roman"/>
                <w:b/>
                <w:bCs/>
                <w:snapToGrid/>
                <w:color w:val="auto"/>
                <w:spacing w:val="0"/>
                <w:w w:val="100"/>
                <w:kern w:val="0"/>
                <w:position w:val="0"/>
                <w:sz w:val="21"/>
                <w:szCs w:val="21"/>
                <w:highlight w:val="none"/>
              </w:rPr>
              <w:t>防渗分区</w:t>
            </w:r>
          </w:p>
        </w:tc>
        <w:tc>
          <w:tcPr>
            <w:tcW w:w="0" w:type="auto"/>
            <w:tcBorders>
              <w:tl2br w:val="nil"/>
              <w:tr2bl w:val="nil"/>
            </w:tcBorders>
            <w:noWrap w:val="0"/>
            <w:vAlign w:val="center"/>
          </w:tcPr>
          <w:p w14:paraId="5AA81602">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0"/>
                <w:position w:val="0"/>
                <w:sz w:val="21"/>
                <w:szCs w:val="21"/>
                <w:highlight w:val="none"/>
              </w:rPr>
            </w:pPr>
            <w:r>
              <w:rPr>
                <w:rFonts w:hint="default" w:ascii="Times New Roman" w:hAnsi="Times New Roman" w:eastAsia="宋体" w:cs="Times New Roman"/>
                <w:b/>
                <w:bCs/>
                <w:snapToGrid/>
                <w:color w:val="auto"/>
                <w:spacing w:val="0"/>
                <w:w w:val="100"/>
                <w:kern w:val="0"/>
                <w:position w:val="0"/>
                <w:sz w:val="21"/>
                <w:szCs w:val="21"/>
                <w:highlight w:val="none"/>
              </w:rPr>
              <w:t>天然包气带防污性能</w:t>
            </w:r>
          </w:p>
        </w:tc>
        <w:tc>
          <w:tcPr>
            <w:tcW w:w="0" w:type="auto"/>
            <w:tcBorders>
              <w:tl2br w:val="nil"/>
              <w:tr2bl w:val="nil"/>
            </w:tcBorders>
            <w:noWrap w:val="0"/>
            <w:vAlign w:val="center"/>
          </w:tcPr>
          <w:p w14:paraId="714018A5">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0"/>
                <w:position w:val="0"/>
                <w:sz w:val="21"/>
                <w:szCs w:val="21"/>
                <w:highlight w:val="none"/>
              </w:rPr>
            </w:pPr>
            <w:r>
              <w:rPr>
                <w:rFonts w:hint="default" w:ascii="Times New Roman" w:hAnsi="Times New Roman" w:eastAsia="宋体" w:cs="Times New Roman"/>
                <w:b/>
                <w:bCs/>
                <w:snapToGrid/>
                <w:color w:val="auto"/>
                <w:spacing w:val="0"/>
                <w:w w:val="100"/>
                <w:kern w:val="0"/>
                <w:position w:val="0"/>
                <w:sz w:val="21"/>
                <w:szCs w:val="21"/>
                <w:highlight w:val="none"/>
              </w:rPr>
              <w:t>污染控制难易程度</w:t>
            </w:r>
          </w:p>
        </w:tc>
        <w:tc>
          <w:tcPr>
            <w:tcW w:w="0" w:type="auto"/>
            <w:tcBorders>
              <w:tl2br w:val="nil"/>
              <w:tr2bl w:val="nil"/>
            </w:tcBorders>
            <w:noWrap w:val="0"/>
            <w:vAlign w:val="center"/>
          </w:tcPr>
          <w:p w14:paraId="4EA1C2E6">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0"/>
                <w:position w:val="0"/>
                <w:sz w:val="21"/>
                <w:szCs w:val="21"/>
                <w:highlight w:val="none"/>
              </w:rPr>
            </w:pPr>
            <w:r>
              <w:rPr>
                <w:rFonts w:hint="default" w:ascii="Times New Roman" w:hAnsi="Times New Roman" w:eastAsia="宋体" w:cs="Times New Roman"/>
                <w:b/>
                <w:bCs/>
                <w:snapToGrid/>
                <w:color w:val="auto"/>
                <w:spacing w:val="0"/>
                <w:w w:val="100"/>
                <w:kern w:val="0"/>
                <w:position w:val="0"/>
                <w:sz w:val="21"/>
                <w:szCs w:val="21"/>
                <w:highlight w:val="none"/>
              </w:rPr>
              <w:t>污染物类型</w:t>
            </w:r>
          </w:p>
        </w:tc>
        <w:tc>
          <w:tcPr>
            <w:tcW w:w="3114" w:type="dxa"/>
            <w:tcBorders>
              <w:tl2br w:val="nil"/>
              <w:tr2bl w:val="nil"/>
            </w:tcBorders>
            <w:noWrap w:val="0"/>
            <w:vAlign w:val="center"/>
          </w:tcPr>
          <w:p w14:paraId="77526226">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snapToGrid/>
                <w:color w:val="auto"/>
                <w:spacing w:val="0"/>
                <w:w w:val="100"/>
                <w:kern w:val="0"/>
                <w:position w:val="0"/>
                <w:sz w:val="21"/>
                <w:szCs w:val="21"/>
                <w:highlight w:val="none"/>
              </w:rPr>
            </w:pPr>
            <w:r>
              <w:rPr>
                <w:rFonts w:hint="default" w:ascii="Times New Roman" w:hAnsi="Times New Roman" w:eastAsia="宋体" w:cs="Times New Roman"/>
                <w:b/>
                <w:bCs/>
                <w:snapToGrid/>
                <w:color w:val="auto"/>
                <w:spacing w:val="0"/>
                <w:w w:val="100"/>
                <w:kern w:val="0"/>
                <w:position w:val="0"/>
                <w:sz w:val="21"/>
                <w:szCs w:val="21"/>
                <w:highlight w:val="none"/>
              </w:rPr>
              <w:t>防渗技术要求</w:t>
            </w:r>
          </w:p>
        </w:tc>
        <w:tc>
          <w:tcPr>
            <w:tcW w:w="1194" w:type="dxa"/>
            <w:tcBorders>
              <w:tl2br w:val="nil"/>
              <w:tr2bl w:val="nil"/>
            </w:tcBorders>
            <w:noWrap w:val="0"/>
            <w:vAlign w:val="center"/>
          </w:tcPr>
          <w:p w14:paraId="7C410EEA">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b/>
                <w:bCs/>
                <w:snapToGrid/>
                <w:color w:val="auto"/>
                <w:spacing w:val="0"/>
                <w:w w:val="100"/>
                <w:kern w:val="0"/>
                <w:position w:val="0"/>
                <w:sz w:val="21"/>
                <w:szCs w:val="21"/>
                <w:highlight w:val="none"/>
                <w:lang w:eastAsia="zh"/>
              </w:rPr>
            </w:pPr>
            <w:r>
              <w:rPr>
                <w:rFonts w:hint="eastAsia" w:ascii="Times New Roman" w:hAnsi="Times New Roman" w:eastAsia="宋体" w:cs="Times New Roman"/>
                <w:b/>
                <w:bCs/>
                <w:snapToGrid/>
                <w:color w:val="auto"/>
                <w:spacing w:val="0"/>
                <w:w w:val="100"/>
                <w:kern w:val="0"/>
                <w:position w:val="0"/>
                <w:sz w:val="21"/>
                <w:szCs w:val="21"/>
                <w:highlight w:val="none"/>
                <w:lang w:eastAsia="zh"/>
              </w:rPr>
              <w:t>本项目</w:t>
            </w:r>
          </w:p>
        </w:tc>
      </w:tr>
      <w:tr w14:paraId="77D540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284" w:type="dxa"/>
            <w:vMerge w:val="restart"/>
            <w:tcBorders>
              <w:tl2br w:val="nil"/>
              <w:tr2bl w:val="nil"/>
            </w:tcBorders>
            <w:noWrap w:val="0"/>
            <w:vAlign w:val="center"/>
          </w:tcPr>
          <w:p w14:paraId="25BFB191">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重点防渗区</w:t>
            </w:r>
          </w:p>
        </w:tc>
        <w:tc>
          <w:tcPr>
            <w:tcW w:w="0" w:type="auto"/>
            <w:tcBorders>
              <w:tl2br w:val="nil"/>
              <w:tr2bl w:val="nil"/>
            </w:tcBorders>
            <w:noWrap w:val="0"/>
            <w:vAlign w:val="center"/>
          </w:tcPr>
          <w:p w14:paraId="6A8678A3">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弱</w:t>
            </w:r>
          </w:p>
        </w:tc>
        <w:tc>
          <w:tcPr>
            <w:tcW w:w="0" w:type="auto"/>
            <w:tcBorders>
              <w:tl2br w:val="nil"/>
              <w:tr2bl w:val="nil"/>
            </w:tcBorders>
            <w:noWrap w:val="0"/>
            <w:vAlign w:val="center"/>
          </w:tcPr>
          <w:p w14:paraId="14574111">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难</w:t>
            </w:r>
          </w:p>
        </w:tc>
        <w:tc>
          <w:tcPr>
            <w:tcW w:w="0" w:type="auto"/>
            <w:vMerge w:val="restart"/>
            <w:tcBorders>
              <w:tl2br w:val="nil"/>
              <w:tr2bl w:val="nil"/>
            </w:tcBorders>
            <w:noWrap w:val="0"/>
            <w:vAlign w:val="center"/>
          </w:tcPr>
          <w:p w14:paraId="35881FB7">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重金属、持久性有机物污染物</w:t>
            </w:r>
          </w:p>
        </w:tc>
        <w:tc>
          <w:tcPr>
            <w:tcW w:w="3114" w:type="dxa"/>
            <w:vMerge w:val="restart"/>
            <w:tcBorders>
              <w:tl2br w:val="nil"/>
              <w:tr2bl w:val="nil"/>
            </w:tcBorders>
            <w:noWrap w:val="0"/>
            <w:vAlign w:val="center"/>
          </w:tcPr>
          <w:p w14:paraId="1F46B87B">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等效黏土防渗层Mb≥6.0m，K&lt;1×10</w:t>
            </w:r>
            <w:r>
              <w:rPr>
                <w:rFonts w:hint="default" w:ascii="Times New Roman" w:hAnsi="Times New Roman" w:eastAsia="宋体" w:cs="Times New Roman"/>
                <w:snapToGrid/>
                <w:color w:val="auto"/>
                <w:spacing w:val="0"/>
                <w:w w:val="100"/>
                <w:kern w:val="0"/>
                <w:position w:val="0"/>
                <w:sz w:val="21"/>
                <w:szCs w:val="21"/>
                <w:highlight w:val="none"/>
                <w:vertAlign w:val="superscript"/>
              </w:rPr>
              <w:t>-7</w:t>
            </w:r>
            <w:r>
              <w:rPr>
                <w:rFonts w:hint="default" w:ascii="Times New Roman" w:hAnsi="Times New Roman" w:eastAsia="宋体" w:cs="Times New Roman"/>
                <w:snapToGrid/>
                <w:color w:val="auto"/>
                <w:spacing w:val="0"/>
                <w:w w:val="100"/>
                <w:kern w:val="0"/>
                <w:position w:val="0"/>
                <w:sz w:val="21"/>
                <w:szCs w:val="21"/>
                <w:highlight w:val="none"/>
              </w:rPr>
              <w:t>cm/s，或参照GB18598执行</w:t>
            </w:r>
          </w:p>
        </w:tc>
        <w:tc>
          <w:tcPr>
            <w:tcW w:w="1194" w:type="dxa"/>
            <w:vMerge w:val="restart"/>
            <w:tcBorders>
              <w:tl2br w:val="nil"/>
              <w:tr2bl w:val="nil"/>
            </w:tcBorders>
            <w:noWrap w:val="0"/>
            <w:vAlign w:val="center"/>
          </w:tcPr>
          <w:p w14:paraId="75B20179">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持久性有机物污染物</w:t>
            </w:r>
          </w:p>
        </w:tc>
      </w:tr>
      <w:tr w14:paraId="5C3962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284" w:type="dxa"/>
            <w:vMerge w:val="continue"/>
            <w:tcBorders>
              <w:tl2br w:val="nil"/>
              <w:tr2bl w:val="nil"/>
            </w:tcBorders>
            <w:noWrap w:val="0"/>
            <w:vAlign w:val="center"/>
          </w:tcPr>
          <w:p w14:paraId="668BF9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p>
        </w:tc>
        <w:tc>
          <w:tcPr>
            <w:tcW w:w="0" w:type="auto"/>
            <w:tcBorders>
              <w:tl2br w:val="nil"/>
              <w:tr2bl w:val="nil"/>
            </w:tcBorders>
            <w:noWrap w:val="0"/>
            <w:vAlign w:val="center"/>
          </w:tcPr>
          <w:p w14:paraId="7D3CD101">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中-强</w:t>
            </w:r>
          </w:p>
        </w:tc>
        <w:tc>
          <w:tcPr>
            <w:tcW w:w="0" w:type="auto"/>
            <w:tcBorders>
              <w:tl2br w:val="nil"/>
              <w:tr2bl w:val="nil"/>
            </w:tcBorders>
            <w:noWrap w:val="0"/>
            <w:vAlign w:val="center"/>
          </w:tcPr>
          <w:p w14:paraId="3B7F4E52">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难</w:t>
            </w:r>
          </w:p>
        </w:tc>
        <w:tc>
          <w:tcPr>
            <w:tcW w:w="0" w:type="auto"/>
            <w:vMerge w:val="continue"/>
            <w:tcBorders>
              <w:tl2br w:val="nil"/>
              <w:tr2bl w:val="nil"/>
            </w:tcBorders>
            <w:noWrap w:val="0"/>
            <w:vAlign w:val="center"/>
          </w:tcPr>
          <w:p w14:paraId="27742A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p>
        </w:tc>
        <w:tc>
          <w:tcPr>
            <w:tcW w:w="3114" w:type="dxa"/>
            <w:vMerge w:val="continue"/>
            <w:tcBorders>
              <w:tl2br w:val="nil"/>
              <w:tr2bl w:val="nil"/>
            </w:tcBorders>
            <w:noWrap w:val="0"/>
            <w:vAlign w:val="center"/>
          </w:tcPr>
          <w:p w14:paraId="507AC0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p>
        </w:tc>
        <w:tc>
          <w:tcPr>
            <w:tcW w:w="1194" w:type="dxa"/>
            <w:vMerge w:val="continue"/>
            <w:tcBorders>
              <w:tl2br w:val="nil"/>
              <w:tr2bl w:val="nil"/>
            </w:tcBorders>
            <w:noWrap w:val="0"/>
            <w:vAlign w:val="center"/>
          </w:tcPr>
          <w:p w14:paraId="52164D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p>
        </w:tc>
      </w:tr>
      <w:tr w14:paraId="706CA6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284" w:type="dxa"/>
            <w:vMerge w:val="continue"/>
            <w:tcBorders>
              <w:tl2br w:val="nil"/>
              <w:tr2bl w:val="nil"/>
            </w:tcBorders>
            <w:noWrap w:val="0"/>
            <w:vAlign w:val="center"/>
          </w:tcPr>
          <w:p w14:paraId="2BF139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p>
        </w:tc>
        <w:tc>
          <w:tcPr>
            <w:tcW w:w="0" w:type="auto"/>
            <w:tcBorders>
              <w:tl2br w:val="nil"/>
              <w:tr2bl w:val="nil"/>
            </w:tcBorders>
            <w:noWrap w:val="0"/>
            <w:vAlign w:val="center"/>
          </w:tcPr>
          <w:p w14:paraId="502D86A7">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弱</w:t>
            </w:r>
          </w:p>
        </w:tc>
        <w:tc>
          <w:tcPr>
            <w:tcW w:w="0" w:type="auto"/>
            <w:tcBorders>
              <w:tl2br w:val="nil"/>
              <w:tr2bl w:val="nil"/>
            </w:tcBorders>
            <w:noWrap w:val="0"/>
            <w:vAlign w:val="center"/>
          </w:tcPr>
          <w:p w14:paraId="78F16FDA">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易</w:t>
            </w:r>
          </w:p>
        </w:tc>
        <w:tc>
          <w:tcPr>
            <w:tcW w:w="0" w:type="auto"/>
            <w:vMerge w:val="continue"/>
            <w:tcBorders>
              <w:tl2br w:val="nil"/>
              <w:tr2bl w:val="nil"/>
            </w:tcBorders>
            <w:noWrap w:val="0"/>
            <w:vAlign w:val="center"/>
          </w:tcPr>
          <w:p w14:paraId="597362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p>
        </w:tc>
        <w:tc>
          <w:tcPr>
            <w:tcW w:w="3114" w:type="dxa"/>
            <w:vMerge w:val="continue"/>
            <w:tcBorders>
              <w:tl2br w:val="nil"/>
              <w:tr2bl w:val="nil"/>
            </w:tcBorders>
            <w:noWrap w:val="0"/>
            <w:vAlign w:val="center"/>
          </w:tcPr>
          <w:p w14:paraId="243FCF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p>
        </w:tc>
        <w:tc>
          <w:tcPr>
            <w:tcW w:w="1194" w:type="dxa"/>
            <w:vMerge w:val="continue"/>
            <w:tcBorders>
              <w:tl2br w:val="nil"/>
              <w:tr2bl w:val="nil"/>
            </w:tcBorders>
            <w:noWrap w:val="0"/>
            <w:vAlign w:val="center"/>
          </w:tcPr>
          <w:p w14:paraId="520B42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p>
        </w:tc>
      </w:tr>
      <w:tr w14:paraId="64B3D8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284" w:type="dxa"/>
            <w:vMerge w:val="restart"/>
            <w:tcBorders>
              <w:tl2br w:val="nil"/>
              <w:tr2bl w:val="nil"/>
            </w:tcBorders>
            <w:noWrap w:val="0"/>
            <w:vAlign w:val="center"/>
          </w:tcPr>
          <w:p w14:paraId="45DA4CD4">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一般防渗区</w:t>
            </w:r>
          </w:p>
        </w:tc>
        <w:tc>
          <w:tcPr>
            <w:tcW w:w="0" w:type="auto"/>
            <w:tcBorders>
              <w:tl2br w:val="nil"/>
              <w:tr2bl w:val="nil"/>
            </w:tcBorders>
            <w:noWrap w:val="0"/>
            <w:vAlign w:val="center"/>
          </w:tcPr>
          <w:p w14:paraId="36B7AFAE">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弱</w:t>
            </w:r>
          </w:p>
        </w:tc>
        <w:tc>
          <w:tcPr>
            <w:tcW w:w="0" w:type="auto"/>
            <w:tcBorders>
              <w:tl2br w:val="nil"/>
              <w:tr2bl w:val="nil"/>
            </w:tcBorders>
            <w:noWrap w:val="0"/>
            <w:vAlign w:val="center"/>
          </w:tcPr>
          <w:p w14:paraId="10AC8B50">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易-难</w:t>
            </w:r>
          </w:p>
        </w:tc>
        <w:tc>
          <w:tcPr>
            <w:tcW w:w="0" w:type="auto"/>
            <w:vMerge w:val="restart"/>
            <w:tcBorders>
              <w:tl2br w:val="nil"/>
              <w:tr2bl w:val="nil"/>
            </w:tcBorders>
            <w:noWrap w:val="0"/>
            <w:vAlign w:val="center"/>
          </w:tcPr>
          <w:p w14:paraId="119BAC71">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其他类型</w:t>
            </w:r>
          </w:p>
        </w:tc>
        <w:tc>
          <w:tcPr>
            <w:tcW w:w="3114" w:type="dxa"/>
            <w:vMerge w:val="restart"/>
            <w:tcBorders>
              <w:tl2br w:val="nil"/>
              <w:tr2bl w:val="nil"/>
            </w:tcBorders>
            <w:noWrap w:val="0"/>
            <w:vAlign w:val="center"/>
          </w:tcPr>
          <w:p w14:paraId="1A49EF2F">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等效黏土防渗层Mb&gt;1.5m，K&lt;1×10</w:t>
            </w:r>
            <w:r>
              <w:rPr>
                <w:rFonts w:hint="default" w:ascii="Times New Roman" w:hAnsi="Times New Roman" w:eastAsia="宋体" w:cs="Times New Roman"/>
                <w:snapToGrid/>
                <w:color w:val="auto"/>
                <w:spacing w:val="0"/>
                <w:w w:val="100"/>
                <w:kern w:val="0"/>
                <w:position w:val="0"/>
                <w:sz w:val="21"/>
                <w:szCs w:val="21"/>
                <w:highlight w:val="none"/>
                <w:vertAlign w:val="superscript"/>
              </w:rPr>
              <w:t>-7</w:t>
            </w:r>
            <w:r>
              <w:rPr>
                <w:rFonts w:hint="default" w:ascii="Times New Roman" w:hAnsi="Times New Roman" w:eastAsia="宋体" w:cs="Times New Roman"/>
                <w:snapToGrid/>
                <w:color w:val="auto"/>
                <w:spacing w:val="0"/>
                <w:w w:val="100"/>
                <w:kern w:val="0"/>
                <w:position w:val="0"/>
                <w:sz w:val="21"/>
                <w:szCs w:val="21"/>
                <w:highlight w:val="none"/>
              </w:rPr>
              <w:t>cm/s，或参照GB16889执行</w:t>
            </w:r>
          </w:p>
        </w:tc>
        <w:tc>
          <w:tcPr>
            <w:tcW w:w="1194" w:type="dxa"/>
            <w:vMerge w:val="restart"/>
            <w:tcBorders>
              <w:tl2br w:val="nil"/>
              <w:tr2bl w:val="nil"/>
            </w:tcBorders>
            <w:noWrap w:val="0"/>
            <w:vAlign w:val="center"/>
          </w:tcPr>
          <w:p w14:paraId="06E7018C">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其他类型</w:t>
            </w:r>
          </w:p>
        </w:tc>
      </w:tr>
      <w:tr w14:paraId="734741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284" w:type="dxa"/>
            <w:vMerge w:val="continue"/>
            <w:tcBorders>
              <w:tl2br w:val="nil"/>
              <w:tr2bl w:val="nil"/>
            </w:tcBorders>
            <w:noWrap w:val="0"/>
            <w:vAlign w:val="center"/>
          </w:tcPr>
          <w:p w14:paraId="509B2F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p>
        </w:tc>
        <w:tc>
          <w:tcPr>
            <w:tcW w:w="0" w:type="auto"/>
            <w:tcBorders>
              <w:tl2br w:val="nil"/>
              <w:tr2bl w:val="nil"/>
            </w:tcBorders>
            <w:noWrap w:val="0"/>
            <w:vAlign w:val="center"/>
          </w:tcPr>
          <w:p w14:paraId="545C21D4">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中-强</w:t>
            </w:r>
          </w:p>
        </w:tc>
        <w:tc>
          <w:tcPr>
            <w:tcW w:w="0" w:type="auto"/>
            <w:tcBorders>
              <w:tl2br w:val="nil"/>
              <w:tr2bl w:val="nil"/>
            </w:tcBorders>
            <w:noWrap w:val="0"/>
            <w:vAlign w:val="center"/>
          </w:tcPr>
          <w:p w14:paraId="5CBC4041">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难</w:t>
            </w:r>
          </w:p>
        </w:tc>
        <w:tc>
          <w:tcPr>
            <w:tcW w:w="0" w:type="auto"/>
            <w:vMerge w:val="continue"/>
            <w:tcBorders>
              <w:tl2br w:val="nil"/>
              <w:tr2bl w:val="nil"/>
            </w:tcBorders>
            <w:noWrap w:val="0"/>
            <w:vAlign w:val="center"/>
          </w:tcPr>
          <w:p w14:paraId="03C224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p>
        </w:tc>
        <w:tc>
          <w:tcPr>
            <w:tcW w:w="3114" w:type="dxa"/>
            <w:vMerge w:val="continue"/>
            <w:tcBorders>
              <w:tl2br w:val="nil"/>
              <w:tr2bl w:val="nil"/>
            </w:tcBorders>
            <w:noWrap w:val="0"/>
            <w:vAlign w:val="center"/>
          </w:tcPr>
          <w:p w14:paraId="7C6CFB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p>
        </w:tc>
        <w:tc>
          <w:tcPr>
            <w:tcW w:w="1194" w:type="dxa"/>
            <w:vMerge w:val="continue"/>
            <w:tcBorders>
              <w:tl2br w:val="nil"/>
              <w:tr2bl w:val="nil"/>
            </w:tcBorders>
            <w:noWrap w:val="0"/>
            <w:vAlign w:val="center"/>
          </w:tcPr>
          <w:p w14:paraId="345020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p>
        </w:tc>
      </w:tr>
      <w:tr w14:paraId="07D398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284" w:type="dxa"/>
            <w:vMerge w:val="continue"/>
            <w:tcBorders>
              <w:tl2br w:val="nil"/>
              <w:tr2bl w:val="nil"/>
            </w:tcBorders>
            <w:noWrap w:val="0"/>
            <w:vAlign w:val="center"/>
          </w:tcPr>
          <w:p w14:paraId="13F712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p>
        </w:tc>
        <w:tc>
          <w:tcPr>
            <w:tcW w:w="0" w:type="auto"/>
            <w:tcBorders>
              <w:tl2br w:val="nil"/>
              <w:tr2bl w:val="nil"/>
            </w:tcBorders>
            <w:noWrap w:val="0"/>
            <w:vAlign w:val="center"/>
          </w:tcPr>
          <w:p w14:paraId="61FC0CCB">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中</w:t>
            </w:r>
          </w:p>
        </w:tc>
        <w:tc>
          <w:tcPr>
            <w:tcW w:w="0" w:type="auto"/>
            <w:tcBorders>
              <w:tl2br w:val="nil"/>
              <w:tr2bl w:val="nil"/>
            </w:tcBorders>
            <w:noWrap w:val="0"/>
            <w:vAlign w:val="center"/>
          </w:tcPr>
          <w:p w14:paraId="1A5AE0B9">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易</w:t>
            </w:r>
          </w:p>
        </w:tc>
        <w:tc>
          <w:tcPr>
            <w:tcW w:w="0" w:type="auto"/>
            <w:vMerge w:val="restart"/>
            <w:tcBorders>
              <w:tl2br w:val="nil"/>
              <w:tr2bl w:val="nil"/>
            </w:tcBorders>
            <w:noWrap w:val="0"/>
            <w:vAlign w:val="center"/>
          </w:tcPr>
          <w:p w14:paraId="16EBE0B1">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重金属、持久性有机物污染物</w:t>
            </w:r>
          </w:p>
        </w:tc>
        <w:tc>
          <w:tcPr>
            <w:tcW w:w="3114" w:type="dxa"/>
            <w:vMerge w:val="continue"/>
            <w:tcBorders>
              <w:tl2br w:val="nil"/>
              <w:tr2bl w:val="nil"/>
            </w:tcBorders>
            <w:noWrap w:val="0"/>
            <w:vAlign w:val="center"/>
          </w:tcPr>
          <w:p w14:paraId="2DCD79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p>
        </w:tc>
        <w:tc>
          <w:tcPr>
            <w:tcW w:w="1194" w:type="dxa"/>
            <w:vMerge w:val="continue"/>
            <w:tcBorders>
              <w:tl2br w:val="nil"/>
              <w:tr2bl w:val="nil"/>
            </w:tcBorders>
            <w:noWrap w:val="0"/>
            <w:vAlign w:val="center"/>
          </w:tcPr>
          <w:p w14:paraId="007A82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p>
        </w:tc>
      </w:tr>
      <w:tr w14:paraId="228F38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284" w:type="dxa"/>
            <w:vMerge w:val="continue"/>
            <w:tcBorders>
              <w:tl2br w:val="nil"/>
              <w:tr2bl w:val="nil"/>
            </w:tcBorders>
            <w:noWrap w:val="0"/>
            <w:vAlign w:val="center"/>
          </w:tcPr>
          <w:p w14:paraId="13E60A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p>
        </w:tc>
        <w:tc>
          <w:tcPr>
            <w:tcW w:w="0" w:type="auto"/>
            <w:tcBorders>
              <w:tl2br w:val="nil"/>
              <w:tr2bl w:val="nil"/>
            </w:tcBorders>
            <w:noWrap w:val="0"/>
            <w:vAlign w:val="center"/>
          </w:tcPr>
          <w:p w14:paraId="3A0B4173">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强</w:t>
            </w:r>
          </w:p>
        </w:tc>
        <w:tc>
          <w:tcPr>
            <w:tcW w:w="0" w:type="auto"/>
            <w:tcBorders>
              <w:tl2br w:val="nil"/>
              <w:tr2bl w:val="nil"/>
            </w:tcBorders>
            <w:noWrap w:val="0"/>
            <w:vAlign w:val="center"/>
          </w:tcPr>
          <w:p w14:paraId="6BC37962">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易</w:t>
            </w:r>
          </w:p>
        </w:tc>
        <w:tc>
          <w:tcPr>
            <w:tcW w:w="0" w:type="auto"/>
            <w:vMerge w:val="continue"/>
            <w:tcBorders>
              <w:tl2br w:val="nil"/>
              <w:tr2bl w:val="nil"/>
            </w:tcBorders>
            <w:noWrap w:val="0"/>
            <w:vAlign w:val="center"/>
          </w:tcPr>
          <w:p w14:paraId="6F1F6B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p>
        </w:tc>
        <w:tc>
          <w:tcPr>
            <w:tcW w:w="3114" w:type="dxa"/>
            <w:vMerge w:val="continue"/>
            <w:tcBorders>
              <w:tl2br w:val="nil"/>
              <w:tr2bl w:val="nil"/>
            </w:tcBorders>
            <w:noWrap w:val="0"/>
            <w:vAlign w:val="center"/>
          </w:tcPr>
          <w:p w14:paraId="483BB7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p>
        </w:tc>
        <w:tc>
          <w:tcPr>
            <w:tcW w:w="1194" w:type="dxa"/>
            <w:vMerge w:val="continue"/>
            <w:tcBorders>
              <w:tl2br w:val="nil"/>
              <w:tr2bl w:val="nil"/>
            </w:tcBorders>
            <w:noWrap w:val="0"/>
            <w:vAlign w:val="center"/>
          </w:tcPr>
          <w:p w14:paraId="1C07E9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p>
        </w:tc>
      </w:tr>
      <w:tr w14:paraId="64B661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1284" w:type="dxa"/>
            <w:tcBorders>
              <w:tl2br w:val="nil"/>
              <w:tr2bl w:val="nil"/>
            </w:tcBorders>
            <w:noWrap w:val="0"/>
            <w:vAlign w:val="center"/>
          </w:tcPr>
          <w:p w14:paraId="41FF4705">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简单防渗区</w:t>
            </w:r>
          </w:p>
        </w:tc>
        <w:tc>
          <w:tcPr>
            <w:tcW w:w="1174" w:type="dxa"/>
            <w:tcBorders>
              <w:tl2br w:val="nil"/>
              <w:tr2bl w:val="nil"/>
            </w:tcBorders>
            <w:noWrap w:val="0"/>
            <w:vAlign w:val="center"/>
          </w:tcPr>
          <w:p w14:paraId="46777B9F">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中-强</w:t>
            </w:r>
          </w:p>
        </w:tc>
        <w:tc>
          <w:tcPr>
            <w:tcW w:w="982" w:type="dxa"/>
            <w:tcBorders>
              <w:tl2br w:val="nil"/>
              <w:tr2bl w:val="nil"/>
            </w:tcBorders>
            <w:noWrap w:val="0"/>
            <w:vAlign w:val="center"/>
          </w:tcPr>
          <w:p w14:paraId="10940BD1">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易</w:t>
            </w:r>
          </w:p>
        </w:tc>
        <w:tc>
          <w:tcPr>
            <w:tcW w:w="1565" w:type="dxa"/>
            <w:tcBorders>
              <w:tl2br w:val="nil"/>
              <w:tr2bl w:val="nil"/>
            </w:tcBorders>
            <w:noWrap w:val="0"/>
            <w:vAlign w:val="center"/>
          </w:tcPr>
          <w:p w14:paraId="3D3195F0">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其他类型</w:t>
            </w:r>
          </w:p>
        </w:tc>
        <w:tc>
          <w:tcPr>
            <w:tcW w:w="3114" w:type="dxa"/>
            <w:tcBorders>
              <w:tl2br w:val="nil"/>
              <w:tr2bl w:val="nil"/>
            </w:tcBorders>
            <w:noWrap w:val="0"/>
            <w:vAlign w:val="center"/>
          </w:tcPr>
          <w:p w14:paraId="57ECAB45">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0"/>
                <w:position w:val="0"/>
                <w:sz w:val="21"/>
                <w:szCs w:val="21"/>
                <w:highlight w:val="none"/>
              </w:rPr>
            </w:pPr>
            <w:r>
              <w:rPr>
                <w:rFonts w:hint="default" w:ascii="Times New Roman" w:hAnsi="Times New Roman" w:eastAsia="宋体" w:cs="Times New Roman"/>
                <w:snapToGrid/>
                <w:color w:val="auto"/>
                <w:spacing w:val="0"/>
                <w:w w:val="100"/>
                <w:kern w:val="0"/>
                <w:position w:val="0"/>
                <w:sz w:val="21"/>
                <w:szCs w:val="21"/>
                <w:highlight w:val="none"/>
              </w:rPr>
              <w:t>一般地面硬化</w:t>
            </w:r>
          </w:p>
        </w:tc>
        <w:tc>
          <w:tcPr>
            <w:tcW w:w="1194" w:type="dxa"/>
            <w:tcBorders>
              <w:tl2br w:val="nil"/>
              <w:tr2bl w:val="nil"/>
            </w:tcBorders>
            <w:noWrap w:val="0"/>
            <w:vAlign w:val="center"/>
          </w:tcPr>
          <w:p w14:paraId="3E997C7B">
            <w:pPr>
              <w:pStyle w:val="4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snapToGrid/>
                <w:color w:val="auto"/>
                <w:spacing w:val="0"/>
                <w:w w:val="100"/>
                <w:kern w:val="0"/>
                <w:position w:val="0"/>
                <w:sz w:val="21"/>
                <w:szCs w:val="21"/>
                <w:highlight w:val="none"/>
                <w:lang w:eastAsia="zh"/>
              </w:rPr>
            </w:pPr>
            <w:r>
              <w:rPr>
                <w:rFonts w:hint="default" w:ascii="Times New Roman" w:hAnsi="Times New Roman" w:eastAsia="宋体" w:cs="Times New Roman"/>
                <w:snapToGrid/>
                <w:color w:val="auto"/>
                <w:spacing w:val="0"/>
                <w:w w:val="100"/>
                <w:kern w:val="0"/>
                <w:position w:val="0"/>
                <w:sz w:val="21"/>
                <w:szCs w:val="21"/>
                <w:highlight w:val="none"/>
              </w:rPr>
              <w:t>其他类型</w:t>
            </w:r>
          </w:p>
        </w:tc>
      </w:tr>
    </w:tbl>
    <w:p w14:paraId="637CB7B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snapToGrid/>
          <w:color w:val="auto"/>
          <w:spacing w:val="0"/>
          <w:w w:val="100"/>
          <w:kern w:val="0"/>
          <w:position w:val="0"/>
          <w:sz w:val="24"/>
          <w:szCs w:val="24"/>
          <w:highlight w:val="none"/>
        </w:rPr>
      </w:pPr>
      <w:r>
        <w:rPr>
          <w:rFonts w:hint="default" w:ascii="Times New Roman" w:hAnsi="Times New Roman" w:eastAsia="宋体" w:cs="Times New Roman"/>
          <w:snapToGrid/>
          <w:color w:val="auto"/>
          <w:spacing w:val="0"/>
          <w:w w:val="100"/>
          <w:kern w:val="0"/>
          <w:position w:val="0"/>
          <w:sz w:val="24"/>
          <w:szCs w:val="24"/>
          <w:highlight w:val="none"/>
        </w:rPr>
        <w:t>参照《环境影响评价技术导则</w:t>
      </w:r>
      <w:r>
        <w:rPr>
          <w:rFonts w:hint="default" w:ascii="Times New Roman" w:hAnsi="Times New Roman" w:eastAsia="宋体" w:cs="Times New Roman"/>
          <w:snapToGrid/>
          <w:color w:val="auto"/>
          <w:spacing w:val="0"/>
          <w:w w:val="100"/>
          <w:kern w:val="0"/>
          <w:position w:val="0"/>
          <w:sz w:val="24"/>
          <w:szCs w:val="24"/>
          <w:highlight w:val="none"/>
          <w:lang w:val="en-US" w:eastAsia="zh-CN"/>
        </w:rPr>
        <w:t xml:space="preserve"> </w:t>
      </w:r>
      <w:r>
        <w:rPr>
          <w:rFonts w:hint="default" w:ascii="Times New Roman" w:hAnsi="Times New Roman" w:eastAsia="宋体" w:cs="Times New Roman"/>
          <w:snapToGrid/>
          <w:color w:val="auto"/>
          <w:spacing w:val="0"/>
          <w:w w:val="100"/>
          <w:kern w:val="0"/>
          <w:position w:val="0"/>
          <w:sz w:val="24"/>
          <w:szCs w:val="24"/>
          <w:highlight w:val="none"/>
        </w:rPr>
        <w:t>地下水环境》（HJ610-2016）的要求，并根据厂区可能泄漏至地面区域污染物的性质以及各设施及建构筑物污染物</w:t>
      </w:r>
      <w:r>
        <w:rPr>
          <w:rFonts w:hint="default" w:ascii="Times New Roman" w:hAnsi="Times New Roman" w:eastAsia="宋体" w:cs="Times New Roman"/>
          <w:snapToGrid/>
          <w:color w:val="auto"/>
          <w:spacing w:val="0"/>
          <w:w w:val="100"/>
          <w:kern w:val="0"/>
          <w:position w:val="0"/>
          <w:sz w:val="24"/>
          <w:szCs w:val="24"/>
          <w:highlight w:val="none"/>
          <w:lang w:eastAsia="zh-CN"/>
        </w:rPr>
        <w:t>难以</w:t>
      </w:r>
      <w:r>
        <w:rPr>
          <w:rFonts w:hint="default" w:ascii="Times New Roman" w:hAnsi="Times New Roman" w:eastAsia="宋体" w:cs="Times New Roman"/>
          <w:snapToGrid/>
          <w:color w:val="auto"/>
          <w:spacing w:val="0"/>
          <w:w w:val="100"/>
          <w:kern w:val="0"/>
          <w:position w:val="0"/>
          <w:sz w:val="24"/>
          <w:szCs w:val="24"/>
          <w:highlight w:val="none"/>
        </w:rPr>
        <w:t>控制程度进行分级，本项目分区防渗情况如下：</w:t>
      </w:r>
    </w:p>
    <w:p w14:paraId="5C94008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snapToGrid/>
          <w:color w:val="auto"/>
          <w:spacing w:val="0"/>
          <w:w w:val="100"/>
          <w:kern w:val="0"/>
          <w:position w:val="0"/>
          <w:sz w:val="24"/>
          <w:szCs w:val="24"/>
          <w:highlight w:val="none"/>
        </w:rPr>
      </w:pPr>
      <w:r>
        <w:rPr>
          <w:rFonts w:hint="default" w:ascii="Times New Roman" w:hAnsi="Times New Roman" w:eastAsia="宋体" w:cs="Times New Roman"/>
          <w:snapToGrid/>
          <w:color w:val="auto"/>
          <w:spacing w:val="0"/>
          <w:w w:val="100"/>
          <w:kern w:val="21"/>
          <w:position w:val="0"/>
          <w:sz w:val="24"/>
          <w:szCs w:val="24"/>
          <w:highlight w:val="none"/>
        </w:rPr>
        <w:t>将</w:t>
      </w:r>
      <w:r>
        <w:rPr>
          <w:rFonts w:hint="eastAsia" w:cs="Times New Roman"/>
          <w:snapToGrid/>
          <w:color w:val="auto"/>
          <w:spacing w:val="0"/>
          <w:w w:val="100"/>
          <w:kern w:val="21"/>
          <w:position w:val="0"/>
          <w:sz w:val="24"/>
          <w:szCs w:val="24"/>
          <w:highlight w:val="none"/>
          <w:lang w:val="en-US" w:eastAsia="zh-CN"/>
        </w:rPr>
        <w:t>厂区</w:t>
      </w:r>
      <w:r>
        <w:rPr>
          <w:rFonts w:hint="default" w:ascii="Times New Roman" w:hAnsi="Times New Roman" w:eastAsia="宋体" w:cs="Times New Roman"/>
          <w:snapToGrid/>
          <w:color w:val="auto"/>
          <w:spacing w:val="0"/>
          <w:w w:val="100"/>
          <w:kern w:val="21"/>
          <w:position w:val="0"/>
          <w:sz w:val="24"/>
          <w:szCs w:val="24"/>
          <w:highlight w:val="none"/>
        </w:rPr>
        <w:t>划分为重点防渗区（</w:t>
      </w:r>
      <w:r>
        <w:rPr>
          <w:rFonts w:hint="default" w:ascii="Times New Roman" w:hAnsi="Times New Roman" w:eastAsia="宋体" w:cs="Times New Roman"/>
          <w:snapToGrid/>
          <w:color w:val="auto"/>
          <w:spacing w:val="0"/>
          <w:w w:val="100"/>
          <w:kern w:val="0"/>
          <w:position w:val="0"/>
          <w:sz w:val="24"/>
          <w:szCs w:val="24"/>
          <w:highlight w:val="none"/>
          <w:lang w:val="en-US" w:eastAsia="zh-CN"/>
        </w:rPr>
        <w:t>危废贮存库</w:t>
      </w:r>
      <w:r>
        <w:rPr>
          <w:rFonts w:hint="default" w:ascii="Times New Roman" w:hAnsi="Times New Roman" w:eastAsia="宋体" w:cs="Times New Roman"/>
          <w:snapToGrid/>
          <w:color w:val="auto"/>
          <w:spacing w:val="0"/>
          <w:w w:val="100"/>
          <w:kern w:val="0"/>
          <w:position w:val="0"/>
          <w:sz w:val="24"/>
          <w:szCs w:val="24"/>
          <w:highlight w:val="none"/>
        </w:rPr>
        <w:t>），一般防渗区（</w:t>
      </w:r>
      <w:r>
        <w:rPr>
          <w:rFonts w:hint="default" w:ascii="Times New Roman" w:hAnsi="Times New Roman" w:eastAsia="宋体" w:cs="Times New Roman"/>
          <w:snapToGrid/>
          <w:color w:val="auto"/>
          <w:spacing w:val="0"/>
          <w:w w:val="100"/>
          <w:kern w:val="0"/>
          <w:position w:val="0"/>
          <w:sz w:val="24"/>
          <w:szCs w:val="24"/>
          <w:highlight w:val="none"/>
          <w:lang w:val="en-US" w:eastAsia="zh-CN"/>
        </w:rPr>
        <w:t>生产车间、</w:t>
      </w:r>
      <w:r>
        <w:rPr>
          <w:rFonts w:hint="eastAsia" w:cs="Times New Roman"/>
          <w:snapToGrid/>
          <w:color w:val="auto"/>
          <w:spacing w:val="0"/>
          <w:w w:val="100"/>
          <w:kern w:val="0"/>
          <w:position w:val="0"/>
          <w:sz w:val="24"/>
          <w:szCs w:val="24"/>
          <w:highlight w:val="none"/>
          <w:lang w:val="en-US" w:eastAsia="zh-CN"/>
        </w:rPr>
        <w:t>一般固废暂存区</w:t>
      </w:r>
      <w:r>
        <w:rPr>
          <w:rFonts w:hint="default" w:ascii="Times New Roman" w:hAnsi="Times New Roman" w:eastAsia="宋体" w:cs="Times New Roman"/>
          <w:snapToGrid/>
          <w:color w:val="auto"/>
          <w:spacing w:val="0"/>
          <w:w w:val="100"/>
          <w:kern w:val="0"/>
          <w:position w:val="0"/>
          <w:sz w:val="24"/>
          <w:szCs w:val="24"/>
          <w:highlight w:val="none"/>
        </w:rPr>
        <w:t>）。</w:t>
      </w:r>
    </w:p>
    <w:p w14:paraId="1006B9B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snapToGrid/>
          <w:color w:val="auto"/>
          <w:spacing w:val="0"/>
          <w:w w:val="100"/>
          <w:kern w:val="0"/>
          <w:position w:val="0"/>
          <w:sz w:val="24"/>
          <w:szCs w:val="24"/>
          <w:highlight w:val="none"/>
        </w:rPr>
      </w:pPr>
      <w:r>
        <w:rPr>
          <w:rFonts w:hint="eastAsia" w:ascii="Times New Roman" w:hAnsi="Times New Roman" w:eastAsia="宋体" w:cs="Times New Roman"/>
          <w:snapToGrid/>
          <w:color w:val="auto"/>
          <w:spacing w:val="0"/>
          <w:w w:val="100"/>
          <w:kern w:val="0"/>
          <w:position w:val="0"/>
          <w:sz w:val="24"/>
          <w:szCs w:val="24"/>
          <w:highlight w:val="none"/>
          <w:lang w:eastAsia="zh-CN"/>
        </w:rPr>
        <w:t>（</w:t>
      </w:r>
      <w:r>
        <w:rPr>
          <w:rFonts w:hint="default" w:ascii="Times New Roman" w:hAnsi="Times New Roman" w:eastAsia="宋体" w:cs="Times New Roman"/>
          <w:snapToGrid/>
          <w:color w:val="auto"/>
          <w:spacing w:val="0"/>
          <w:w w:val="100"/>
          <w:kern w:val="0"/>
          <w:position w:val="0"/>
          <w:sz w:val="24"/>
          <w:szCs w:val="24"/>
          <w:highlight w:val="none"/>
        </w:rPr>
        <w:t>1）重点防渗区</w:t>
      </w:r>
    </w:p>
    <w:p w14:paraId="59AFE1B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snapToGrid/>
          <w:color w:val="auto"/>
          <w:spacing w:val="0"/>
          <w:w w:val="100"/>
          <w:kern w:val="0"/>
          <w:position w:val="0"/>
          <w:sz w:val="24"/>
          <w:szCs w:val="24"/>
          <w:highlight w:val="none"/>
        </w:rPr>
      </w:pPr>
      <w:r>
        <w:rPr>
          <w:rFonts w:hint="default" w:ascii="Times New Roman" w:hAnsi="Times New Roman" w:eastAsia="宋体" w:cs="Times New Roman"/>
          <w:snapToGrid/>
          <w:color w:val="auto"/>
          <w:spacing w:val="0"/>
          <w:w w:val="100"/>
          <w:kern w:val="0"/>
          <w:position w:val="0"/>
          <w:sz w:val="24"/>
          <w:szCs w:val="24"/>
          <w:highlight w:val="none"/>
        </w:rPr>
        <w:t>本项目重点防渗区（天然包气带防污性能中，污染控制难易程度）主要为</w:t>
      </w:r>
      <w:r>
        <w:rPr>
          <w:rFonts w:hint="default" w:ascii="Times New Roman" w:hAnsi="Times New Roman" w:eastAsia="宋体" w:cs="Times New Roman"/>
          <w:snapToGrid/>
          <w:color w:val="auto"/>
          <w:spacing w:val="0"/>
          <w:w w:val="100"/>
          <w:kern w:val="0"/>
          <w:position w:val="0"/>
          <w:sz w:val="24"/>
          <w:szCs w:val="24"/>
          <w:highlight w:val="none"/>
          <w:lang w:val="en-US" w:eastAsia="zh-CN"/>
        </w:rPr>
        <w:t>危废贮存库</w:t>
      </w:r>
      <w:r>
        <w:rPr>
          <w:rFonts w:hint="default" w:ascii="Times New Roman" w:hAnsi="Times New Roman" w:eastAsia="宋体" w:cs="Times New Roman"/>
          <w:snapToGrid/>
          <w:color w:val="auto"/>
          <w:spacing w:val="0"/>
          <w:w w:val="100"/>
          <w:kern w:val="0"/>
          <w:position w:val="0"/>
          <w:sz w:val="24"/>
          <w:szCs w:val="24"/>
          <w:highlight w:val="none"/>
        </w:rPr>
        <w:t>。</w:t>
      </w:r>
    </w:p>
    <w:p w14:paraId="57414A2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snapToGrid/>
          <w:color w:val="auto"/>
          <w:spacing w:val="0"/>
          <w:w w:val="100"/>
          <w:kern w:val="0"/>
          <w:position w:val="0"/>
          <w:sz w:val="24"/>
          <w:szCs w:val="24"/>
          <w:highlight w:val="none"/>
        </w:rPr>
      </w:pPr>
      <w:r>
        <w:rPr>
          <w:rFonts w:hint="default" w:ascii="Times New Roman" w:hAnsi="Times New Roman" w:eastAsia="宋体" w:cs="Times New Roman"/>
          <w:snapToGrid/>
          <w:color w:val="auto"/>
          <w:spacing w:val="0"/>
          <w:w w:val="100"/>
          <w:kern w:val="0"/>
          <w:position w:val="0"/>
          <w:sz w:val="24"/>
          <w:szCs w:val="24"/>
          <w:highlight w:val="none"/>
        </w:rPr>
        <w:t>危废贮存库按《危险废物贮存污染控制标准》</w:t>
      </w:r>
      <w:r>
        <w:rPr>
          <w:rFonts w:hint="default" w:ascii="Times New Roman" w:hAnsi="Times New Roman" w:eastAsia="宋体" w:cs="Times New Roman"/>
          <w:snapToGrid/>
          <w:color w:val="auto"/>
          <w:spacing w:val="0"/>
          <w:w w:val="100"/>
          <w:kern w:val="0"/>
          <w:position w:val="0"/>
          <w:sz w:val="24"/>
          <w:szCs w:val="24"/>
          <w:highlight w:val="none"/>
          <w:lang w:eastAsia="zh-CN"/>
        </w:rPr>
        <w:t>（</w:t>
      </w:r>
      <w:r>
        <w:rPr>
          <w:rFonts w:hint="default" w:ascii="Times New Roman" w:hAnsi="Times New Roman" w:eastAsia="宋体" w:cs="Times New Roman"/>
          <w:snapToGrid/>
          <w:color w:val="auto"/>
          <w:spacing w:val="0"/>
          <w:w w:val="100"/>
          <w:kern w:val="0"/>
          <w:position w:val="0"/>
          <w:sz w:val="24"/>
          <w:szCs w:val="24"/>
          <w:highlight w:val="none"/>
        </w:rPr>
        <w:t>GB18597-2023</w:t>
      </w:r>
      <w:r>
        <w:rPr>
          <w:rFonts w:hint="default" w:ascii="Times New Roman" w:hAnsi="Times New Roman" w:eastAsia="宋体" w:cs="Times New Roman"/>
          <w:snapToGrid/>
          <w:color w:val="auto"/>
          <w:spacing w:val="0"/>
          <w:w w:val="100"/>
          <w:kern w:val="0"/>
          <w:position w:val="0"/>
          <w:sz w:val="24"/>
          <w:szCs w:val="24"/>
          <w:highlight w:val="none"/>
          <w:lang w:eastAsia="zh-CN"/>
        </w:rPr>
        <w:t>）</w:t>
      </w:r>
      <w:r>
        <w:rPr>
          <w:rFonts w:hint="default" w:ascii="Times New Roman" w:hAnsi="Times New Roman" w:eastAsia="宋体" w:cs="Times New Roman"/>
          <w:snapToGrid/>
          <w:color w:val="auto"/>
          <w:spacing w:val="0"/>
          <w:w w:val="100"/>
          <w:kern w:val="0"/>
          <w:position w:val="0"/>
          <w:sz w:val="24"/>
          <w:szCs w:val="24"/>
          <w:highlight w:val="none"/>
        </w:rPr>
        <w:t>的相关要求，防渗层为至少1m厚黏土层（渗透系数不大于10</w:t>
      </w:r>
      <w:r>
        <w:rPr>
          <w:rFonts w:hint="default" w:ascii="Times New Roman" w:hAnsi="Times New Roman" w:eastAsia="宋体" w:cs="Times New Roman"/>
          <w:snapToGrid/>
          <w:color w:val="auto"/>
          <w:spacing w:val="0"/>
          <w:w w:val="100"/>
          <w:kern w:val="0"/>
          <w:position w:val="0"/>
          <w:sz w:val="24"/>
          <w:szCs w:val="24"/>
          <w:highlight w:val="none"/>
          <w:vertAlign w:val="superscript"/>
          <w:lang w:val="en-US" w:eastAsia="zh-CN"/>
        </w:rPr>
        <w:t>-7</w:t>
      </w:r>
      <w:r>
        <w:rPr>
          <w:rFonts w:hint="default" w:ascii="Times New Roman" w:hAnsi="Times New Roman" w:eastAsia="宋体" w:cs="Times New Roman"/>
          <w:snapToGrid/>
          <w:color w:val="auto"/>
          <w:spacing w:val="0"/>
          <w:w w:val="100"/>
          <w:kern w:val="0"/>
          <w:position w:val="0"/>
          <w:sz w:val="24"/>
          <w:szCs w:val="24"/>
          <w:highlight w:val="none"/>
        </w:rPr>
        <w:t>cm/s），或至少2mm厚高密度聚乙烯膜等人工防渗材料（渗透系数不大于10</w:t>
      </w:r>
      <w:r>
        <w:rPr>
          <w:rFonts w:hint="default" w:ascii="Times New Roman" w:hAnsi="Times New Roman" w:eastAsia="宋体" w:cs="Times New Roman"/>
          <w:snapToGrid/>
          <w:color w:val="auto"/>
          <w:spacing w:val="0"/>
          <w:w w:val="100"/>
          <w:kern w:val="0"/>
          <w:position w:val="0"/>
          <w:sz w:val="24"/>
          <w:szCs w:val="24"/>
          <w:highlight w:val="none"/>
          <w:vertAlign w:val="superscript"/>
          <w:lang w:val="en-US" w:eastAsia="zh-CN"/>
        </w:rPr>
        <w:t>-10</w:t>
      </w:r>
      <w:r>
        <w:rPr>
          <w:rFonts w:hint="default" w:ascii="Times New Roman" w:hAnsi="Times New Roman" w:eastAsia="宋体" w:cs="Times New Roman"/>
          <w:snapToGrid/>
          <w:color w:val="auto"/>
          <w:spacing w:val="0"/>
          <w:w w:val="100"/>
          <w:kern w:val="0"/>
          <w:position w:val="0"/>
          <w:sz w:val="24"/>
          <w:szCs w:val="24"/>
          <w:highlight w:val="none"/>
        </w:rPr>
        <w:t>cm/s），或其他防渗性能等效的材料。对比防渗技术要求，本项目重点防渗区采取的防渗措施满足防渗技术要求。</w:t>
      </w:r>
    </w:p>
    <w:p w14:paraId="35BD585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snapToGrid/>
          <w:color w:val="auto"/>
          <w:spacing w:val="0"/>
          <w:w w:val="100"/>
          <w:kern w:val="0"/>
          <w:position w:val="0"/>
          <w:sz w:val="24"/>
          <w:szCs w:val="24"/>
          <w:highlight w:val="none"/>
        </w:rPr>
      </w:pPr>
      <w:r>
        <w:rPr>
          <w:rFonts w:hint="eastAsia" w:ascii="Times New Roman" w:hAnsi="Times New Roman" w:eastAsia="宋体" w:cs="Times New Roman"/>
          <w:snapToGrid/>
          <w:color w:val="auto"/>
          <w:spacing w:val="0"/>
          <w:w w:val="100"/>
          <w:kern w:val="0"/>
          <w:position w:val="0"/>
          <w:sz w:val="24"/>
          <w:szCs w:val="24"/>
          <w:highlight w:val="none"/>
          <w:lang w:eastAsia="zh-CN"/>
        </w:rPr>
        <w:t>（</w:t>
      </w:r>
      <w:r>
        <w:rPr>
          <w:rFonts w:hint="default" w:ascii="Times New Roman" w:hAnsi="Times New Roman" w:eastAsia="宋体" w:cs="Times New Roman"/>
          <w:snapToGrid/>
          <w:color w:val="auto"/>
          <w:spacing w:val="0"/>
          <w:w w:val="100"/>
          <w:kern w:val="0"/>
          <w:position w:val="0"/>
          <w:sz w:val="24"/>
          <w:szCs w:val="24"/>
          <w:highlight w:val="none"/>
        </w:rPr>
        <w:t>2）一般防渗区</w:t>
      </w:r>
    </w:p>
    <w:p w14:paraId="10CB3AA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snapToGrid/>
          <w:color w:val="auto"/>
          <w:spacing w:val="0"/>
          <w:w w:val="100"/>
          <w:kern w:val="0"/>
          <w:position w:val="0"/>
          <w:sz w:val="24"/>
          <w:szCs w:val="24"/>
          <w:highlight w:val="none"/>
        </w:rPr>
      </w:pPr>
      <w:r>
        <w:rPr>
          <w:rFonts w:hint="default" w:ascii="Times New Roman" w:hAnsi="Times New Roman" w:eastAsia="宋体" w:cs="Times New Roman"/>
          <w:snapToGrid/>
          <w:color w:val="auto"/>
          <w:spacing w:val="0"/>
          <w:w w:val="100"/>
          <w:kern w:val="0"/>
          <w:position w:val="0"/>
          <w:sz w:val="24"/>
          <w:szCs w:val="24"/>
          <w:highlight w:val="none"/>
        </w:rPr>
        <w:t>一般防渗区（天然包气带防污性能中，污染控制难易程度易）为</w:t>
      </w:r>
      <w:r>
        <w:rPr>
          <w:rFonts w:hint="default" w:ascii="Times New Roman" w:hAnsi="Times New Roman" w:eastAsia="宋体" w:cs="Times New Roman"/>
          <w:snapToGrid/>
          <w:color w:val="auto"/>
          <w:spacing w:val="0"/>
          <w:w w:val="100"/>
          <w:kern w:val="0"/>
          <w:position w:val="0"/>
          <w:sz w:val="24"/>
          <w:szCs w:val="24"/>
          <w:highlight w:val="none"/>
          <w:lang w:val="en-US" w:eastAsia="zh-CN"/>
        </w:rPr>
        <w:t>生产车间和</w:t>
      </w:r>
      <w:r>
        <w:rPr>
          <w:rFonts w:hint="eastAsia" w:cs="Times New Roman"/>
          <w:snapToGrid/>
          <w:color w:val="auto"/>
          <w:spacing w:val="0"/>
          <w:w w:val="100"/>
          <w:kern w:val="0"/>
          <w:position w:val="0"/>
          <w:sz w:val="24"/>
          <w:szCs w:val="24"/>
          <w:highlight w:val="none"/>
          <w:lang w:val="en-US" w:eastAsia="zh-CN"/>
        </w:rPr>
        <w:t>一般固废暂存区</w:t>
      </w:r>
      <w:r>
        <w:rPr>
          <w:rFonts w:hint="default" w:ascii="Times New Roman" w:hAnsi="Times New Roman" w:eastAsia="宋体" w:cs="Times New Roman"/>
          <w:snapToGrid/>
          <w:color w:val="auto"/>
          <w:spacing w:val="0"/>
          <w:w w:val="100"/>
          <w:kern w:val="0"/>
          <w:position w:val="0"/>
          <w:sz w:val="24"/>
          <w:szCs w:val="24"/>
          <w:highlight w:val="none"/>
        </w:rPr>
        <w:t>，等效黏土防渗层Mb≥1.5m，渗透系数≤1×10</w:t>
      </w:r>
      <w:r>
        <w:rPr>
          <w:rFonts w:hint="default" w:ascii="Times New Roman" w:hAnsi="Times New Roman" w:eastAsia="宋体" w:cs="Times New Roman"/>
          <w:snapToGrid/>
          <w:color w:val="auto"/>
          <w:spacing w:val="0"/>
          <w:w w:val="100"/>
          <w:kern w:val="0"/>
          <w:position w:val="0"/>
          <w:sz w:val="24"/>
          <w:szCs w:val="24"/>
          <w:highlight w:val="none"/>
          <w:vertAlign w:val="superscript"/>
        </w:rPr>
        <w:t>-7</w:t>
      </w:r>
      <w:r>
        <w:rPr>
          <w:rFonts w:hint="default" w:ascii="Times New Roman" w:hAnsi="Times New Roman" w:eastAsia="宋体" w:cs="Times New Roman"/>
          <w:snapToGrid/>
          <w:color w:val="auto"/>
          <w:spacing w:val="0"/>
          <w:w w:val="100"/>
          <w:kern w:val="0"/>
          <w:position w:val="0"/>
          <w:sz w:val="24"/>
          <w:szCs w:val="24"/>
          <w:highlight w:val="none"/>
        </w:rPr>
        <w:t>cm/s，本项目一般防渗区采取的防渗措施满足防渗技术要求。</w:t>
      </w:r>
    </w:p>
    <w:p w14:paraId="594885C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shd w:val="clear" w:color="auto" w:fill="auto"/>
          <w:lang w:val="en-US" w:eastAsia="zh-CN"/>
        </w:rPr>
      </w:pPr>
      <w:r>
        <w:rPr>
          <w:rFonts w:hint="default" w:ascii="Times New Roman" w:hAnsi="Times New Roman" w:eastAsia="宋体" w:cs="Times New Roman"/>
          <w:snapToGrid/>
          <w:color w:val="auto"/>
          <w:spacing w:val="0"/>
          <w:w w:val="100"/>
          <w:kern w:val="0"/>
          <w:position w:val="0"/>
          <w:sz w:val="24"/>
          <w:szCs w:val="24"/>
          <w:highlight w:val="none"/>
        </w:rPr>
        <w:t>为了确保防渗措施的防渗效果，施工工程中建设单位应加强施工期的管理，严格按防渗设计要求进行施工，并加强防渗措施的日常维护，使防渗措施达到应有的防渗效果。</w:t>
      </w:r>
      <w:r>
        <w:rPr>
          <w:rFonts w:hint="default" w:ascii="Times New Roman" w:hAnsi="Times New Roman" w:eastAsia="宋体" w:cs="Times New Roman"/>
          <w:snapToGrid/>
          <w:color w:val="auto"/>
          <w:spacing w:val="0"/>
          <w:w w:val="100"/>
          <w:kern w:val="0"/>
          <w:position w:val="0"/>
          <w:highlight w:val="none"/>
          <w:lang w:bidi="ar"/>
        </w:rPr>
        <w:t>但拟建项目在生产运行过程中，仍需强化监控手段，定期检查，杜绝厂区内事故性长期排放点源的存在，</w:t>
      </w:r>
      <w:r>
        <w:rPr>
          <w:rFonts w:hint="default" w:ascii="Times New Roman" w:hAnsi="Times New Roman" w:eastAsia="宋体" w:cs="Times New Roman"/>
          <w:snapToGrid/>
          <w:color w:val="auto"/>
          <w:spacing w:val="0"/>
          <w:w w:val="100"/>
          <w:kern w:val="21"/>
          <w:position w:val="0"/>
          <w:highlight w:val="none"/>
          <w:lang w:bidi="ar"/>
        </w:rPr>
        <w:t>一旦发生事故性排放应及时采取合理有效的处置措施，避免生活污水</w:t>
      </w:r>
      <w:r>
        <w:rPr>
          <w:rFonts w:hint="eastAsia" w:cs="Times New Roman"/>
          <w:snapToGrid/>
          <w:color w:val="auto"/>
          <w:spacing w:val="0"/>
          <w:w w:val="100"/>
          <w:kern w:val="21"/>
          <w:position w:val="0"/>
          <w:highlight w:val="none"/>
          <w:lang w:val="en-US" w:eastAsia="zh-CN" w:bidi="ar"/>
        </w:rPr>
        <w:t>因</w:t>
      </w:r>
      <w:r>
        <w:rPr>
          <w:rFonts w:hint="default" w:ascii="Times New Roman" w:hAnsi="Times New Roman" w:eastAsia="宋体" w:cs="Times New Roman"/>
          <w:caps w:val="0"/>
          <w:snapToGrid/>
          <w:color w:val="auto"/>
          <w:spacing w:val="0"/>
          <w:w w:val="100"/>
          <w:kern w:val="0"/>
          <w:position w:val="0"/>
          <w:highlight w:val="none"/>
          <w:lang w:eastAsia="zh-CN" w:bidi="ar"/>
        </w:rPr>
        <w:t>污水管道老化</w:t>
      </w:r>
      <w:r>
        <w:rPr>
          <w:rFonts w:hint="eastAsia" w:ascii="Times New Roman" w:hAnsi="Times New Roman" w:eastAsia="宋体" w:cs="Times New Roman"/>
          <w:caps w:val="0"/>
          <w:snapToGrid/>
          <w:color w:val="auto"/>
          <w:spacing w:val="0"/>
          <w:w w:val="100"/>
          <w:kern w:val="0"/>
          <w:position w:val="0"/>
          <w:highlight w:val="none"/>
          <w:lang w:val="en-US" w:eastAsia="zh-CN" w:bidi="ar"/>
        </w:rPr>
        <w:t>或破裂等原因</w:t>
      </w:r>
      <w:r>
        <w:rPr>
          <w:rFonts w:hint="default" w:ascii="Times New Roman" w:hAnsi="Times New Roman" w:eastAsia="宋体" w:cs="Times New Roman"/>
          <w:snapToGrid/>
          <w:color w:val="auto"/>
          <w:spacing w:val="0"/>
          <w:w w:val="100"/>
          <w:kern w:val="21"/>
          <w:position w:val="0"/>
          <w:highlight w:val="none"/>
          <w:lang w:bidi="ar"/>
        </w:rPr>
        <w:t>造成持续性渗入地下。</w:t>
      </w:r>
    </w:p>
    <w:p w14:paraId="58E72AC0">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lang w:val="en-US" w:eastAsia="zh-CN"/>
        </w:rPr>
      </w:pPr>
      <w:r>
        <w:rPr>
          <w:rFonts w:hint="default" w:ascii="Times New Roman" w:hAnsi="Times New Roman" w:eastAsia="宋体" w:cs="Times New Roman"/>
          <w:caps w:val="0"/>
          <w:snapToGrid/>
          <w:color w:val="auto"/>
          <w:spacing w:val="0"/>
          <w:w w:val="100"/>
          <w:kern w:val="0"/>
          <w:position w:val="0"/>
          <w:highlight w:val="none"/>
          <w:lang w:val="en-US" w:eastAsia="zh-CN"/>
        </w:rPr>
        <w:t>本项目分区防渗措施见表6.2</w:t>
      </w:r>
      <w:r>
        <w:rPr>
          <w:rFonts w:hint="eastAsia" w:cs="Times New Roman"/>
          <w:caps w:val="0"/>
          <w:snapToGrid/>
          <w:color w:val="auto"/>
          <w:spacing w:val="0"/>
          <w:w w:val="100"/>
          <w:kern w:val="0"/>
          <w:position w:val="0"/>
          <w:highlight w:val="none"/>
          <w:lang w:val="en-US" w:eastAsia="zh-CN"/>
        </w:rPr>
        <w:t>.3-4</w:t>
      </w:r>
      <w:r>
        <w:rPr>
          <w:rFonts w:hint="default" w:ascii="Times New Roman" w:hAnsi="Times New Roman" w:eastAsia="宋体" w:cs="Times New Roman"/>
          <w:caps w:val="0"/>
          <w:snapToGrid/>
          <w:color w:val="auto"/>
          <w:spacing w:val="0"/>
          <w:w w:val="100"/>
          <w:kern w:val="0"/>
          <w:position w:val="0"/>
          <w:highlight w:val="none"/>
          <w:lang w:val="en-US" w:eastAsia="zh-CN"/>
        </w:rPr>
        <w:t>。</w:t>
      </w:r>
    </w:p>
    <w:p w14:paraId="3687154F">
      <w:pPr>
        <w:keepNext w:val="0"/>
        <w:keepLines w:val="0"/>
        <w:pageBreakBefore w:val="0"/>
        <w:widowControl w:val="0"/>
        <w:tabs>
          <w:tab w:val="left" w:pos="909"/>
        </w:tabs>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caps w:val="0"/>
          <w:snapToGrid/>
          <w:color w:val="auto"/>
          <w:spacing w:val="0"/>
          <w:w w:val="100"/>
          <w:kern w:val="0"/>
          <w:position w:val="0"/>
          <w:sz w:val="21"/>
          <w:szCs w:val="21"/>
          <w:highlight w:val="none"/>
        </w:rPr>
      </w:pPr>
      <w:r>
        <w:rPr>
          <w:rFonts w:hint="default" w:ascii="Times New Roman" w:hAnsi="Times New Roman" w:eastAsia="宋体" w:cs="Times New Roman"/>
          <w:b/>
          <w:caps w:val="0"/>
          <w:snapToGrid/>
          <w:color w:val="auto"/>
          <w:spacing w:val="0"/>
          <w:w w:val="100"/>
          <w:kern w:val="0"/>
          <w:position w:val="0"/>
          <w:sz w:val="21"/>
          <w:szCs w:val="21"/>
          <w:highlight w:val="none"/>
        </w:rPr>
        <w:t>表</w:t>
      </w:r>
      <w:r>
        <w:rPr>
          <w:rFonts w:hint="default" w:ascii="Times New Roman" w:hAnsi="Times New Roman" w:eastAsia="宋体" w:cs="Times New Roman"/>
          <w:b/>
          <w:caps w:val="0"/>
          <w:snapToGrid/>
          <w:color w:val="auto"/>
          <w:spacing w:val="0"/>
          <w:w w:val="100"/>
          <w:kern w:val="0"/>
          <w:position w:val="0"/>
          <w:sz w:val="21"/>
          <w:szCs w:val="21"/>
          <w:highlight w:val="none"/>
          <w:lang w:val="en-US" w:eastAsia="zh-CN"/>
        </w:rPr>
        <w:t>6</w:t>
      </w:r>
      <w:r>
        <w:rPr>
          <w:rFonts w:hint="default" w:ascii="Times New Roman" w:hAnsi="Times New Roman" w:eastAsia="宋体" w:cs="Times New Roman"/>
          <w:b/>
          <w:caps w:val="0"/>
          <w:snapToGrid/>
          <w:color w:val="auto"/>
          <w:spacing w:val="0"/>
          <w:w w:val="100"/>
          <w:kern w:val="0"/>
          <w:position w:val="0"/>
          <w:sz w:val="21"/>
          <w:szCs w:val="21"/>
          <w:highlight w:val="none"/>
        </w:rPr>
        <w:t>.2</w:t>
      </w:r>
      <w:r>
        <w:rPr>
          <w:rFonts w:hint="eastAsia" w:cs="Times New Roman"/>
          <w:b/>
          <w:caps w:val="0"/>
          <w:snapToGrid/>
          <w:color w:val="auto"/>
          <w:spacing w:val="0"/>
          <w:w w:val="100"/>
          <w:kern w:val="0"/>
          <w:position w:val="0"/>
          <w:sz w:val="21"/>
          <w:szCs w:val="21"/>
          <w:highlight w:val="none"/>
          <w:lang w:val="en-US" w:eastAsia="zh-CN"/>
        </w:rPr>
        <w:t>.3-4</w:t>
      </w:r>
      <w:r>
        <w:rPr>
          <w:rFonts w:hint="default" w:ascii="Times New Roman" w:hAnsi="Times New Roman" w:eastAsia="宋体" w:cs="Times New Roman"/>
          <w:b/>
          <w:caps w:val="0"/>
          <w:snapToGrid/>
          <w:color w:val="auto"/>
          <w:spacing w:val="0"/>
          <w:w w:val="100"/>
          <w:kern w:val="0"/>
          <w:position w:val="0"/>
          <w:sz w:val="21"/>
          <w:szCs w:val="21"/>
          <w:highlight w:val="none"/>
          <w:lang w:val="en-US" w:eastAsia="zh-CN"/>
        </w:rPr>
        <w:t xml:space="preserve">  </w:t>
      </w:r>
      <w:r>
        <w:rPr>
          <w:rFonts w:hint="default" w:ascii="Times New Roman" w:hAnsi="Times New Roman" w:eastAsia="宋体" w:cs="Times New Roman"/>
          <w:b/>
          <w:caps w:val="0"/>
          <w:snapToGrid/>
          <w:color w:val="auto"/>
          <w:spacing w:val="0"/>
          <w:w w:val="100"/>
          <w:kern w:val="0"/>
          <w:position w:val="0"/>
          <w:sz w:val="21"/>
          <w:szCs w:val="21"/>
          <w:highlight w:val="none"/>
        </w:rPr>
        <w:t>建设项目地下水防渗分区一览表</w:t>
      </w:r>
    </w:p>
    <w:tbl>
      <w:tblPr>
        <w:tblStyle w:val="25"/>
        <w:tblW w:w="4997"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57" w:type="dxa"/>
          <w:left w:w="57" w:type="dxa"/>
          <w:bottom w:w="57" w:type="dxa"/>
          <w:right w:w="57" w:type="dxa"/>
        </w:tblCellMar>
      </w:tblPr>
      <w:tblGrid>
        <w:gridCol w:w="773"/>
        <w:gridCol w:w="932"/>
        <w:gridCol w:w="2318"/>
        <w:gridCol w:w="1252"/>
        <w:gridCol w:w="3141"/>
      </w:tblGrid>
      <w:tr w14:paraId="0795677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57" w:type="dxa"/>
            <w:bottom w:w="57" w:type="dxa"/>
            <w:right w:w="57" w:type="dxa"/>
          </w:tblCellMar>
        </w:tblPrEx>
        <w:trPr>
          <w:trHeight w:val="0" w:hRule="atLeast"/>
          <w:jc w:val="center"/>
        </w:trPr>
        <w:tc>
          <w:tcPr>
            <w:tcW w:w="459" w:type="pct"/>
            <w:tcBorders>
              <w:tl2br w:val="nil"/>
              <w:tr2bl w:val="nil"/>
            </w:tcBorders>
            <w:noWrap w:val="0"/>
            <w:vAlign w:val="center"/>
          </w:tcPr>
          <w:p w14:paraId="4B83BB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污染防</w:t>
            </w:r>
          </w:p>
          <w:p w14:paraId="36C159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治区</w:t>
            </w:r>
          </w:p>
        </w:tc>
        <w:tc>
          <w:tcPr>
            <w:tcW w:w="553" w:type="pct"/>
            <w:tcBorders>
              <w:tl2br w:val="nil"/>
              <w:tr2bl w:val="nil"/>
            </w:tcBorders>
            <w:noWrap w:val="0"/>
            <w:vAlign w:val="center"/>
          </w:tcPr>
          <w:p w14:paraId="364701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功能</w:t>
            </w:r>
          </w:p>
          <w:p w14:paraId="3E0908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单元</w:t>
            </w:r>
          </w:p>
        </w:tc>
        <w:tc>
          <w:tcPr>
            <w:tcW w:w="1377" w:type="pct"/>
            <w:tcBorders>
              <w:tl2br w:val="nil"/>
              <w:tr2bl w:val="nil"/>
            </w:tcBorders>
            <w:noWrap w:val="0"/>
            <w:vAlign w:val="center"/>
          </w:tcPr>
          <w:p w14:paraId="719868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防渗要求</w:t>
            </w:r>
          </w:p>
        </w:tc>
        <w:tc>
          <w:tcPr>
            <w:tcW w:w="743" w:type="pct"/>
            <w:tcBorders>
              <w:tl2br w:val="nil"/>
              <w:tr2bl w:val="nil"/>
            </w:tcBorders>
            <w:noWrap w:val="0"/>
            <w:vAlign w:val="center"/>
          </w:tcPr>
          <w:p w14:paraId="4625CD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等效规定</w:t>
            </w:r>
          </w:p>
        </w:tc>
        <w:tc>
          <w:tcPr>
            <w:tcW w:w="1866" w:type="pct"/>
            <w:tcBorders>
              <w:tl2br w:val="nil"/>
              <w:tr2bl w:val="nil"/>
            </w:tcBorders>
            <w:noWrap w:val="0"/>
            <w:vAlign w:val="center"/>
          </w:tcPr>
          <w:p w14:paraId="203068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rPr>
            </w:pPr>
            <w:r>
              <w:rPr>
                <w:rFonts w:hint="default" w:ascii="Times New Roman" w:hAnsi="Times New Roman" w:eastAsia="宋体" w:cs="Times New Roman"/>
                <w:b/>
                <w:bCs/>
                <w:caps w:val="0"/>
                <w:snapToGrid/>
                <w:color w:val="auto"/>
                <w:spacing w:val="0"/>
                <w:w w:val="100"/>
                <w:kern w:val="0"/>
                <w:position w:val="0"/>
                <w:sz w:val="21"/>
                <w:szCs w:val="21"/>
                <w:highlight w:val="none"/>
              </w:rPr>
              <w:t>建议防渗方案</w:t>
            </w:r>
          </w:p>
        </w:tc>
      </w:tr>
      <w:tr w14:paraId="388C1F8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57" w:type="dxa"/>
            <w:bottom w:w="57" w:type="dxa"/>
            <w:right w:w="57" w:type="dxa"/>
          </w:tblCellMar>
        </w:tblPrEx>
        <w:trPr>
          <w:trHeight w:val="0" w:hRule="atLeast"/>
          <w:jc w:val="center"/>
        </w:trPr>
        <w:tc>
          <w:tcPr>
            <w:tcW w:w="459" w:type="pct"/>
            <w:tcBorders>
              <w:tl2br w:val="nil"/>
              <w:tr2bl w:val="nil"/>
            </w:tcBorders>
            <w:noWrap w:val="0"/>
            <w:vAlign w:val="center"/>
          </w:tcPr>
          <w:p w14:paraId="68F163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aps w:val="0"/>
                <w:snapToGrid/>
                <w:color w:val="auto"/>
                <w:spacing w:val="0"/>
                <w:w w:val="100"/>
                <w:kern w:val="0"/>
                <w:position w:val="0"/>
                <w:sz w:val="21"/>
                <w:szCs w:val="21"/>
                <w:highlight w:val="none"/>
              </w:rPr>
            </w:pPr>
            <w:r>
              <w:rPr>
                <w:rFonts w:hint="default" w:ascii="Times New Roman" w:hAnsi="Times New Roman" w:eastAsia="宋体" w:cs="Times New Roman"/>
                <w:b w:val="0"/>
                <w:bCs w:val="0"/>
                <w:caps w:val="0"/>
                <w:snapToGrid/>
                <w:color w:val="auto"/>
                <w:spacing w:val="0"/>
                <w:w w:val="100"/>
                <w:kern w:val="0"/>
                <w:position w:val="0"/>
                <w:sz w:val="21"/>
                <w:szCs w:val="21"/>
                <w:highlight w:val="none"/>
              </w:rPr>
              <w:t>重点防</w:t>
            </w:r>
          </w:p>
          <w:p w14:paraId="5EEBDA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aps w:val="0"/>
                <w:snapToGrid/>
                <w:color w:val="auto"/>
                <w:spacing w:val="0"/>
                <w:w w:val="100"/>
                <w:kern w:val="0"/>
                <w:position w:val="0"/>
                <w:sz w:val="21"/>
                <w:szCs w:val="21"/>
                <w:highlight w:val="none"/>
              </w:rPr>
            </w:pPr>
            <w:r>
              <w:rPr>
                <w:rFonts w:hint="default" w:ascii="Times New Roman" w:hAnsi="Times New Roman" w:eastAsia="宋体" w:cs="Times New Roman"/>
                <w:b w:val="0"/>
                <w:bCs w:val="0"/>
                <w:caps w:val="0"/>
                <w:snapToGrid/>
                <w:color w:val="auto"/>
                <w:spacing w:val="0"/>
                <w:w w:val="100"/>
                <w:kern w:val="0"/>
                <w:position w:val="0"/>
                <w:sz w:val="21"/>
                <w:szCs w:val="21"/>
                <w:highlight w:val="none"/>
              </w:rPr>
              <w:t>治区</w:t>
            </w:r>
          </w:p>
        </w:tc>
        <w:tc>
          <w:tcPr>
            <w:tcW w:w="553" w:type="pct"/>
            <w:tcBorders>
              <w:tl2br w:val="nil"/>
              <w:tr2bl w:val="nil"/>
            </w:tcBorders>
            <w:noWrap w:val="0"/>
            <w:vAlign w:val="center"/>
          </w:tcPr>
          <w:p w14:paraId="497717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0"/>
                <w:position w:val="0"/>
                <w:sz w:val="21"/>
                <w:szCs w:val="21"/>
                <w:highlight w:val="none"/>
                <w:lang w:val="en-US" w:eastAsia="zh"/>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危废贮存</w:t>
            </w: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库</w:t>
            </w:r>
          </w:p>
        </w:tc>
        <w:tc>
          <w:tcPr>
            <w:tcW w:w="1377" w:type="pct"/>
            <w:tcBorders>
              <w:tl2br w:val="nil"/>
              <w:tr2bl w:val="nil"/>
            </w:tcBorders>
            <w:noWrap w:val="0"/>
            <w:vAlign w:val="center"/>
          </w:tcPr>
          <w:p w14:paraId="3577EF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lang w:eastAsia="zh-CN"/>
              </w:rPr>
              <w:t>硬化防渗处理，</w:t>
            </w:r>
            <w:r>
              <w:rPr>
                <w:rFonts w:hint="default" w:ascii="Times New Roman" w:hAnsi="Times New Roman" w:eastAsia="宋体" w:cs="Times New Roman"/>
                <w:bCs/>
                <w:caps w:val="0"/>
                <w:snapToGrid/>
                <w:color w:val="auto"/>
                <w:spacing w:val="0"/>
                <w:w w:val="100"/>
                <w:kern w:val="0"/>
                <w:position w:val="0"/>
                <w:sz w:val="21"/>
                <w:szCs w:val="21"/>
                <w:highlight w:val="none"/>
              </w:rPr>
              <w:t>铺设2.0mmHDPE防渗膜</w:t>
            </w:r>
            <w:r>
              <w:rPr>
                <w:rFonts w:hint="default" w:ascii="Times New Roman" w:hAnsi="Times New Roman" w:eastAsia="宋体" w:cs="Times New Roman"/>
                <w:bCs/>
                <w:caps w:val="0"/>
                <w:snapToGrid/>
                <w:color w:val="auto"/>
                <w:spacing w:val="0"/>
                <w:w w:val="100"/>
                <w:kern w:val="0"/>
                <w:position w:val="0"/>
                <w:sz w:val="21"/>
                <w:szCs w:val="21"/>
                <w:highlight w:val="none"/>
                <w:lang w:eastAsia="zh-CN"/>
              </w:rPr>
              <w:t>，</w:t>
            </w:r>
            <w:r>
              <w:rPr>
                <w:rFonts w:hint="default" w:ascii="Times New Roman" w:hAnsi="Times New Roman" w:eastAsia="宋体" w:cs="Times New Roman"/>
                <w:bCs/>
                <w:caps w:val="0"/>
                <w:snapToGrid/>
                <w:color w:val="auto"/>
                <w:spacing w:val="0"/>
                <w:w w:val="100"/>
                <w:kern w:val="0"/>
                <w:position w:val="0"/>
                <w:sz w:val="21"/>
                <w:szCs w:val="21"/>
                <w:highlight w:val="none"/>
              </w:rPr>
              <w:t>渗透系数不小于1.0×10</w:t>
            </w:r>
            <w:r>
              <w:rPr>
                <w:rFonts w:hint="default" w:ascii="Times New Roman" w:hAnsi="Times New Roman" w:eastAsia="宋体" w:cs="Times New Roman"/>
                <w:bCs/>
                <w:caps w:val="0"/>
                <w:snapToGrid/>
                <w:color w:val="auto"/>
                <w:spacing w:val="0"/>
                <w:w w:val="100"/>
                <w:kern w:val="0"/>
                <w:position w:val="0"/>
                <w:sz w:val="21"/>
                <w:szCs w:val="21"/>
                <w:highlight w:val="none"/>
                <w:vertAlign w:val="superscript"/>
              </w:rPr>
              <w:t>-10</w:t>
            </w:r>
            <w:r>
              <w:rPr>
                <w:rFonts w:hint="default" w:ascii="Times New Roman" w:hAnsi="Times New Roman" w:eastAsia="宋体" w:cs="Times New Roman"/>
                <w:bCs/>
                <w:caps w:val="0"/>
                <w:snapToGrid/>
                <w:color w:val="auto"/>
                <w:spacing w:val="0"/>
                <w:w w:val="100"/>
                <w:kern w:val="0"/>
                <w:position w:val="0"/>
                <w:sz w:val="21"/>
                <w:szCs w:val="21"/>
                <w:highlight w:val="none"/>
              </w:rPr>
              <w:t>cm/s</w:t>
            </w:r>
          </w:p>
        </w:tc>
        <w:tc>
          <w:tcPr>
            <w:tcW w:w="743" w:type="pct"/>
            <w:tcBorders>
              <w:tl2br w:val="nil"/>
              <w:tr2bl w:val="nil"/>
            </w:tcBorders>
            <w:noWrap w:val="0"/>
            <w:vAlign w:val="center"/>
          </w:tcPr>
          <w:p w14:paraId="1D6EC0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rPr>
              <w:t>《危险废物贮存污染控制标准》（GB18597-2023）</w:t>
            </w:r>
            <w:r>
              <w:rPr>
                <w:rFonts w:hint="eastAsia" w:cs="Times New Roman"/>
                <w:caps w:val="0"/>
                <w:snapToGrid/>
                <w:color w:val="auto"/>
                <w:spacing w:val="0"/>
                <w:w w:val="100"/>
                <w:kern w:val="0"/>
                <w:position w:val="0"/>
                <w:sz w:val="21"/>
                <w:szCs w:val="21"/>
                <w:highlight w:val="none"/>
                <w:lang w:val="en-US" w:eastAsia="zh-CN"/>
              </w:rPr>
              <w:t>6.1.4条规定</w:t>
            </w:r>
          </w:p>
        </w:tc>
        <w:tc>
          <w:tcPr>
            <w:tcW w:w="1866" w:type="pct"/>
            <w:tcBorders>
              <w:tl2br w:val="nil"/>
              <w:tr2bl w:val="nil"/>
            </w:tcBorders>
            <w:noWrap w:val="0"/>
            <w:vAlign w:val="center"/>
          </w:tcPr>
          <w:p w14:paraId="01BC80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可采用不低于C30强度等级的混凝土结构，抗渗等级不低于P8，污水沟的内表面涂刷水泥基渗透结晶型防水涂料；或者采用在混凝土内掺加水泥基渗透结晶型防水剂，结构厚度不小于300mm；也可采用2.0mmHDP防渗膜与混凝土结构结合的方式</w:t>
            </w:r>
          </w:p>
        </w:tc>
      </w:tr>
      <w:tr w14:paraId="2E0EE9B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57" w:type="dxa"/>
            <w:left w:w="57" w:type="dxa"/>
            <w:bottom w:w="57" w:type="dxa"/>
            <w:right w:w="57" w:type="dxa"/>
          </w:tblCellMar>
        </w:tblPrEx>
        <w:trPr>
          <w:trHeight w:val="0" w:hRule="atLeast"/>
          <w:jc w:val="center"/>
        </w:trPr>
        <w:tc>
          <w:tcPr>
            <w:tcW w:w="459" w:type="pct"/>
            <w:tcBorders>
              <w:tl2br w:val="nil"/>
              <w:tr2bl w:val="nil"/>
            </w:tcBorders>
            <w:noWrap w:val="0"/>
            <w:vAlign w:val="center"/>
          </w:tcPr>
          <w:p w14:paraId="736866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aps w:val="0"/>
                <w:snapToGrid/>
                <w:color w:val="auto"/>
                <w:spacing w:val="0"/>
                <w:w w:val="100"/>
                <w:kern w:val="0"/>
                <w:position w:val="0"/>
                <w:sz w:val="21"/>
                <w:szCs w:val="21"/>
                <w:highlight w:val="none"/>
              </w:rPr>
            </w:pPr>
            <w:r>
              <w:rPr>
                <w:rFonts w:hint="default" w:ascii="Times New Roman" w:hAnsi="Times New Roman" w:eastAsia="宋体" w:cs="Times New Roman"/>
                <w:b w:val="0"/>
                <w:bCs w:val="0"/>
                <w:caps w:val="0"/>
                <w:snapToGrid/>
                <w:color w:val="auto"/>
                <w:spacing w:val="0"/>
                <w:w w:val="100"/>
                <w:kern w:val="0"/>
                <w:position w:val="0"/>
                <w:sz w:val="21"/>
                <w:szCs w:val="21"/>
                <w:highlight w:val="none"/>
                <w:lang w:eastAsia="zh-CN"/>
              </w:rPr>
              <w:t>一般</w:t>
            </w:r>
            <w:r>
              <w:rPr>
                <w:rFonts w:hint="default" w:ascii="Times New Roman" w:hAnsi="Times New Roman" w:eastAsia="宋体" w:cs="Times New Roman"/>
                <w:b w:val="0"/>
                <w:bCs w:val="0"/>
                <w:caps w:val="0"/>
                <w:snapToGrid/>
                <w:color w:val="auto"/>
                <w:spacing w:val="0"/>
                <w:w w:val="100"/>
                <w:kern w:val="0"/>
                <w:position w:val="0"/>
                <w:sz w:val="21"/>
                <w:szCs w:val="21"/>
                <w:highlight w:val="none"/>
              </w:rPr>
              <w:t>防</w:t>
            </w:r>
          </w:p>
          <w:p w14:paraId="3F025C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aps w:val="0"/>
                <w:snapToGrid/>
                <w:color w:val="auto"/>
                <w:spacing w:val="0"/>
                <w:w w:val="100"/>
                <w:kern w:val="0"/>
                <w:position w:val="0"/>
                <w:sz w:val="21"/>
                <w:szCs w:val="21"/>
                <w:highlight w:val="none"/>
              </w:rPr>
            </w:pPr>
            <w:r>
              <w:rPr>
                <w:rFonts w:hint="default" w:ascii="Times New Roman" w:hAnsi="Times New Roman" w:eastAsia="宋体" w:cs="Times New Roman"/>
                <w:b w:val="0"/>
                <w:bCs w:val="0"/>
                <w:caps w:val="0"/>
                <w:snapToGrid/>
                <w:color w:val="auto"/>
                <w:spacing w:val="0"/>
                <w:w w:val="100"/>
                <w:kern w:val="0"/>
                <w:position w:val="0"/>
                <w:sz w:val="21"/>
                <w:szCs w:val="21"/>
                <w:highlight w:val="none"/>
              </w:rPr>
              <w:t>治区</w:t>
            </w:r>
          </w:p>
        </w:tc>
        <w:tc>
          <w:tcPr>
            <w:tcW w:w="553" w:type="pct"/>
            <w:tcBorders>
              <w:tl2br w:val="nil"/>
              <w:tr2bl w:val="nil"/>
            </w:tcBorders>
            <w:noWrap w:val="0"/>
            <w:vAlign w:val="center"/>
          </w:tcPr>
          <w:p w14:paraId="59C198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val="en-US"/>
              </w:rPr>
            </w:pPr>
            <w:r>
              <w:rPr>
                <w:rFonts w:hint="default" w:ascii="Times New Roman" w:hAnsi="Times New Roman" w:eastAsia="宋体" w:cs="Times New Roman"/>
                <w:snapToGrid/>
                <w:color w:val="auto"/>
                <w:spacing w:val="0"/>
                <w:w w:val="100"/>
                <w:kern w:val="0"/>
                <w:position w:val="0"/>
                <w:sz w:val="21"/>
                <w:szCs w:val="21"/>
                <w:highlight w:val="none"/>
                <w:lang w:val="en-US" w:eastAsia="zh-CN"/>
              </w:rPr>
              <w:t>生产车间</w:t>
            </w:r>
            <w:r>
              <w:rPr>
                <w:rFonts w:hint="eastAsia" w:cs="Times New Roman"/>
                <w:snapToGrid/>
                <w:color w:val="auto"/>
                <w:spacing w:val="0"/>
                <w:w w:val="100"/>
                <w:kern w:val="0"/>
                <w:position w:val="0"/>
                <w:sz w:val="21"/>
                <w:szCs w:val="21"/>
                <w:highlight w:val="none"/>
                <w:lang w:val="en-US" w:eastAsia="zh-CN"/>
              </w:rPr>
              <w:t>、循环水池</w:t>
            </w:r>
          </w:p>
        </w:tc>
        <w:tc>
          <w:tcPr>
            <w:tcW w:w="1377" w:type="pct"/>
            <w:tcBorders>
              <w:tl2br w:val="nil"/>
              <w:tr2bl w:val="nil"/>
            </w:tcBorders>
            <w:noWrap w:val="0"/>
            <w:vAlign w:val="center"/>
          </w:tcPr>
          <w:p w14:paraId="1D7DE4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防渗性能应不低于1.5mm厚、渗透系数为1.0×10</w:t>
            </w:r>
            <w:r>
              <w:rPr>
                <w:rFonts w:hint="default" w:ascii="Times New Roman" w:hAnsi="Times New Roman" w:eastAsia="宋体" w:cs="Times New Roman"/>
                <w:caps w:val="0"/>
                <w:snapToGrid/>
                <w:color w:val="auto"/>
                <w:spacing w:val="0"/>
                <w:w w:val="100"/>
                <w:kern w:val="0"/>
                <w:position w:val="0"/>
                <w:sz w:val="21"/>
                <w:szCs w:val="21"/>
                <w:highlight w:val="none"/>
                <w:vertAlign w:val="superscript"/>
              </w:rPr>
              <w:t>-</w:t>
            </w:r>
            <w:r>
              <w:rPr>
                <w:rFonts w:hint="default" w:ascii="Times New Roman" w:hAnsi="Times New Roman" w:eastAsia="宋体" w:cs="Times New Roman"/>
                <w:caps w:val="0"/>
                <w:snapToGrid/>
                <w:color w:val="auto"/>
                <w:spacing w:val="0"/>
                <w:w w:val="100"/>
                <w:kern w:val="0"/>
                <w:position w:val="0"/>
                <w:sz w:val="21"/>
                <w:szCs w:val="21"/>
                <w:highlight w:val="none"/>
                <w:vertAlign w:val="superscript"/>
                <w:lang w:val="en-US" w:eastAsia="zh-CN"/>
              </w:rPr>
              <w:t>7</w:t>
            </w:r>
            <w:r>
              <w:rPr>
                <w:rFonts w:hint="default" w:ascii="Times New Roman" w:hAnsi="Times New Roman" w:eastAsia="宋体" w:cs="Times New Roman"/>
                <w:caps w:val="0"/>
                <w:snapToGrid/>
                <w:color w:val="auto"/>
                <w:spacing w:val="0"/>
                <w:w w:val="100"/>
                <w:kern w:val="0"/>
                <w:position w:val="0"/>
                <w:sz w:val="21"/>
                <w:szCs w:val="21"/>
                <w:highlight w:val="none"/>
              </w:rPr>
              <w:t>cm/s的复合衬层</w:t>
            </w:r>
          </w:p>
        </w:tc>
        <w:tc>
          <w:tcPr>
            <w:tcW w:w="743" w:type="pct"/>
            <w:tcBorders>
              <w:tl2br w:val="nil"/>
              <w:tr2bl w:val="nil"/>
            </w:tcBorders>
            <w:noWrap w:val="0"/>
            <w:vAlign w:val="center"/>
          </w:tcPr>
          <w:p w14:paraId="4581BF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lang w:eastAsia="zh-CN"/>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w:t>
            </w:r>
          </w:p>
        </w:tc>
        <w:tc>
          <w:tcPr>
            <w:tcW w:w="1866" w:type="pct"/>
            <w:tcBorders>
              <w:tl2br w:val="nil"/>
              <w:tr2bl w:val="nil"/>
            </w:tcBorders>
            <w:noWrap w:val="0"/>
            <w:vAlign w:val="center"/>
          </w:tcPr>
          <w:p w14:paraId="0A4322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rPr>
            </w:pPr>
            <w:r>
              <w:rPr>
                <w:rFonts w:hint="default" w:ascii="Times New Roman" w:hAnsi="Times New Roman" w:eastAsia="宋体" w:cs="Times New Roman"/>
                <w:caps w:val="0"/>
                <w:snapToGrid/>
                <w:color w:val="auto"/>
                <w:spacing w:val="0"/>
                <w:w w:val="100"/>
                <w:kern w:val="0"/>
                <w:position w:val="0"/>
                <w:sz w:val="21"/>
                <w:szCs w:val="21"/>
                <w:highlight w:val="none"/>
              </w:rPr>
              <w:t>采用混凝土硬化地面防渗措施</w:t>
            </w:r>
          </w:p>
        </w:tc>
      </w:tr>
    </w:tbl>
    <w:p w14:paraId="38F77F15">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w:t>
      </w:r>
      <w:r>
        <w:rPr>
          <w:rFonts w:hint="eastAsia" w:cs="Times New Roman"/>
          <w:caps w:val="0"/>
          <w:snapToGrid/>
          <w:color w:val="auto"/>
          <w:spacing w:val="0"/>
          <w:w w:val="100"/>
          <w:kern w:val="0"/>
          <w:position w:val="0"/>
          <w:szCs w:val="24"/>
          <w:highlight w:val="none"/>
          <w:lang w:val="en-US" w:eastAsia="zh-CN"/>
        </w:rPr>
        <w:t>3</w:t>
      </w:r>
      <w:r>
        <w:rPr>
          <w:rFonts w:hint="default" w:ascii="Times New Roman" w:hAnsi="Times New Roman" w:eastAsia="宋体" w:cs="Times New Roman"/>
          <w:caps w:val="0"/>
          <w:snapToGrid/>
          <w:color w:val="auto"/>
          <w:spacing w:val="0"/>
          <w:w w:val="100"/>
          <w:kern w:val="0"/>
          <w:position w:val="0"/>
          <w:szCs w:val="24"/>
          <w:highlight w:val="none"/>
        </w:rPr>
        <w:t>）其他污染防治措施</w:t>
      </w:r>
    </w:p>
    <w:p w14:paraId="62468BF1">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①加强管理，设置环保工作组，定期检查厂内的生产运行是否规范，禁止</w:t>
      </w:r>
      <w:r>
        <w:rPr>
          <w:rFonts w:hint="default" w:ascii="Times New Roman" w:hAnsi="Times New Roman" w:eastAsia="宋体" w:cs="Times New Roman"/>
          <w:caps w:val="0"/>
          <w:snapToGrid/>
          <w:color w:val="auto"/>
          <w:spacing w:val="0"/>
          <w:w w:val="100"/>
          <w:kern w:val="0"/>
          <w:position w:val="0"/>
          <w:szCs w:val="24"/>
          <w:highlight w:val="none"/>
          <w:lang w:eastAsia="zh-CN"/>
        </w:rPr>
        <w:t>乱倒</w:t>
      </w:r>
      <w:r>
        <w:rPr>
          <w:rFonts w:hint="default" w:ascii="Times New Roman" w:hAnsi="Times New Roman" w:eastAsia="宋体" w:cs="Times New Roman"/>
          <w:caps w:val="0"/>
          <w:snapToGrid/>
          <w:color w:val="auto"/>
          <w:spacing w:val="0"/>
          <w:w w:val="100"/>
          <w:kern w:val="0"/>
          <w:position w:val="0"/>
          <w:szCs w:val="24"/>
          <w:highlight w:val="none"/>
        </w:rPr>
        <w:t>垃圾，防止降雨淋溶产生的淋滤液下渗污染地下水。</w:t>
      </w:r>
    </w:p>
    <w:p w14:paraId="753582E7">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b/>
          <w:bCs/>
          <w:caps w:val="0"/>
          <w:snapToGrid/>
          <w:color w:val="auto"/>
          <w:spacing w:val="0"/>
          <w:w w:val="100"/>
          <w:kern w:val="0"/>
          <w:position w:val="0"/>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rPr>
        <w:t>②重点防渗区的防渗使用寿命一般应在20年以上。</w:t>
      </w:r>
      <w:bookmarkStart w:id="545" w:name="_Toc19649"/>
    </w:p>
    <w:p w14:paraId="05E227F6">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6.2.3.3地下水监测与管理</w:t>
      </w:r>
      <w:bookmarkEnd w:id="545"/>
    </w:p>
    <w:p w14:paraId="0B120AA5">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jc w:val="left"/>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（1）地下水监测原则</w:t>
      </w:r>
    </w:p>
    <w:p w14:paraId="64225488">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jc w:val="left"/>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为了及时准确掌握厂区及下游地下水环境质量状况和地下水体中污染物的动态变化，本项目参考厂区现有的地下水监控系统，科学、合理地设置地下水污染监控井，建立并完善监测制度，配备先进的检测仪器和设备，以便及时发现并及时控制。</w:t>
      </w:r>
    </w:p>
    <w:p w14:paraId="26E5C74E">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jc w:val="left"/>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本项目地下水环境监测主要参考《地下水环境监测技术规范》（HJ164－2020）、《工业企业土壤和地下水自行监测技术指南（试行）》（HJ1209-2021）和《环境影响评价技术导则</w:t>
      </w:r>
      <w:r>
        <w:rPr>
          <w:rFonts w:hint="default" w:ascii="Times New Roman" w:hAnsi="Times New Roman" w:eastAsia="宋体" w:cs="Times New Roman"/>
          <w:caps w:val="0"/>
          <w:snapToGrid/>
          <w:color w:val="auto"/>
          <w:spacing w:val="0"/>
          <w:w w:val="100"/>
          <w:kern w:val="0"/>
          <w:position w:val="0"/>
          <w:szCs w:val="24"/>
          <w:highlight w:val="none"/>
          <w:lang w:val="en-US" w:eastAsia="zh-CN"/>
        </w:rPr>
        <w:t xml:space="preserve"> </w:t>
      </w:r>
      <w:r>
        <w:rPr>
          <w:rFonts w:hint="default" w:ascii="Times New Roman" w:hAnsi="Times New Roman" w:eastAsia="宋体" w:cs="Times New Roman"/>
          <w:caps w:val="0"/>
          <w:snapToGrid/>
          <w:color w:val="auto"/>
          <w:spacing w:val="0"/>
          <w:w w:val="100"/>
          <w:kern w:val="0"/>
          <w:position w:val="0"/>
          <w:szCs w:val="24"/>
          <w:highlight w:val="none"/>
        </w:rPr>
        <w:t>地下水环境》（HJ610-2016）的相关要求，结合研究区含水层系统和地下水径流系统特征，考虑潜在污染源、环境保护目标等因素，布置地下水监测点。</w:t>
      </w:r>
    </w:p>
    <w:p w14:paraId="72737686">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jc w:val="left"/>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水质监测项目按照潜在污染源特征因子确定</w:t>
      </w:r>
      <w:r>
        <w:rPr>
          <w:rFonts w:hint="eastAsia" w:cs="Times New Roman"/>
          <w:caps w:val="0"/>
          <w:snapToGrid/>
          <w:color w:val="auto"/>
          <w:spacing w:val="0"/>
          <w:w w:val="100"/>
          <w:kern w:val="0"/>
          <w:position w:val="0"/>
          <w:szCs w:val="24"/>
          <w:highlight w:val="none"/>
          <w:lang w:eastAsia="zh-CN"/>
        </w:rPr>
        <w:t>，</w:t>
      </w:r>
      <w:r>
        <w:rPr>
          <w:rFonts w:hint="default" w:ascii="Times New Roman" w:hAnsi="Times New Roman" w:eastAsia="宋体" w:cs="Times New Roman"/>
          <w:caps w:val="0"/>
          <w:snapToGrid/>
          <w:color w:val="auto"/>
          <w:spacing w:val="0"/>
          <w:w w:val="100"/>
          <w:kern w:val="0"/>
          <w:position w:val="0"/>
          <w:szCs w:val="24"/>
          <w:highlight w:val="none"/>
        </w:rPr>
        <w:t>地下水监测遵循以下原则：</w:t>
      </w:r>
    </w:p>
    <w:p w14:paraId="5E601736">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jc w:val="left"/>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①加强重点防渗区监测；</w:t>
      </w:r>
    </w:p>
    <w:p w14:paraId="06182CBC">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jc w:val="left"/>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②以潜水含水层地下水监测为主；</w:t>
      </w:r>
    </w:p>
    <w:p w14:paraId="4A447221">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jc w:val="left"/>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③充分利用现有监测井；</w:t>
      </w:r>
    </w:p>
    <w:p w14:paraId="63F1C235">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jc w:val="left"/>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21"/>
          <w:position w:val="0"/>
          <w:szCs w:val="24"/>
          <w:highlight w:val="none"/>
        </w:rPr>
        <w:t>④水质监测项目参照《地下水质量标准》（GB/T14848-2017）相关要求和潜在污染源特征污染因子确定，各监测井可依据监测目的不同适当增加和减少监测项目；</w:t>
      </w:r>
    </w:p>
    <w:p w14:paraId="2E5FA49E">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jc w:val="left"/>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⑤厂址区周边同步对比监测。</w:t>
      </w:r>
    </w:p>
    <w:p w14:paraId="30C75E64">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jc w:val="left"/>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（2）监测井布设和监测频率</w:t>
      </w:r>
    </w:p>
    <w:p w14:paraId="2269B442">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jc w:val="left"/>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本项目应建立地下水环境监控体系，包括科学、合理地设置地下水污染监控井，建立完善的监测制度，配备相应的检测仪器和设备，以便及时发现并及时控制。按照《环境影响评价技术导则</w:t>
      </w:r>
      <w:r>
        <w:rPr>
          <w:rFonts w:hint="default" w:ascii="Times New Roman" w:hAnsi="Times New Roman" w:eastAsia="宋体" w:cs="Times New Roman"/>
          <w:caps w:val="0"/>
          <w:snapToGrid/>
          <w:color w:val="auto"/>
          <w:spacing w:val="0"/>
          <w:w w:val="100"/>
          <w:kern w:val="0"/>
          <w:position w:val="0"/>
          <w:szCs w:val="24"/>
          <w:highlight w:val="none"/>
          <w:lang w:val="en-US" w:eastAsia="zh-CN"/>
        </w:rPr>
        <w:t xml:space="preserve"> </w:t>
      </w:r>
      <w:r>
        <w:rPr>
          <w:rFonts w:hint="default" w:ascii="Times New Roman" w:hAnsi="Times New Roman" w:eastAsia="宋体" w:cs="Times New Roman"/>
          <w:caps w:val="0"/>
          <w:snapToGrid/>
          <w:color w:val="auto"/>
          <w:spacing w:val="0"/>
          <w:w w:val="100"/>
          <w:kern w:val="0"/>
          <w:position w:val="0"/>
          <w:szCs w:val="24"/>
          <w:highlight w:val="none"/>
        </w:rPr>
        <w:t>地下水环境》（HJ610-2016）和《工业企业土壤和地下水自行监测技术指南（试行）》（HJ1209-2021）相关要求，评价应在项目区下游至少布设1个地下水跟踪监测点位</w:t>
      </w:r>
      <w:r>
        <w:rPr>
          <w:rFonts w:hint="default" w:ascii="Times New Roman" w:hAnsi="Times New Roman" w:eastAsia="宋体" w:cs="Times New Roman"/>
          <w:caps w:val="0"/>
          <w:snapToGrid/>
          <w:color w:val="auto"/>
          <w:spacing w:val="0"/>
          <w:w w:val="100"/>
          <w:kern w:val="0"/>
          <w:position w:val="0"/>
          <w:szCs w:val="24"/>
          <w:highlight w:val="none"/>
          <w:lang w:eastAsia="zh-CN"/>
        </w:rPr>
        <w:t>，</w:t>
      </w:r>
      <w:r>
        <w:rPr>
          <w:rFonts w:hint="default" w:ascii="Times New Roman" w:hAnsi="Times New Roman" w:eastAsia="宋体" w:cs="Times New Roman"/>
          <w:caps w:val="0"/>
          <w:snapToGrid/>
          <w:color w:val="auto"/>
          <w:spacing w:val="0"/>
          <w:w w:val="100"/>
          <w:kern w:val="0"/>
          <w:position w:val="0"/>
          <w:szCs w:val="24"/>
          <w:highlight w:val="none"/>
        </w:rPr>
        <w:t>监测计划见8.2.2.</w:t>
      </w:r>
      <w:r>
        <w:rPr>
          <w:rFonts w:hint="eastAsia" w:cs="Times New Roman"/>
          <w:caps w:val="0"/>
          <w:snapToGrid/>
          <w:color w:val="auto"/>
          <w:spacing w:val="0"/>
          <w:w w:val="100"/>
          <w:kern w:val="0"/>
          <w:position w:val="0"/>
          <w:szCs w:val="24"/>
          <w:highlight w:val="none"/>
          <w:lang w:val="en-US" w:eastAsia="zh-CN"/>
        </w:rPr>
        <w:t>2</w:t>
      </w:r>
      <w:r>
        <w:rPr>
          <w:rFonts w:hint="default" w:ascii="Times New Roman" w:hAnsi="Times New Roman" w:eastAsia="宋体" w:cs="Times New Roman"/>
          <w:caps w:val="0"/>
          <w:snapToGrid/>
          <w:color w:val="auto"/>
          <w:spacing w:val="0"/>
          <w:w w:val="100"/>
          <w:kern w:val="0"/>
          <w:position w:val="0"/>
          <w:szCs w:val="24"/>
          <w:highlight w:val="none"/>
        </w:rPr>
        <w:t>章节。</w:t>
      </w:r>
    </w:p>
    <w:p w14:paraId="4ECB2CE1">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jc w:val="both"/>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监控井的布设应覆盖整个项目厂区和周边可能影响的区域，重点应考虑可能产生事故和跑、冒、滴、漏的区域。因此，根据上述监测点网的设计原则和研究，结合厂区所在区域的水文地质条件和《环境影响评价技术导则</w:t>
      </w:r>
      <w:r>
        <w:rPr>
          <w:rFonts w:hint="default" w:ascii="Times New Roman" w:hAnsi="Times New Roman" w:eastAsia="宋体" w:cs="Times New Roman"/>
          <w:caps w:val="0"/>
          <w:snapToGrid/>
          <w:color w:val="auto"/>
          <w:spacing w:val="0"/>
          <w:w w:val="100"/>
          <w:kern w:val="0"/>
          <w:position w:val="0"/>
          <w:szCs w:val="24"/>
          <w:highlight w:val="none"/>
          <w:lang w:val="en-US" w:eastAsia="zh-CN"/>
        </w:rPr>
        <w:t xml:space="preserve"> </w:t>
      </w:r>
      <w:r>
        <w:rPr>
          <w:rFonts w:hint="default" w:ascii="Times New Roman" w:hAnsi="Times New Roman" w:eastAsia="宋体" w:cs="Times New Roman"/>
          <w:caps w:val="0"/>
          <w:snapToGrid/>
          <w:color w:val="auto"/>
          <w:spacing w:val="0"/>
          <w:w w:val="100"/>
          <w:kern w:val="0"/>
          <w:position w:val="0"/>
          <w:szCs w:val="24"/>
          <w:highlight w:val="none"/>
        </w:rPr>
        <w:t>地下水环境》（HJ610-2016）中要求，本项目需在地下水流向下游方向布设地下水监测井，在监测水质的同时监测地下水水位。监测结果应按项目有关规定及时建立档案，并定期向安全环保部门汇报，对于常规监测数据应该进行公开。</w:t>
      </w:r>
    </w:p>
    <w:p w14:paraId="3FD22732">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jc w:val="left"/>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（3）监测数据管理</w:t>
      </w:r>
    </w:p>
    <w:p w14:paraId="0055C499">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jc w:val="left"/>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地下水跟踪监测结果应按项目有关规定及时建立档案，并定期向公司安全环保部门汇报，对于常规监测数据应该进行公开。如发现异常或发生事故，加密监测频次，改为每周监测一次，并分析污染原因，确定泄漏污染源，及时采取应急措施。</w:t>
      </w:r>
    </w:p>
    <w:p w14:paraId="0E250C4E">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jc w:val="left"/>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为保证地下水监测工作持续有序运行</w:t>
      </w:r>
      <w:r>
        <w:rPr>
          <w:rFonts w:hint="default" w:ascii="Times New Roman" w:hAnsi="Times New Roman" w:eastAsia="宋体" w:cs="Times New Roman"/>
          <w:caps w:val="0"/>
          <w:snapToGrid/>
          <w:color w:val="auto"/>
          <w:spacing w:val="0"/>
          <w:w w:val="100"/>
          <w:kern w:val="0"/>
          <w:position w:val="0"/>
          <w:szCs w:val="24"/>
          <w:highlight w:val="none"/>
          <w:lang w:eastAsia="zh-CN"/>
        </w:rPr>
        <w:t>，必</w:t>
      </w:r>
      <w:r>
        <w:rPr>
          <w:rFonts w:hint="default" w:ascii="Times New Roman" w:hAnsi="Times New Roman" w:eastAsia="宋体" w:cs="Times New Roman"/>
          <w:caps w:val="0"/>
          <w:snapToGrid/>
          <w:color w:val="auto"/>
          <w:spacing w:val="0"/>
          <w:w w:val="100"/>
          <w:kern w:val="0"/>
          <w:position w:val="0"/>
          <w:szCs w:val="24"/>
          <w:highlight w:val="none"/>
        </w:rPr>
        <w:t>须明确职责、制定相关规定进行管理；具体管理措施和技术措施如下：</w:t>
      </w:r>
    </w:p>
    <w:p w14:paraId="19A85CDE">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jc w:val="left"/>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1）管理措施</w:t>
      </w:r>
    </w:p>
    <w:p w14:paraId="72BD4FB1">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jc w:val="left"/>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①指派专人负责预防地下水污染的管理工作。</w:t>
      </w:r>
    </w:p>
    <w:p w14:paraId="7ACD4518">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jc w:val="left"/>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②委托具有监测资质的单位按时、按质、按量完成地下水监测工作，并按要求分析整理原始资料、编写监测报告。</w:t>
      </w:r>
    </w:p>
    <w:p w14:paraId="7FF6FDD2">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jc w:val="left"/>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③建立与项目区环境管理系统相联系的地下水监测信息管理系统。</w:t>
      </w:r>
    </w:p>
    <w:p w14:paraId="158030D3">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jc w:val="left"/>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④按突发事故的性质、类型、影响范围、后果严重性分等级制订相应的应急预案，在制定预案时要根据本厂环境污染事故潜在威胁的情况，认真细致地考虑各项影响因素，并组织有关部门、人员进行适时演练、不断补充完善预案内容。</w:t>
      </w:r>
    </w:p>
    <w:p w14:paraId="07EEBA0B">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jc w:val="left"/>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2）技术措施：</w:t>
      </w:r>
    </w:p>
    <w:p w14:paraId="5A2C2EA3">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jc w:val="left"/>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①按照《地下水环境监测技术规范》（HJ164－2020）要求，及时上报监测数据和有关表格，定期对重点防渗区可能发生泄漏的区域进行检查。</w:t>
      </w:r>
    </w:p>
    <w:p w14:paraId="5F5F3807">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jc w:val="left"/>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②在日常例行监测中，一旦发现地下水水质监测数据异常，应尽快核查数据，确保数据的正确性，并将核查过的监测数据报告安全环保部门，由专人负责对数据进行分析、核实，并密切关注生产设施的运行情况。</w:t>
      </w:r>
    </w:p>
    <w:p w14:paraId="10E7F175">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546" w:name="_Toc1178"/>
      <w:r>
        <w:rPr>
          <w:rFonts w:hint="default"/>
          <w:color w:val="auto"/>
          <w:spacing w:val="0"/>
          <w:w w:val="100"/>
          <w:position w:val="0"/>
          <w:highlight w:val="none"/>
          <w:lang w:val="en-US" w:eastAsia="zh-CN"/>
        </w:rPr>
        <w:t>6.2.3.4地下水环境跟踪监测与信息公开计划</w:t>
      </w:r>
      <w:bookmarkEnd w:id="546"/>
    </w:p>
    <w:p w14:paraId="6B9C1EB0">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b/>
          <w:bCs/>
          <w:caps w:val="0"/>
          <w:snapToGrid/>
          <w:color w:val="auto"/>
          <w:spacing w:val="0"/>
          <w:w w:val="100"/>
          <w:kern w:val="0"/>
          <w:position w:val="0"/>
          <w:highlight w:val="none"/>
        </w:rPr>
      </w:pPr>
      <w:r>
        <w:rPr>
          <w:rFonts w:hint="default" w:ascii="Times New Roman" w:hAnsi="Times New Roman" w:eastAsia="宋体" w:cs="Times New Roman"/>
          <w:caps w:val="0"/>
          <w:snapToGrid/>
          <w:color w:val="auto"/>
          <w:spacing w:val="0"/>
          <w:w w:val="100"/>
          <w:kern w:val="0"/>
          <w:position w:val="0"/>
          <w:highlight w:val="none"/>
        </w:rPr>
        <w:t>上述监测结果应按项目有关规定及时建立档案，并定期向厂安全环保部门汇报，对于常规监测数据应该进行公开，特别是对项目所在区域的居民进行公开，满足法律中关于知情权的要求。如发现异常或发生事故，加密监测频次，并分析污染原因，确定泄漏污染源，及时采取对应应急措施。</w:t>
      </w:r>
    </w:p>
    <w:p w14:paraId="4DD2BA11">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547" w:name="_Toc7107"/>
      <w:r>
        <w:rPr>
          <w:rFonts w:hint="default"/>
          <w:color w:val="auto"/>
          <w:spacing w:val="0"/>
          <w:w w:val="100"/>
          <w:position w:val="0"/>
          <w:highlight w:val="none"/>
          <w:lang w:val="en-US" w:eastAsia="zh-CN"/>
        </w:rPr>
        <w:t>6.2.3.5应急响应</w:t>
      </w:r>
      <w:bookmarkEnd w:id="547"/>
    </w:p>
    <w:p w14:paraId="2B4220F6">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rPr>
      </w:pPr>
      <w:r>
        <w:rPr>
          <w:rFonts w:hint="default" w:ascii="Times New Roman" w:hAnsi="Times New Roman" w:eastAsia="宋体" w:cs="Times New Roman"/>
          <w:caps w:val="0"/>
          <w:snapToGrid/>
          <w:color w:val="auto"/>
          <w:spacing w:val="0"/>
          <w:w w:val="100"/>
          <w:kern w:val="0"/>
          <w:position w:val="0"/>
          <w:highlight w:val="none"/>
        </w:rPr>
        <w:t>为了防止风险事故状态下对地下水产生污染，项目场区应当事先制定相应的突发地下水污染事件风险应急预案，一旦发现地下水遭受污染，立即启动应急预案，首先切断泄漏源，立即对渗漏处进行封堵，并启动下游</w:t>
      </w:r>
      <w:r>
        <w:rPr>
          <w:rFonts w:hint="default" w:ascii="Times New Roman" w:hAnsi="Times New Roman" w:eastAsia="宋体" w:cs="Times New Roman"/>
          <w:caps w:val="0"/>
          <w:snapToGrid/>
          <w:color w:val="auto"/>
          <w:spacing w:val="0"/>
          <w:w w:val="100"/>
          <w:kern w:val="0"/>
          <w:position w:val="0"/>
          <w:szCs w:val="24"/>
          <w:highlight w:val="none"/>
        </w:rPr>
        <w:t>监控井</w:t>
      </w:r>
      <w:r>
        <w:rPr>
          <w:rFonts w:hint="default" w:ascii="Times New Roman" w:hAnsi="Times New Roman" w:eastAsia="宋体" w:cs="Times New Roman"/>
          <w:caps w:val="0"/>
          <w:snapToGrid/>
          <w:color w:val="auto"/>
          <w:spacing w:val="0"/>
          <w:w w:val="100"/>
          <w:kern w:val="0"/>
          <w:position w:val="0"/>
          <w:highlight w:val="none"/>
        </w:rPr>
        <w:t>作为抽水井，将污染的地下水抽出，若抽水难以控制污染物向下游迁移的趋势，可在综合考虑经济可行性、技术可行性以及环境效益的前提下，在污染物下游设置隔水帷幕，阻止污染物向下游迁移；或设置可渗透性反应墙进行原位修复。</w:t>
      </w:r>
      <w:bookmarkEnd w:id="491"/>
      <w:bookmarkEnd w:id="492"/>
      <w:bookmarkEnd w:id="493"/>
      <w:bookmarkEnd w:id="494"/>
      <w:bookmarkEnd w:id="495"/>
      <w:bookmarkEnd w:id="496"/>
      <w:bookmarkEnd w:id="497"/>
      <w:bookmarkEnd w:id="498"/>
      <w:bookmarkStart w:id="548" w:name="_Toc18359"/>
      <w:bookmarkStart w:id="549" w:name="_Toc19053"/>
      <w:bookmarkStart w:id="550" w:name="_Toc11967"/>
      <w:bookmarkStart w:id="551" w:name="_Toc15715"/>
      <w:bookmarkStart w:id="552" w:name="_Toc212"/>
      <w:bookmarkStart w:id="553" w:name="_Toc10038"/>
      <w:bookmarkStart w:id="554" w:name="_Toc2095318"/>
      <w:bookmarkStart w:id="555" w:name="_Toc18433"/>
      <w:bookmarkStart w:id="556" w:name="_Toc6297"/>
    </w:p>
    <w:p w14:paraId="2717581D">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557" w:name="_Toc22493"/>
      <w:bookmarkStart w:id="558" w:name="_Toc28560"/>
      <w:r>
        <w:rPr>
          <w:rFonts w:hint="default"/>
          <w:color w:val="auto"/>
          <w:spacing w:val="0"/>
          <w:w w:val="100"/>
          <w:position w:val="0"/>
          <w:highlight w:val="none"/>
          <w:lang w:val="en-US" w:eastAsia="zh-CN"/>
        </w:rPr>
        <w:t>6.2.4噪声污染防治措施分析</w:t>
      </w:r>
      <w:bookmarkEnd w:id="548"/>
      <w:bookmarkEnd w:id="549"/>
      <w:bookmarkEnd w:id="550"/>
      <w:bookmarkEnd w:id="557"/>
      <w:bookmarkEnd w:id="558"/>
    </w:p>
    <w:bookmarkEnd w:id="551"/>
    <w:bookmarkEnd w:id="552"/>
    <w:bookmarkEnd w:id="553"/>
    <w:bookmarkEnd w:id="554"/>
    <w:bookmarkEnd w:id="555"/>
    <w:bookmarkEnd w:id="556"/>
    <w:p w14:paraId="3C004E27">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rPr>
      </w:pPr>
      <w:bookmarkStart w:id="559" w:name="6.2.4固体废物污染防治措施分析"/>
      <w:bookmarkEnd w:id="559"/>
      <w:r>
        <w:rPr>
          <w:rFonts w:hint="default" w:ascii="Times New Roman" w:hAnsi="Times New Roman" w:eastAsia="宋体" w:cs="Times New Roman"/>
          <w:caps w:val="0"/>
          <w:snapToGrid/>
          <w:color w:val="auto"/>
          <w:spacing w:val="0"/>
          <w:w w:val="100"/>
          <w:kern w:val="0"/>
          <w:position w:val="0"/>
          <w:szCs w:val="24"/>
          <w:highlight w:val="none"/>
        </w:rPr>
        <w:t>本项目噪声主</w:t>
      </w:r>
      <w:r>
        <w:rPr>
          <w:rFonts w:hint="default" w:ascii="Times New Roman" w:hAnsi="Times New Roman" w:eastAsia="宋体" w:cs="Times New Roman"/>
          <w:caps w:val="0"/>
          <w:snapToGrid/>
          <w:color w:val="auto"/>
          <w:spacing w:val="0"/>
          <w:w w:val="100"/>
          <w:kern w:val="0"/>
          <w:position w:val="0"/>
          <w:szCs w:val="24"/>
          <w:highlight w:val="none"/>
          <w:lang w:eastAsia="zh-CN"/>
        </w:rPr>
        <w:t>要是</w:t>
      </w:r>
      <w:r>
        <w:rPr>
          <w:rFonts w:hint="default" w:ascii="Times New Roman" w:hAnsi="Times New Roman" w:eastAsia="宋体" w:cs="Times New Roman"/>
          <w:caps w:val="0"/>
          <w:snapToGrid/>
          <w:color w:val="auto"/>
          <w:spacing w:val="0"/>
          <w:w w:val="100"/>
          <w:kern w:val="0"/>
          <w:position w:val="0"/>
          <w:szCs w:val="24"/>
          <w:highlight w:val="none"/>
        </w:rPr>
        <w:t>设备噪声</w:t>
      </w:r>
      <w:r>
        <w:rPr>
          <w:rFonts w:hint="eastAsia" w:cs="Times New Roman"/>
          <w:caps w:val="0"/>
          <w:snapToGrid/>
          <w:color w:val="auto"/>
          <w:spacing w:val="0"/>
          <w:w w:val="100"/>
          <w:kern w:val="0"/>
          <w:position w:val="0"/>
          <w:szCs w:val="24"/>
          <w:highlight w:val="none"/>
          <w:lang w:eastAsia="zh-CN"/>
        </w:rPr>
        <w:t>、</w:t>
      </w:r>
      <w:r>
        <w:rPr>
          <w:rFonts w:hint="eastAsia" w:cs="Times New Roman"/>
          <w:caps w:val="0"/>
          <w:snapToGrid/>
          <w:color w:val="auto"/>
          <w:spacing w:val="0"/>
          <w:w w:val="100"/>
          <w:kern w:val="0"/>
          <w:position w:val="0"/>
          <w:szCs w:val="24"/>
          <w:highlight w:val="none"/>
          <w:lang w:val="en-US" w:eastAsia="zh-CN"/>
        </w:rPr>
        <w:t>风机噪声，</w:t>
      </w:r>
      <w:r>
        <w:rPr>
          <w:rFonts w:hint="default" w:ascii="Times New Roman" w:hAnsi="Times New Roman" w:eastAsia="宋体" w:cs="Times New Roman"/>
          <w:caps w:val="0"/>
          <w:snapToGrid/>
          <w:color w:val="auto"/>
          <w:spacing w:val="0"/>
          <w:w w:val="100"/>
          <w:kern w:val="0"/>
          <w:position w:val="0"/>
          <w:szCs w:val="24"/>
          <w:highlight w:val="none"/>
        </w:rPr>
        <w:t>噪声声级在</w:t>
      </w:r>
      <w:r>
        <w:rPr>
          <w:rFonts w:hint="eastAsia" w:cs="Times New Roman"/>
          <w:caps w:val="0"/>
          <w:snapToGrid/>
          <w:color w:val="auto"/>
          <w:spacing w:val="0"/>
          <w:w w:val="100"/>
          <w:kern w:val="0"/>
          <w:position w:val="0"/>
          <w:szCs w:val="24"/>
          <w:highlight w:val="none"/>
          <w:lang w:val="en-US" w:eastAsia="zh-CN"/>
        </w:rPr>
        <w:t>75~85</w:t>
      </w:r>
      <w:r>
        <w:rPr>
          <w:rFonts w:hint="default" w:ascii="Times New Roman" w:hAnsi="Times New Roman" w:eastAsia="宋体" w:cs="Times New Roman"/>
          <w:caps w:val="0"/>
          <w:snapToGrid/>
          <w:color w:val="auto"/>
          <w:spacing w:val="0"/>
          <w:w w:val="100"/>
          <w:kern w:val="0"/>
          <w:position w:val="0"/>
          <w:szCs w:val="24"/>
          <w:highlight w:val="none"/>
        </w:rPr>
        <w:t>dB（A）。针对不同噪声源采用隔声、消声、合理布局等治理措施。</w:t>
      </w:r>
    </w:p>
    <w:p w14:paraId="76E1068E">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⑴重视设备选型</w:t>
      </w:r>
    </w:p>
    <w:p w14:paraId="363358B7">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最大程度地选用加工精度高，运行噪声低，配备减振、降噪的设施的生产装置及设备。采用大型基础来减少振动噪声。安装减振材料，减小振动。</w:t>
      </w:r>
    </w:p>
    <w:p w14:paraId="4A6536DA">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⑵重视总图布置</w:t>
      </w:r>
    </w:p>
    <w:p w14:paraId="14947AAD">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将高噪声设备布置在厂房之内，可利用建筑物、构筑物形成噪声屏障，阻碍噪声传播。对噪声设备，在设计时应考虑建筑隔声效果。</w:t>
      </w:r>
      <w:r>
        <w:rPr>
          <w:rFonts w:hint="default" w:ascii="Times New Roman" w:hAnsi="Times New Roman" w:eastAsia="宋体" w:cs="Times New Roman"/>
          <w:caps w:val="0"/>
          <w:snapToGrid/>
          <w:color w:val="auto"/>
          <w:spacing w:val="0"/>
          <w:w w:val="100"/>
          <w:kern w:val="0"/>
          <w:position w:val="0"/>
          <w:szCs w:val="24"/>
          <w:highlight w:val="none"/>
          <w:lang w:eastAsia="zh-CN"/>
        </w:rPr>
        <w:t>对</w:t>
      </w:r>
      <w:r>
        <w:rPr>
          <w:rFonts w:hint="default" w:ascii="Times New Roman" w:hAnsi="Times New Roman" w:eastAsia="宋体" w:cs="Times New Roman"/>
          <w:caps w:val="0"/>
          <w:snapToGrid/>
          <w:color w:val="auto"/>
          <w:spacing w:val="0"/>
          <w:w w:val="100"/>
          <w:kern w:val="0"/>
          <w:position w:val="0"/>
          <w:szCs w:val="24"/>
          <w:highlight w:val="none"/>
        </w:rPr>
        <w:t>风机类、泵类设备等均安装在室内，采用厂房隔声布置，以减轻噪声对室外环境的影响。</w:t>
      </w:r>
    </w:p>
    <w:p w14:paraId="02AB9311">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⑶采取隔声、吸声措施</w:t>
      </w:r>
    </w:p>
    <w:p w14:paraId="598D971A">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在项目厂区道路两侧种植绿化带</w:t>
      </w:r>
      <w:r>
        <w:rPr>
          <w:rFonts w:hint="default" w:ascii="Times New Roman" w:hAnsi="Times New Roman" w:eastAsia="宋体" w:cs="Times New Roman"/>
          <w:caps w:val="0"/>
          <w:snapToGrid/>
          <w:color w:val="auto"/>
          <w:spacing w:val="0"/>
          <w:w w:val="100"/>
          <w:kern w:val="0"/>
          <w:position w:val="0"/>
          <w:szCs w:val="24"/>
          <w:highlight w:val="none"/>
          <w:lang w:eastAsia="zh-CN"/>
        </w:rPr>
        <w:t>，在</w:t>
      </w:r>
      <w:r>
        <w:rPr>
          <w:rFonts w:hint="default" w:ascii="Times New Roman" w:hAnsi="Times New Roman" w:eastAsia="宋体" w:cs="Times New Roman"/>
          <w:caps w:val="0"/>
          <w:snapToGrid/>
          <w:color w:val="auto"/>
          <w:spacing w:val="0"/>
          <w:w w:val="100"/>
          <w:kern w:val="0"/>
          <w:position w:val="0"/>
          <w:szCs w:val="24"/>
          <w:highlight w:val="none"/>
        </w:rPr>
        <w:t>厂内空地种植花草，以进一步削减噪声。</w:t>
      </w:r>
    </w:p>
    <w:p w14:paraId="41B69318">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⑷从管理角度，加强以下几个方面工作，以减少项目噪声排放对周边声环境的影响</w:t>
      </w:r>
    </w:p>
    <w:p w14:paraId="39B4416D">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①提高工艺自动控制水平，减少工人直接接触高噪声设备时间。</w:t>
      </w:r>
    </w:p>
    <w:p w14:paraId="13891A41">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②建立设备定期维护、保养制度，防止设备故障形成的非正常生产噪声。</w:t>
      </w:r>
    </w:p>
    <w:p w14:paraId="0D82B99C">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③加强职工环保意识教育，提倡文明生产，防止人为噪声。</w:t>
      </w:r>
    </w:p>
    <w:p w14:paraId="0CC53B44">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⑹流动声源管理：对于流动声源，单独控制声源技术难度甚大，可行的措施是强化行驶管理制度。要求驾驶员加强环保意识，减少鸣笛次数。同时加强厂区内道路维护保养，减少汽车</w:t>
      </w:r>
      <w:r>
        <w:rPr>
          <w:rFonts w:hint="default" w:ascii="Times New Roman" w:hAnsi="Times New Roman" w:eastAsia="宋体" w:cs="Times New Roman"/>
          <w:caps w:val="0"/>
          <w:snapToGrid/>
          <w:color w:val="auto"/>
          <w:spacing w:val="0"/>
          <w:w w:val="100"/>
          <w:kern w:val="0"/>
          <w:position w:val="0"/>
          <w:szCs w:val="24"/>
          <w:highlight w:val="none"/>
          <w:lang w:eastAsia="zh-CN"/>
        </w:rPr>
        <w:t>摩擦</w:t>
      </w:r>
      <w:r>
        <w:rPr>
          <w:rFonts w:hint="default" w:ascii="Times New Roman" w:hAnsi="Times New Roman" w:eastAsia="宋体" w:cs="Times New Roman"/>
          <w:caps w:val="0"/>
          <w:snapToGrid/>
          <w:color w:val="auto"/>
          <w:spacing w:val="0"/>
          <w:w w:val="100"/>
          <w:kern w:val="0"/>
          <w:position w:val="0"/>
          <w:szCs w:val="24"/>
          <w:highlight w:val="none"/>
        </w:rPr>
        <w:t>噪声。</w:t>
      </w:r>
    </w:p>
    <w:p w14:paraId="7D4898C5">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根据项目声环境影响评价预测结果，采取有效的减振降噪措施后，预测前述主要生产设备噪声源衰减至厂界外1m的噪声贡献值，均可以满足《工业企业厂界环境噪声排放标准》（GB12348-2008）3类区排放限值要求。</w:t>
      </w:r>
    </w:p>
    <w:p w14:paraId="14130F3D">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560" w:name="_Toc7780"/>
      <w:bookmarkStart w:id="561" w:name="_Toc2095322"/>
      <w:bookmarkStart w:id="562" w:name="_Toc3011"/>
      <w:bookmarkStart w:id="563" w:name="_Toc256"/>
      <w:bookmarkStart w:id="564" w:name="_Toc24"/>
      <w:bookmarkStart w:id="565" w:name="_Toc1201"/>
      <w:bookmarkStart w:id="566" w:name="_Toc12814"/>
      <w:bookmarkStart w:id="567" w:name="_Toc15043"/>
      <w:bookmarkStart w:id="568" w:name="_Toc14900"/>
      <w:bookmarkStart w:id="569" w:name="_Toc9664"/>
      <w:bookmarkStart w:id="570" w:name="_Toc13046"/>
      <w:bookmarkStart w:id="571" w:name="_Toc15896371"/>
      <w:bookmarkStart w:id="572" w:name="_Toc13183"/>
      <w:bookmarkStart w:id="573" w:name="_Toc261"/>
      <w:bookmarkStart w:id="574" w:name="_Toc30243"/>
      <w:bookmarkStart w:id="575" w:name="_Toc24788"/>
      <w:bookmarkStart w:id="576" w:name="_Toc27233"/>
      <w:bookmarkStart w:id="577" w:name="_Toc30714"/>
      <w:bookmarkStart w:id="578" w:name="_Toc23043"/>
      <w:bookmarkStart w:id="579" w:name="_Toc16421"/>
      <w:bookmarkStart w:id="580" w:name="_Toc23258909"/>
      <w:bookmarkStart w:id="581" w:name="_Toc17271702"/>
      <w:bookmarkStart w:id="582" w:name="_Toc150142638"/>
      <w:bookmarkStart w:id="583" w:name="_Toc19899"/>
      <w:bookmarkStart w:id="584" w:name="_Toc389048676"/>
      <w:bookmarkStart w:id="585" w:name="_Toc31045"/>
      <w:bookmarkStart w:id="586" w:name="_Toc387919259"/>
      <w:bookmarkStart w:id="587" w:name="_Toc283077137"/>
      <w:bookmarkStart w:id="588" w:name="_Toc399666137"/>
      <w:r>
        <w:rPr>
          <w:rFonts w:hint="default"/>
          <w:color w:val="auto"/>
          <w:spacing w:val="0"/>
          <w:w w:val="100"/>
          <w:position w:val="0"/>
          <w:highlight w:val="none"/>
          <w:lang w:val="en-US" w:eastAsia="zh-CN"/>
        </w:rPr>
        <w:t>6.2.5固废污染防治措施</w:t>
      </w:r>
      <w:bookmarkEnd w:id="560"/>
      <w:bookmarkEnd w:id="561"/>
      <w:bookmarkEnd w:id="562"/>
      <w:r>
        <w:rPr>
          <w:rFonts w:hint="default"/>
          <w:color w:val="auto"/>
          <w:spacing w:val="0"/>
          <w:w w:val="100"/>
          <w:position w:val="0"/>
          <w:highlight w:val="none"/>
          <w:lang w:val="en-US" w:eastAsia="zh-CN"/>
        </w:rPr>
        <w:t>及其可行性分析</w:t>
      </w:r>
      <w:bookmarkEnd w:id="563"/>
      <w:bookmarkEnd w:id="564"/>
      <w:bookmarkEnd w:id="565"/>
      <w:bookmarkEnd w:id="566"/>
      <w:bookmarkEnd w:id="567"/>
      <w:bookmarkEnd w:id="568"/>
      <w:bookmarkEnd w:id="569"/>
      <w:bookmarkEnd w:id="570"/>
    </w:p>
    <w:p w14:paraId="7BC45B2D">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eastAsia" w:cs="Times New Roman"/>
          <w:caps w:val="0"/>
          <w:snapToGrid/>
          <w:color w:val="auto"/>
          <w:spacing w:val="0"/>
          <w:w w:val="100"/>
          <w:kern w:val="0"/>
          <w:position w:val="0"/>
          <w:szCs w:val="24"/>
          <w:highlight w:val="none"/>
          <w:lang w:val="en-US" w:eastAsia="zh-CN"/>
        </w:rPr>
        <w:t>1.</w:t>
      </w:r>
      <w:r>
        <w:rPr>
          <w:rFonts w:hint="default" w:ascii="Times New Roman" w:hAnsi="Times New Roman" w:eastAsia="宋体" w:cs="Times New Roman"/>
          <w:caps w:val="0"/>
          <w:snapToGrid/>
          <w:color w:val="auto"/>
          <w:spacing w:val="0"/>
          <w:w w:val="100"/>
          <w:kern w:val="0"/>
          <w:position w:val="0"/>
          <w:szCs w:val="24"/>
          <w:highlight w:val="none"/>
        </w:rPr>
        <w:t>一般固废处置措施</w:t>
      </w:r>
    </w:p>
    <w:p w14:paraId="365D1D06">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default" w:ascii="Times New Roman" w:hAnsi="Times New Roman" w:eastAsia="宋体" w:cs="Times New Roman"/>
          <w:caps w:val="0"/>
          <w:snapToGrid/>
          <w:color w:val="auto"/>
          <w:spacing w:val="0"/>
          <w:w w:val="100"/>
          <w:kern w:val="0"/>
          <w:position w:val="0"/>
          <w:szCs w:val="24"/>
          <w:highlight w:val="none"/>
        </w:rPr>
        <w:t>本项目一般固体废物主要为</w:t>
      </w:r>
      <w:r>
        <w:rPr>
          <w:rFonts w:hint="default" w:ascii="Times New Roman" w:hAnsi="Times New Roman" w:eastAsia="宋体" w:cs="Times New Roman"/>
          <w:caps w:val="0"/>
          <w:snapToGrid/>
          <w:color w:val="auto"/>
          <w:spacing w:val="0"/>
          <w:w w:val="100"/>
          <w:kern w:val="0"/>
          <w:position w:val="0"/>
          <w:highlight w:val="none"/>
        </w:rPr>
        <w:t>废包装材料</w:t>
      </w:r>
      <w:r>
        <w:rPr>
          <w:rFonts w:hint="eastAsia" w:cs="Times New Roman"/>
          <w:caps w:val="0"/>
          <w:snapToGrid/>
          <w:color w:val="auto"/>
          <w:spacing w:val="0"/>
          <w:w w:val="100"/>
          <w:kern w:val="0"/>
          <w:position w:val="0"/>
          <w:highlight w:val="none"/>
          <w:lang w:eastAsia="zh-CN"/>
        </w:rPr>
        <w:t>、</w:t>
      </w:r>
      <w:r>
        <w:rPr>
          <w:rFonts w:hint="default" w:ascii="Times New Roman" w:hAnsi="Times New Roman" w:eastAsia="宋体" w:cs="Times New Roman"/>
          <w:caps w:val="0"/>
          <w:snapToGrid/>
          <w:color w:val="auto"/>
          <w:spacing w:val="0"/>
          <w:w w:val="100"/>
          <w:kern w:val="0"/>
          <w:position w:val="0"/>
          <w:highlight w:val="none"/>
        </w:rPr>
        <w:t>废过滤渣和废过滤网</w:t>
      </w:r>
      <w:r>
        <w:rPr>
          <w:rFonts w:hint="eastAsia" w:cs="Times New Roman"/>
          <w:caps w:val="0"/>
          <w:snapToGrid/>
          <w:color w:val="auto"/>
          <w:spacing w:val="0"/>
          <w:w w:val="100"/>
          <w:kern w:val="0"/>
          <w:position w:val="0"/>
          <w:highlight w:val="none"/>
          <w:lang w:eastAsia="zh-CN"/>
        </w:rPr>
        <w:t>、</w:t>
      </w:r>
      <w:r>
        <w:rPr>
          <w:rFonts w:hint="default" w:ascii="Times New Roman" w:hAnsi="Times New Roman" w:eastAsia="宋体" w:cs="Times New Roman"/>
          <w:caps w:val="0"/>
          <w:snapToGrid/>
          <w:color w:val="auto"/>
          <w:spacing w:val="0"/>
          <w:w w:val="100"/>
          <w:kern w:val="0"/>
          <w:position w:val="0"/>
          <w:highlight w:val="none"/>
        </w:rPr>
        <w:t>边角料</w:t>
      </w:r>
      <w:r>
        <w:rPr>
          <w:rFonts w:hint="eastAsia" w:cs="Times New Roman"/>
          <w:caps w:val="0"/>
          <w:snapToGrid/>
          <w:color w:val="auto"/>
          <w:spacing w:val="0"/>
          <w:w w:val="100"/>
          <w:kern w:val="0"/>
          <w:position w:val="0"/>
          <w:highlight w:val="none"/>
          <w:lang w:eastAsia="zh-CN"/>
        </w:rPr>
        <w:t>、</w:t>
      </w:r>
      <w:r>
        <w:rPr>
          <w:rFonts w:hint="default" w:ascii="Times New Roman" w:hAnsi="Times New Roman" w:eastAsia="宋体" w:cs="Times New Roman"/>
          <w:caps w:val="0"/>
          <w:snapToGrid/>
          <w:color w:val="auto"/>
          <w:spacing w:val="0"/>
          <w:w w:val="100"/>
          <w:kern w:val="0"/>
          <w:position w:val="0"/>
          <w:highlight w:val="none"/>
        </w:rPr>
        <w:t>除尘器收集粉尘</w:t>
      </w:r>
      <w:r>
        <w:rPr>
          <w:rFonts w:hint="eastAsia" w:cs="Times New Roman"/>
          <w:caps w:val="0"/>
          <w:snapToGrid/>
          <w:color w:val="auto"/>
          <w:spacing w:val="0"/>
          <w:w w:val="100"/>
          <w:kern w:val="0"/>
          <w:position w:val="0"/>
          <w:highlight w:val="none"/>
          <w:lang w:eastAsia="zh-CN"/>
        </w:rPr>
        <w:t>、</w:t>
      </w:r>
      <w:r>
        <w:rPr>
          <w:rFonts w:hint="default" w:ascii="Times New Roman" w:hAnsi="Times New Roman" w:eastAsia="宋体" w:cs="Times New Roman"/>
          <w:caps w:val="0"/>
          <w:snapToGrid/>
          <w:color w:val="auto"/>
          <w:spacing w:val="0"/>
          <w:w w:val="100"/>
          <w:kern w:val="0"/>
          <w:position w:val="0"/>
          <w:highlight w:val="none"/>
        </w:rPr>
        <w:t>废布袋</w:t>
      </w:r>
      <w:r>
        <w:rPr>
          <w:rFonts w:hint="eastAsia" w:ascii="Times New Roman" w:hAnsi="Times New Roman" w:eastAsia="宋体" w:cs="Times New Roman"/>
          <w:caps w:val="0"/>
          <w:snapToGrid/>
          <w:color w:val="auto"/>
          <w:spacing w:val="0"/>
          <w:w w:val="100"/>
          <w:kern w:val="0"/>
          <w:position w:val="0"/>
          <w:highlight w:val="none"/>
          <w:lang w:eastAsia="zh-CN"/>
        </w:rPr>
        <w:t>，</w:t>
      </w:r>
      <w:r>
        <w:rPr>
          <w:rFonts w:hint="default" w:ascii="Times New Roman" w:hAnsi="Times New Roman" w:eastAsia="宋体" w:cs="Times New Roman"/>
          <w:caps w:val="0"/>
          <w:snapToGrid/>
          <w:color w:val="auto"/>
          <w:spacing w:val="0"/>
          <w:w w:val="100"/>
          <w:kern w:val="0"/>
          <w:position w:val="0"/>
          <w:szCs w:val="24"/>
          <w:highlight w:val="none"/>
          <w:lang w:val="en-US" w:eastAsia="zh-CN"/>
        </w:rPr>
        <w:t>集中收集至本项目一般固废暂存</w:t>
      </w:r>
      <w:r>
        <w:rPr>
          <w:rFonts w:hint="eastAsia" w:cs="Times New Roman"/>
          <w:caps w:val="0"/>
          <w:snapToGrid/>
          <w:color w:val="auto"/>
          <w:spacing w:val="0"/>
          <w:w w:val="100"/>
          <w:kern w:val="0"/>
          <w:position w:val="0"/>
          <w:szCs w:val="24"/>
          <w:highlight w:val="none"/>
          <w:lang w:val="en-US" w:eastAsia="zh-CN"/>
        </w:rPr>
        <w:t>区</w:t>
      </w:r>
      <w:r>
        <w:rPr>
          <w:rFonts w:hint="default" w:ascii="Times New Roman" w:hAnsi="Times New Roman" w:eastAsia="宋体" w:cs="Times New Roman"/>
          <w:caps w:val="0"/>
          <w:snapToGrid/>
          <w:color w:val="auto"/>
          <w:spacing w:val="0"/>
          <w:w w:val="100"/>
          <w:kern w:val="0"/>
          <w:position w:val="0"/>
          <w:szCs w:val="24"/>
          <w:highlight w:val="none"/>
          <w:lang w:val="en-US" w:eastAsia="zh-CN"/>
        </w:rPr>
        <w:t>，上述固废仍具有利用价值，故外售至</w:t>
      </w:r>
      <w:r>
        <w:rPr>
          <w:rFonts w:hint="eastAsia" w:cs="Times New Roman"/>
          <w:caps w:val="0"/>
          <w:snapToGrid/>
          <w:color w:val="auto"/>
          <w:spacing w:val="0"/>
          <w:w w:val="100"/>
          <w:kern w:val="0"/>
          <w:position w:val="0"/>
          <w:szCs w:val="24"/>
          <w:highlight w:val="none"/>
          <w:lang w:val="en-US" w:eastAsia="zh-CN"/>
        </w:rPr>
        <w:t>废品回收站综合利用</w:t>
      </w:r>
      <w:r>
        <w:rPr>
          <w:rFonts w:hint="default" w:ascii="Times New Roman" w:hAnsi="Times New Roman" w:eastAsia="宋体" w:cs="Times New Roman"/>
          <w:caps w:val="0"/>
          <w:snapToGrid/>
          <w:color w:val="auto"/>
          <w:spacing w:val="0"/>
          <w:w w:val="100"/>
          <w:kern w:val="0"/>
          <w:position w:val="0"/>
          <w:szCs w:val="24"/>
          <w:highlight w:val="none"/>
          <w:lang w:val="en-US" w:eastAsia="zh-CN"/>
        </w:rPr>
        <w:t>，一方面可使项目产生的一般工业固体废物得到妥善处置，另一方面可为建设单位创造一定的收益。</w:t>
      </w:r>
    </w:p>
    <w:p w14:paraId="12EBE778">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根据《一般工业固体废物贮存和填埋污染控制标准》（GB18599-2020）要求，</w:t>
      </w:r>
      <w:r>
        <w:rPr>
          <w:rFonts w:hint="default" w:ascii="Times New Roman" w:hAnsi="Times New Roman" w:eastAsia="宋体" w:cs="Times New Roman"/>
          <w:caps w:val="0"/>
          <w:snapToGrid/>
          <w:color w:val="auto"/>
          <w:spacing w:val="0"/>
          <w:w w:val="100"/>
          <w:kern w:val="0"/>
          <w:position w:val="0"/>
          <w:szCs w:val="24"/>
          <w:highlight w:val="none"/>
        </w:rPr>
        <w:t>本项目一般固体废</w:t>
      </w:r>
      <w:r>
        <w:rPr>
          <w:rFonts w:hint="default" w:ascii="Times New Roman" w:hAnsi="Times New Roman" w:eastAsia="宋体" w:cs="Times New Roman"/>
          <w:caps w:val="0"/>
          <w:snapToGrid/>
          <w:color w:val="auto"/>
          <w:spacing w:val="0"/>
          <w:w w:val="100"/>
          <w:kern w:val="0"/>
          <w:position w:val="0"/>
          <w:szCs w:val="24"/>
          <w:highlight w:val="none"/>
          <w:lang w:val="en-US" w:eastAsia="zh-CN"/>
        </w:rPr>
        <w:t>物拟</w:t>
      </w:r>
      <w:r>
        <w:rPr>
          <w:rFonts w:hint="default" w:ascii="Times New Roman" w:hAnsi="Times New Roman" w:eastAsia="宋体" w:cs="Times New Roman"/>
          <w:caps w:val="0"/>
          <w:snapToGrid/>
          <w:color w:val="auto"/>
          <w:spacing w:val="0"/>
          <w:w w:val="100"/>
          <w:kern w:val="0"/>
          <w:position w:val="0"/>
          <w:szCs w:val="24"/>
          <w:highlight w:val="none"/>
        </w:rPr>
        <w:t>在</w:t>
      </w:r>
      <w:r>
        <w:rPr>
          <w:rFonts w:hint="eastAsia" w:cs="Times New Roman"/>
          <w:caps w:val="0"/>
          <w:snapToGrid/>
          <w:color w:val="auto"/>
          <w:spacing w:val="0"/>
          <w:w w:val="100"/>
          <w:kern w:val="0"/>
          <w:position w:val="0"/>
          <w:szCs w:val="24"/>
          <w:highlight w:val="none"/>
          <w:lang w:val="en-US" w:eastAsia="zh-CN"/>
        </w:rPr>
        <w:t>厂区南侧角落</w:t>
      </w:r>
      <w:r>
        <w:rPr>
          <w:rFonts w:hint="default" w:ascii="Times New Roman" w:hAnsi="Times New Roman" w:eastAsia="宋体" w:cs="Times New Roman"/>
          <w:caps w:val="0"/>
          <w:snapToGrid/>
          <w:color w:val="auto"/>
          <w:spacing w:val="0"/>
          <w:w w:val="100"/>
          <w:kern w:val="0"/>
          <w:position w:val="0"/>
          <w:szCs w:val="24"/>
          <w:highlight w:val="none"/>
          <w:lang w:val="en-US" w:eastAsia="zh-CN"/>
        </w:rPr>
        <w:t>设置</w:t>
      </w:r>
      <w:r>
        <w:rPr>
          <w:rFonts w:hint="default" w:ascii="Times New Roman" w:hAnsi="Times New Roman" w:eastAsia="宋体" w:cs="Times New Roman"/>
          <w:caps w:val="0"/>
          <w:snapToGrid/>
          <w:color w:val="auto"/>
          <w:spacing w:val="0"/>
          <w:w w:val="100"/>
          <w:kern w:val="0"/>
          <w:position w:val="0"/>
          <w:szCs w:val="24"/>
          <w:highlight w:val="none"/>
        </w:rPr>
        <w:t>一般固废</w:t>
      </w:r>
      <w:r>
        <w:rPr>
          <w:rFonts w:hint="eastAsia" w:cs="Times New Roman"/>
          <w:caps w:val="0"/>
          <w:snapToGrid/>
          <w:color w:val="auto"/>
          <w:spacing w:val="0"/>
          <w:w w:val="100"/>
          <w:kern w:val="0"/>
          <w:position w:val="0"/>
          <w:szCs w:val="24"/>
          <w:highlight w:val="none"/>
          <w:lang w:val="en-US" w:eastAsia="zh-CN"/>
        </w:rPr>
        <w:t>贮存区</w:t>
      </w:r>
      <w:r>
        <w:rPr>
          <w:rFonts w:hint="default" w:ascii="Times New Roman" w:hAnsi="Times New Roman" w:eastAsia="宋体" w:cs="Times New Roman"/>
          <w:caps w:val="0"/>
          <w:snapToGrid/>
          <w:color w:val="auto"/>
          <w:spacing w:val="0"/>
          <w:w w:val="100"/>
          <w:kern w:val="0"/>
          <w:position w:val="0"/>
          <w:szCs w:val="24"/>
          <w:highlight w:val="none"/>
        </w:rPr>
        <w:t>，</w:t>
      </w:r>
      <w:r>
        <w:rPr>
          <w:rFonts w:hint="default" w:ascii="Times New Roman" w:hAnsi="Times New Roman" w:eastAsia="宋体" w:cs="Times New Roman"/>
          <w:caps w:val="0"/>
          <w:snapToGrid/>
          <w:color w:val="auto"/>
          <w:spacing w:val="0"/>
          <w:w w:val="100"/>
          <w:kern w:val="0"/>
          <w:position w:val="0"/>
          <w:szCs w:val="24"/>
          <w:highlight w:val="none"/>
          <w:lang w:val="en-US" w:eastAsia="zh-CN"/>
        </w:rPr>
        <w:t>面积约</w:t>
      </w:r>
      <w:r>
        <w:rPr>
          <w:rFonts w:hint="eastAsia" w:cs="Times New Roman"/>
          <w:caps w:val="0"/>
          <w:snapToGrid/>
          <w:color w:val="auto"/>
          <w:spacing w:val="0"/>
          <w:w w:val="100"/>
          <w:kern w:val="0"/>
          <w:position w:val="0"/>
          <w:szCs w:val="24"/>
          <w:highlight w:val="none"/>
          <w:lang w:val="en-US" w:eastAsia="zh-CN"/>
        </w:rPr>
        <w:t>10</w:t>
      </w:r>
      <w:r>
        <w:rPr>
          <w:rFonts w:hint="default" w:ascii="Times New Roman" w:hAnsi="Times New Roman" w:eastAsia="宋体" w:cs="Times New Roman"/>
          <w:caps w:val="0"/>
          <w:snapToGrid/>
          <w:color w:val="auto"/>
          <w:spacing w:val="0"/>
          <w:w w:val="100"/>
          <w:kern w:val="0"/>
          <w:position w:val="0"/>
          <w:szCs w:val="24"/>
          <w:highlight w:val="none"/>
          <w:lang w:val="en-US" w:eastAsia="zh-CN"/>
        </w:rPr>
        <w:t>m</w:t>
      </w:r>
      <w:r>
        <w:rPr>
          <w:rFonts w:hint="default" w:ascii="Times New Roman" w:hAnsi="Times New Roman" w:eastAsia="宋体" w:cs="Times New Roman"/>
          <w:caps w:val="0"/>
          <w:snapToGrid/>
          <w:color w:val="auto"/>
          <w:spacing w:val="0"/>
          <w:w w:val="100"/>
          <w:kern w:val="0"/>
          <w:position w:val="0"/>
          <w:szCs w:val="24"/>
          <w:highlight w:val="none"/>
          <w:vertAlign w:val="superscript"/>
          <w:lang w:val="en-US" w:eastAsia="zh-CN"/>
        </w:rPr>
        <w:t>2</w:t>
      </w:r>
      <w:r>
        <w:rPr>
          <w:rFonts w:hint="default" w:ascii="Times New Roman" w:hAnsi="Times New Roman" w:eastAsia="宋体" w:cs="Times New Roman"/>
          <w:caps w:val="0"/>
          <w:snapToGrid/>
          <w:color w:val="auto"/>
          <w:spacing w:val="0"/>
          <w:w w:val="100"/>
          <w:kern w:val="0"/>
          <w:position w:val="0"/>
          <w:szCs w:val="24"/>
          <w:highlight w:val="none"/>
          <w:lang w:val="en-US" w:eastAsia="zh-CN"/>
        </w:rPr>
        <w:t>，用于暂存项目产生的一般固体废弃物</w:t>
      </w:r>
      <w:r>
        <w:rPr>
          <w:rFonts w:hint="default" w:ascii="Times New Roman" w:hAnsi="Times New Roman" w:eastAsia="宋体" w:cs="Times New Roman"/>
          <w:caps w:val="0"/>
          <w:snapToGrid/>
          <w:color w:val="auto"/>
          <w:spacing w:val="0"/>
          <w:w w:val="100"/>
          <w:kern w:val="0"/>
          <w:position w:val="0"/>
          <w:szCs w:val="24"/>
          <w:highlight w:val="none"/>
        </w:rPr>
        <w:t>，定期外</w:t>
      </w:r>
      <w:r>
        <w:rPr>
          <w:rFonts w:hint="default" w:ascii="Times New Roman" w:hAnsi="Times New Roman" w:eastAsia="宋体" w:cs="Times New Roman"/>
          <w:caps w:val="0"/>
          <w:snapToGrid/>
          <w:color w:val="auto"/>
          <w:spacing w:val="0"/>
          <w:w w:val="100"/>
          <w:kern w:val="0"/>
          <w:position w:val="0"/>
          <w:szCs w:val="24"/>
          <w:highlight w:val="none"/>
          <w:lang w:val="en-US" w:eastAsia="zh-CN"/>
        </w:rPr>
        <w:t>售综合利用</w:t>
      </w:r>
      <w:r>
        <w:rPr>
          <w:rFonts w:hint="default" w:ascii="Times New Roman" w:hAnsi="Times New Roman" w:eastAsia="宋体" w:cs="Times New Roman"/>
          <w:caps w:val="0"/>
          <w:snapToGrid/>
          <w:color w:val="auto"/>
          <w:spacing w:val="0"/>
          <w:w w:val="100"/>
          <w:kern w:val="0"/>
          <w:position w:val="0"/>
          <w:szCs w:val="24"/>
          <w:highlight w:val="none"/>
        </w:rPr>
        <w:t>。一般固废</w:t>
      </w:r>
      <w:r>
        <w:rPr>
          <w:rFonts w:hint="eastAsia" w:cs="Times New Roman"/>
          <w:caps w:val="0"/>
          <w:snapToGrid/>
          <w:color w:val="auto"/>
          <w:spacing w:val="0"/>
          <w:w w:val="100"/>
          <w:kern w:val="0"/>
          <w:position w:val="0"/>
          <w:szCs w:val="24"/>
          <w:highlight w:val="none"/>
          <w:lang w:val="en-US" w:eastAsia="zh-CN"/>
        </w:rPr>
        <w:t>贮存库</w:t>
      </w:r>
      <w:r>
        <w:rPr>
          <w:rFonts w:hint="eastAsia"/>
          <w:color w:val="auto"/>
          <w:spacing w:val="0"/>
          <w:w w:val="100"/>
          <w:position w:val="0"/>
          <w:highlight w:val="none"/>
          <w:lang w:val="en-US" w:eastAsia="zh-CN"/>
        </w:rPr>
        <w:t>最大储存能力约为5t，本项目一般工业固废产生量约为5.144t/a，暂存周期约为15d，储存量约为0.257t，可满足存储需求。</w:t>
      </w:r>
      <w:r>
        <w:rPr>
          <w:rFonts w:hint="default" w:ascii="Times New Roman" w:hAnsi="Times New Roman" w:eastAsia="宋体" w:cs="Times New Roman"/>
          <w:caps w:val="0"/>
          <w:snapToGrid/>
          <w:color w:val="auto"/>
          <w:spacing w:val="0"/>
          <w:w w:val="100"/>
          <w:kern w:val="0"/>
          <w:position w:val="0"/>
          <w:szCs w:val="24"/>
          <w:highlight w:val="none"/>
        </w:rPr>
        <w:t>一般固废在暂存时，应按性质不同分类进行贮存，贮存场所采取防风、防雨、防渗措施</w:t>
      </w:r>
      <w:r>
        <w:rPr>
          <w:rFonts w:hint="default" w:ascii="Times New Roman" w:hAnsi="Times New Roman" w:eastAsia="宋体" w:cs="Times New Roman"/>
          <w:caps w:val="0"/>
          <w:snapToGrid/>
          <w:color w:val="auto"/>
          <w:spacing w:val="0"/>
          <w:w w:val="100"/>
          <w:kern w:val="0"/>
          <w:position w:val="0"/>
          <w:szCs w:val="24"/>
          <w:highlight w:val="none"/>
          <w:lang w:eastAsia="zh-CN"/>
        </w:rPr>
        <w:t>，</w:t>
      </w:r>
      <w:r>
        <w:rPr>
          <w:rFonts w:hint="default" w:ascii="Times New Roman" w:hAnsi="Times New Roman" w:eastAsia="宋体" w:cs="Times New Roman"/>
          <w:caps w:val="0"/>
          <w:snapToGrid/>
          <w:color w:val="auto"/>
          <w:spacing w:val="0"/>
          <w:w w:val="100"/>
          <w:kern w:val="0"/>
          <w:position w:val="0"/>
          <w:szCs w:val="24"/>
          <w:highlight w:val="none"/>
          <w:lang w:val="en-US" w:eastAsia="zh-CN"/>
        </w:rPr>
        <w:t>并</w:t>
      </w:r>
      <w:r>
        <w:rPr>
          <w:rFonts w:hint="default" w:ascii="Times New Roman" w:hAnsi="Times New Roman" w:eastAsia="宋体" w:cs="Times New Roman"/>
          <w:caps w:val="0"/>
          <w:snapToGrid/>
          <w:color w:val="auto"/>
          <w:spacing w:val="0"/>
          <w:w w:val="100"/>
          <w:kern w:val="0"/>
          <w:position w:val="0"/>
          <w:szCs w:val="24"/>
          <w:highlight w:val="none"/>
        </w:rPr>
        <w:t>严格按照《</w:t>
      </w:r>
      <w:r>
        <w:rPr>
          <w:rFonts w:hint="default" w:ascii="Times New Roman" w:hAnsi="Times New Roman" w:eastAsia="宋体" w:cs="Times New Roman"/>
          <w:caps w:val="0"/>
          <w:snapToGrid/>
          <w:color w:val="auto"/>
          <w:spacing w:val="0"/>
          <w:w w:val="100"/>
          <w:kern w:val="0"/>
          <w:position w:val="0"/>
          <w:szCs w:val="24"/>
          <w:highlight w:val="none"/>
          <w:lang w:eastAsia="zh-CN"/>
        </w:rPr>
        <w:t>一般工业固体废物贮存和填埋污染控制标准</w:t>
      </w:r>
      <w:r>
        <w:rPr>
          <w:rFonts w:hint="default" w:ascii="Times New Roman" w:hAnsi="Times New Roman" w:eastAsia="宋体" w:cs="Times New Roman"/>
          <w:caps w:val="0"/>
          <w:snapToGrid/>
          <w:color w:val="auto"/>
          <w:spacing w:val="0"/>
          <w:w w:val="100"/>
          <w:kern w:val="0"/>
          <w:position w:val="0"/>
          <w:szCs w:val="24"/>
          <w:highlight w:val="none"/>
        </w:rPr>
        <w:t>》（GB18599-20</w:t>
      </w:r>
      <w:r>
        <w:rPr>
          <w:rFonts w:hint="default" w:ascii="Times New Roman" w:hAnsi="Times New Roman" w:eastAsia="宋体" w:cs="Times New Roman"/>
          <w:caps w:val="0"/>
          <w:snapToGrid/>
          <w:color w:val="auto"/>
          <w:spacing w:val="0"/>
          <w:w w:val="100"/>
          <w:kern w:val="0"/>
          <w:position w:val="0"/>
          <w:szCs w:val="24"/>
          <w:highlight w:val="none"/>
          <w:lang w:val="en-US" w:eastAsia="zh-CN"/>
        </w:rPr>
        <w:t>20</w:t>
      </w:r>
      <w:r>
        <w:rPr>
          <w:rFonts w:hint="default" w:ascii="Times New Roman" w:hAnsi="Times New Roman" w:eastAsia="宋体" w:cs="Times New Roman"/>
          <w:caps w:val="0"/>
          <w:snapToGrid/>
          <w:color w:val="auto"/>
          <w:spacing w:val="0"/>
          <w:w w:val="100"/>
          <w:kern w:val="0"/>
          <w:position w:val="0"/>
          <w:szCs w:val="24"/>
          <w:highlight w:val="none"/>
        </w:rPr>
        <w:t>）中Ⅱ类贮存场进行要求</w:t>
      </w:r>
      <w:r>
        <w:rPr>
          <w:rFonts w:hint="default" w:ascii="Times New Roman" w:hAnsi="Times New Roman" w:eastAsia="宋体" w:cs="Times New Roman"/>
          <w:caps w:val="0"/>
          <w:snapToGrid/>
          <w:color w:val="auto"/>
          <w:spacing w:val="0"/>
          <w:w w:val="100"/>
          <w:kern w:val="0"/>
          <w:position w:val="0"/>
          <w:szCs w:val="24"/>
          <w:highlight w:val="none"/>
          <w:lang w:val="en-US" w:eastAsia="zh-CN"/>
        </w:rPr>
        <w:t>建设</w:t>
      </w:r>
      <w:r>
        <w:rPr>
          <w:rFonts w:hint="default" w:ascii="Times New Roman" w:hAnsi="Times New Roman" w:eastAsia="宋体" w:cs="Times New Roman"/>
          <w:caps w:val="0"/>
          <w:snapToGrid/>
          <w:color w:val="auto"/>
          <w:spacing w:val="0"/>
          <w:w w:val="100"/>
          <w:kern w:val="0"/>
          <w:position w:val="0"/>
          <w:szCs w:val="24"/>
          <w:highlight w:val="none"/>
        </w:rPr>
        <w:t>。</w:t>
      </w:r>
    </w:p>
    <w:p w14:paraId="48190552">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eastAsia" w:cs="Times New Roman"/>
          <w:caps w:val="0"/>
          <w:snapToGrid/>
          <w:color w:val="auto"/>
          <w:spacing w:val="0"/>
          <w:w w:val="100"/>
          <w:kern w:val="0"/>
          <w:position w:val="0"/>
          <w:szCs w:val="24"/>
          <w:highlight w:val="none"/>
          <w:lang w:val="en-US" w:eastAsia="zh-CN"/>
        </w:rPr>
        <w:t>2.</w:t>
      </w:r>
      <w:r>
        <w:rPr>
          <w:rFonts w:hint="default" w:ascii="Times New Roman" w:hAnsi="Times New Roman" w:eastAsia="宋体" w:cs="Times New Roman"/>
          <w:caps w:val="0"/>
          <w:snapToGrid/>
          <w:color w:val="auto"/>
          <w:spacing w:val="0"/>
          <w:w w:val="100"/>
          <w:kern w:val="0"/>
          <w:position w:val="0"/>
          <w:szCs w:val="24"/>
          <w:highlight w:val="none"/>
        </w:rPr>
        <w:t>危险废物处置措施</w:t>
      </w:r>
    </w:p>
    <w:p w14:paraId="4B6E062C">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本项目危险废物</w:t>
      </w:r>
      <w:r>
        <w:rPr>
          <w:rFonts w:hint="default" w:ascii="Times New Roman" w:hAnsi="Times New Roman" w:eastAsia="宋体" w:cs="Times New Roman"/>
          <w:caps w:val="0"/>
          <w:snapToGrid/>
          <w:color w:val="auto"/>
          <w:spacing w:val="0"/>
          <w:w w:val="100"/>
          <w:kern w:val="0"/>
          <w:position w:val="0"/>
          <w:highlight w:val="none"/>
        </w:rPr>
        <w:t>沾油废手套、抹布</w:t>
      </w:r>
      <w:r>
        <w:rPr>
          <w:rFonts w:hint="eastAsia" w:cs="Times New Roman"/>
          <w:caps w:val="0"/>
          <w:snapToGrid/>
          <w:color w:val="auto"/>
          <w:spacing w:val="0"/>
          <w:w w:val="100"/>
          <w:kern w:val="0"/>
          <w:position w:val="0"/>
          <w:highlight w:val="none"/>
          <w:lang w:eastAsia="zh-CN"/>
        </w:rPr>
        <w:t>、</w:t>
      </w:r>
      <w:r>
        <w:rPr>
          <w:rFonts w:hint="default" w:ascii="Times New Roman" w:hAnsi="Times New Roman" w:eastAsia="宋体" w:cs="Times New Roman"/>
          <w:caps w:val="0"/>
          <w:snapToGrid/>
          <w:color w:val="auto"/>
          <w:spacing w:val="0"/>
          <w:w w:val="100"/>
          <w:kern w:val="0"/>
          <w:position w:val="0"/>
          <w:highlight w:val="none"/>
        </w:rPr>
        <w:t>废机油</w:t>
      </w:r>
      <w:r>
        <w:rPr>
          <w:rFonts w:hint="eastAsia" w:cs="Times New Roman"/>
          <w:caps w:val="0"/>
          <w:snapToGrid/>
          <w:color w:val="auto"/>
          <w:spacing w:val="0"/>
          <w:w w:val="100"/>
          <w:kern w:val="0"/>
          <w:position w:val="0"/>
          <w:highlight w:val="none"/>
          <w:lang w:eastAsia="zh-CN"/>
        </w:rPr>
        <w:t>、</w:t>
      </w:r>
      <w:r>
        <w:rPr>
          <w:rFonts w:hint="default" w:ascii="Times New Roman" w:hAnsi="Times New Roman" w:eastAsia="宋体" w:cs="Times New Roman"/>
          <w:caps w:val="0"/>
          <w:snapToGrid/>
          <w:color w:val="auto"/>
          <w:spacing w:val="0"/>
          <w:w w:val="100"/>
          <w:kern w:val="0"/>
          <w:position w:val="0"/>
          <w:highlight w:val="none"/>
        </w:rPr>
        <w:t>废机油桶</w:t>
      </w:r>
      <w:r>
        <w:rPr>
          <w:rFonts w:hint="eastAsia" w:cs="Times New Roman"/>
          <w:caps w:val="0"/>
          <w:snapToGrid/>
          <w:color w:val="auto"/>
          <w:spacing w:val="0"/>
          <w:w w:val="100"/>
          <w:kern w:val="0"/>
          <w:position w:val="0"/>
          <w:highlight w:val="none"/>
          <w:lang w:eastAsia="zh-CN"/>
        </w:rPr>
        <w:t>、</w:t>
      </w:r>
      <w:r>
        <w:rPr>
          <w:rFonts w:hint="default" w:ascii="Times New Roman" w:hAnsi="Times New Roman" w:eastAsia="宋体" w:cs="Times New Roman"/>
          <w:caps w:val="0"/>
          <w:snapToGrid/>
          <w:color w:val="auto"/>
          <w:spacing w:val="0"/>
          <w:w w:val="100"/>
          <w:kern w:val="0"/>
          <w:position w:val="0"/>
          <w:highlight w:val="none"/>
        </w:rPr>
        <w:t>废催化剂</w:t>
      </w:r>
      <w:r>
        <w:rPr>
          <w:rFonts w:hint="eastAsia" w:cs="Times New Roman"/>
          <w:caps w:val="0"/>
          <w:snapToGrid/>
          <w:color w:val="auto"/>
          <w:spacing w:val="0"/>
          <w:w w:val="100"/>
          <w:kern w:val="0"/>
          <w:position w:val="0"/>
          <w:highlight w:val="none"/>
          <w:lang w:eastAsia="zh-CN"/>
        </w:rPr>
        <w:t>、</w:t>
      </w:r>
      <w:r>
        <w:rPr>
          <w:rFonts w:hint="eastAsia" w:cs="Times New Roman"/>
          <w:caps w:val="0"/>
          <w:snapToGrid/>
          <w:color w:val="auto"/>
          <w:spacing w:val="0"/>
          <w:w w:val="100"/>
          <w:kern w:val="0"/>
          <w:position w:val="0"/>
          <w:highlight w:val="none"/>
          <w:lang w:val="en-US" w:eastAsia="zh-CN"/>
        </w:rPr>
        <w:t>废过滤棉、</w:t>
      </w:r>
      <w:r>
        <w:rPr>
          <w:rFonts w:hint="default" w:ascii="Times New Roman" w:hAnsi="Times New Roman" w:eastAsia="宋体" w:cs="Times New Roman"/>
          <w:caps w:val="0"/>
          <w:snapToGrid/>
          <w:color w:val="auto"/>
          <w:spacing w:val="0"/>
          <w:w w:val="100"/>
          <w:kern w:val="0"/>
          <w:position w:val="0"/>
          <w:highlight w:val="none"/>
        </w:rPr>
        <w:t>废活性炭</w:t>
      </w:r>
      <w:r>
        <w:rPr>
          <w:rFonts w:hint="default" w:ascii="Times New Roman" w:hAnsi="Times New Roman" w:eastAsia="宋体" w:cs="Times New Roman"/>
          <w:caps w:val="0"/>
          <w:snapToGrid/>
          <w:color w:val="auto"/>
          <w:spacing w:val="0"/>
          <w:w w:val="100"/>
          <w:kern w:val="0"/>
          <w:position w:val="0"/>
          <w:szCs w:val="24"/>
          <w:highlight w:val="none"/>
        </w:rPr>
        <w:t>集中收集后暂存于</w:t>
      </w:r>
      <w:r>
        <w:rPr>
          <w:rFonts w:hint="default" w:ascii="Times New Roman" w:hAnsi="Times New Roman" w:eastAsia="宋体" w:cs="Times New Roman"/>
          <w:caps w:val="0"/>
          <w:snapToGrid/>
          <w:color w:val="auto"/>
          <w:spacing w:val="0"/>
          <w:w w:val="100"/>
          <w:kern w:val="0"/>
          <w:position w:val="0"/>
          <w:szCs w:val="24"/>
          <w:highlight w:val="none"/>
          <w:lang w:eastAsia="zh-CN"/>
        </w:rPr>
        <w:t>危废贮存库</w:t>
      </w:r>
      <w:r>
        <w:rPr>
          <w:rFonts w:hint="default" w:ascii="Times New Roman" w:hAnsi="Times New Roman" w:eastAsia="宋体" w:cs="Times New Roman"/>
          <w:caps w:val="0"/>
          <w:snapToGrid/>
          <w:color w:val="auto"/>
          <w:spacing w:val="0"/>
          <w:w w:val="100"/>
          <w:kern w:val="0"/>
          <w:position w:val="0"/>
          <w:szCs w:val="24"/>
          <w:highlight w:val="none"/>
        </w:rPr>
        <w:t>，定期交由有资质单位处置。</w:t>
      </w:r>
    </w:p>
    <w:p w14:paraId="3FEA14C4">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rPr>
      </w:pPr>
      <w:r>
        <w:rPr>
          <w:rFonts w:hint="eastAsia" w:ascii="Times New Roman" w:hAnsi="Times New Roman" w:cs="Times New Roman"/>
          <w:caps w:val="0"/>
          <w:snapToGrid/>
          <w:color w:val="auto"/>
          <w:spacing w:val="0"/>
          <w:w w:val="100"/>
          <w:kern w:val="0"/>
          <w:position w:val="0"/>
          <w:highlight w:val="none"/>
          <w:shd w:val="clear" w:color="auto" w:fill="auto"/>
          <w:lang w:val="en-US" w:eastAsia="zh-CN"/>
        </w:rPr>
        <w:t>（1）</w:t>
      </w:r>
      <w:r>
        <w:rPr>
          <w:rFonts w:hint="default" w:ascii="Times New Roman" w:hAnsi="Times New Roman" w:eastAsia="宋体" w:cs="Times New Roman"/>
          <w:caps w:val="0"/>
          <w:snapToGrid/>
          <w:color w:val="auto"/>
          <w:spacing w:val="0"/>
          <w:w w:val="100"/>
          <w:kern w:val="0"/>
          <w:position w:val="0"/>
          <w:highlight w:val="none"/>
          <w:shd w:val="clear" w:color="auto" w:fill="auto"/>
          <w:lang w:eastAsia="zh-CN"/>
        </w:rPr>
        <w:t>危废贮存库</w:t>
      </w:r>
      <w:r>
        <w:rPr>
          <w:rFonts w:hint="default" w:ascii="Times New Roman" w:hAnsi="Times New Roman" w:eastAsia="宋体" w:cs="Times New Roman"/>
          <w:caps w:val="0"/>
          <w:snapToGrid/>
          <w:color w:val="auto"/>
          <w:spacing w:val="0"/>
          <w:w w:val="100"/>
          <w:kern w:val="0"/>
          <w:position w:val="0"/>
          <w:highlight w:val="none"/>
          <w:shd w:val="clear" w:color="auto" w:fill="auto"/>
        </w:rPr>
        <w:t>选址合理性分析</w:t>
      </w:r>
    </w:p>
    <w:p w14:paraId="1E052274">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rPr>
      </w:pPr>
      <w:r>
        <w:rPr>
          <w:rFonts w:hint="default" w:ascii="Times New Roman" w:hAnsi="Times New Roman" w:eastAsia="宋体" w:cs="Times New Roman"/>
          <w:caps w:val="0"/>
          <w:snapToGrid/>
          <w:color w:val="auto"/>
          <w:spacing w:val="0"/>
          <w:w w:val="100"/>
          <w:kern w:val="0"/>
          <w:position w:val="0"/>
          <w:highlight w:val="none"/>
          <w:shd w:val="clear" w:color="auto" w:fill="auto"/>
        </w:rPr>
        <w:t>对照《危险废物贮存污染控制标准》（GB18597-2023），</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本</w:t>
      </w:r>
      <w:r>
        <w:rPr>
          <w:rFonts w:hint="default" w:ascii="Times New Roman" w:hAnsi="Times New Roman" w:eastAsia="宋体" w:cs="Times New Roman"/>
          <w:caps w:val="0"/>
          <w:snapToGrid/>
          <w:color w:val="auto"/>
          <w:spacing w:val="0"/>
          <w:w w:val="100"/>
          <w:kern w:val="0"/>
          <w:position w:val="0"/>
          <w:highlight w:val="none"/>
          <w:shd w:val="clear" w:color="auto" w:fill="auto"/>
        </w:rPr>
        <w:t>项目</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危废贮存库</w:t>
      </w:r>
      <w:r>
        <w:rPr>
          <w:rFonts w:hint="default" w:ascii="Times New Roman" w:hAnsi="Times New Roman" w:eastAsia="宋体" w:cs="Times New Roman"/>
          <w:caps w:val="0"/>
          <w:snapToGrid/>
          <w:color w:val="auto"/>
          <w:spacing w:val="0"/>
          <w:w w:val="100"/>
          <w:kern w:val="0"/>
          <w:position w:val="0"/>
          <w:highlight w:val="none"/>
          <w:shd w:val="clear" w:color="auto" w:fill="auto"/>
        </w:rPr>
        <w:t>选址合理性分析见表</w:t>
      </w:r>
      <w:r>
        <w:rPr>
          <w:rFonts w:hint="eastAsia" w:ascii="Times New Roman" w:hAnsi="Times New Roman" w:eastAsia="宋体" w:cs="Times New Roman"/>
          <w:caps w:val="0"/>
          <w:snapToGrid/>
          <w:color w:val="auto"/>
          <w:spacing w:val="0"/>
          <w:w w:val="100"/>
          <w:kern w:val="0"/>
          <w:position w:val="0"/>
          <w:highlight w:val="none"/>
          <w:shd w:val="clear" w:color="auto" w:fill="auto"/>
          <w:lang w:val="en-US" w:eastAsia="zh-CN"/>
        </w:rPr>
        <w:t>6.2.5-1</w:t>
      </w:r>
      <w:r>
        <w:rPr>
          <w:rFonts w:hint="default" w:ascii="Times New Roman" w:hAnsi="Times New Roman" w:eastAsia="宋体" w:cs="Times New Roman"/>
          <w:caps w:val="0"/>
          <w:snapToGrid/>
          <w:color w:val="auto"/>
          <w:spacing w:val="0"/>
          <w:w w:val="100"/>
          <w:kern w:val="0"/>
          <w:position w:val="0"/>
          <w:highlight w:val="none"/>
          <w:shd w:val="clear" w:color="auto" w:fill="auto"/>
        </w:rPr>
        <w:t>。</w:t>
      </w:r>
    </w:p>
    <w:p w14:paraId="304A8979">
      <w:pPr>
        <w:pStyle w:val="11"/>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rPr>
      </w:pPr>
      <w:r>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rPr>
        <w:t>表</w:t>
      </w:r>
      <w:r>
        <w:rPr>
          <w:rFonts w:hint="eastAsia" w:ascii="Times New Roman" w:hAnsi="Times New Roman" w:eastAsia="宋体" w:cs="Times New Roman"/>
          <w:b/>
          <w:bCs/>
          <w:caps w:val="0"/>
          <w:snapToGrid/>
          <w:color w:val="auto"/>
          <w:spacing w:val="0"/>
          <w:w w:val="100"/>
          <w:kern w:val="0"/>
          <w:position w:val="0"/>
          <w:sz w:val="21"/>
          <w:szCs w:val="21"/>
          <w:highlight w:val="none"/>
          <w:lang w:val="en-US" w:eastAsia="zh-CN"/>
        </w:rPr>
        <w:t>6.2.5-1</w:t>
      </w:r>
      <w:r>
        <w:rPr>
          <w:rFonts w:hint="default" w:ascii="Times New Roman" w:hAnsi="Times New Roman" w:eastAsia="宋体" w:cs="Times New Roman"/>
          <w:b/>
          <w:bCs/>
          <w:caps w:val="0"/>
          <w:snapToGrid/>
          <w:color w:val="auto"/>
          <w:spacing w:val="0"/>
          <w:w w:val="100"/>
          <w:kern w:val="0"/>
          <w:position w:val="0"/>
          <w:sz w:val="21"/>
          <w:szCs w:val="21"/>
          <w:highlight w:val="none"/>
          <w:lang w:val="en-US" w:eastAsia="zh-CN"/>
        </w:rPr>
        <w:t xml:space="preserve">  危废贮存库选址符合性分析</w:t>
      </w:r>
    </w:p>
    <w:tbl>
      <w:tblPr>
        <w:tblStyle w:val="25"/>
        <w:tblW w:w="5021"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4094"/>
        <w:gridCol w:w="3821"/>
        <w:gridCol w:w="540"/>
      </w:tblGrid>
      <w:tr w14:paraId="21F8FD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tblHeader/>
          <w:jc w:val="center"/>
        </w:trPr>
        <w:tc>
          <w:tcPr>
            <w:tcW w:w="2421" w:type="pct"/>
            <w:tcBorders>
              <w:tl2br w:val="nil"/>
              <w:tr2bl w:val="nil"/>
            </w:tcBorders>
            <w:noWrap w:val="0"/>
            <w:vAlign w:val="center"/>
          </w:tcPr>
          <w:p w14:paraId="1AA33A2D">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b/>
                <w:bCs/>
                <w:caps w:val="0"/>
                <w:snapToGrid/>
                <w:color w:val="auto"/>
                <w:spacing w:val="0"/>
                <w:w w:val="100"/>
                <w:kern w:val="0"/>
                <w:position w:val="0"/>
                <w:sz w:val="21"/>
                <w:szCs w:val="21"/>
                <w:highlight w:val="none"/>
                <w:shd w:val="clear" w:color="auto" w:fill="auto"/>
              </w:rPr>
              <w:t>选址要求</w:t>
            </w:r>
          </w:p>
        </w:tc>
        <w:tc>
          <w:tcPr>
            <w:tcW w:w="2259" w:type="pct"/>
            <w:tcBorders>
              <w:tl2br w:val="nil"/>
              <w:tr2bl w:val="nil"/>
            </w:tcBorders>
            <w:noWrap w:val="0"/>
            <w:vAlign w:val="center"/>
          </w:tcPr>
          <w:p w14:paraId="2F4E955E">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b/>
                <w:bCs/>
                <w:caps w:val="0"/>
                <w:snapToGrid/>
                <w:color w:val="auto"/>
                <w:spacing w:val="0"/>
                <w:w w:val="100"/>
                <w:kern w:val="0"/>
                <w:position w:val="0"/>
                <w:sz w:val="21"/>
                <w:szCs w:val="21"/>
                <w:highlight w:val="none"/>
                <w:shd w:val="clear" w:color="auto" w:fill="auto"/>
              </w:rPr>
              <w:t>本项目情况</w:t>
            </w:r>
          </w:p>
        </w:tc>
        <w:tc>
          <w:tcPr>
            <w:tcW w:w="319" w:type="pct"/>
            <w:tcBorders>
              <w:tl2br w:val="nil"/>
              <w:tr2bl w:val="nil"/>
            </w:tcBorders>
            <w:noWrap w:val="0"/>
            <w:vAlign w:val="center"/>
          </w:tcPr>
          <w:p w14:paraId="23F60049">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outlineLvl w:val="9"/>
              <w:rPr>
                <w:rFonts w:hint="default" w:ascii="Times New Roman" w:hAnsi="Times New Roman" w:eastAsia="宋体" w:cs="Times New Roman"/>
                <w:b/>
                <w:bCs/>
                <w:caps w:val="0"/>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b/>
                <w:bCs/>
                <w:caps w:val="0"/>
                <w:snapToGrid/>
                <w:color w:val="auto"/>
                <w:spacing w:val="0"/>
                <w:w w:val="100"/>
                <w:kern w:val="0"/>
                <w:position w:val="0"/>
                <w:sz w:val="21"/>
                <w:szCs w:val="21"/>
                <w:highlight w:val="none"/>
                <w:shd w:val="clear" w:color="auto" w:fill="auto"/>
              </w:rPr>
              <w:t>符合情况</w:t>
            </w:r>
          </w:p>
        </w:tc>
      </w:tr>
      <w:tr w14:paraId="5923EB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421" w:type="pct"/>
            <w:tcBorders>
              <w:tl2br w:val="nil"/>
              <w:tr2bl w:val="nil"/>
            </w:tcBorders>
            <w:noWrap w:val="0"/>
            <w:vAlign w:val="center"/>
          </w:tcPr>
          <w:p w14:paraId="70B21E10">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rPr>
              <w:t>贮存设施选址应满足生态环境保护法律法规、规划和</w:t>
            </w: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lang w:eastAsia="zh-CN"/>
              </w:rPr>
              <w:t>“</w:t>
            </w: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rPr>
              <w:t>三线一单</w:t>
            </w: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lang w:eastAsia="zh-CN"/>
              </w:rPr>
              <w:t>”</w:t>
            </w: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rPr>
              <w:t>生态环境分区管控的要求，建设项目应依法进行环境影响评价。</w:t>
            </w:r>
          </w:p>
        </w:tc>
        <w:tc>
          <w:tcPr>
            <w:tcW w:w="2259" w:type="pct"/>
            <w:tcBorders>
              <w:tl2br w:val="nil"/>
              <w:tr2bl w:val="nil"/>
            </w:tcBorders>
            <w:noWrap w:val="0"/>
            <w:vAlign w:val="center"/>
          </w:tcPr>
          <w:p w14:paraId="68407352">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lang w:val="en-US" w:eastAsia="zh-CN"/>
              </w:rPr>
              <w:t>本项目危废贮存库选址满足</w:t>
            </w: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rPr>
              <w:t>生态环境保护法律法规、规划和</w:t>
            </w: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lang w:eastAsia="zh-CN"/>
              </w:rPr>
              <w:t>“</w:t>
            </w: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rPr>
              <w:t>三线一单</w:t>
            </w: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lang w:eastAsia="zh-CN"/>
              </w:rPr>
              <w:t>”</w:t>
            </w: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rPr>
              <w:t>生态环境分区管控的要求</w:t>
            </w: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lang w:eastAsia="zh-CN"/>
              </w:rPr>
              <w:t>，</w:t>
            </w: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lang w:val="en-US" w:eastAsia="zh-CN"/>
              </w:rPr>
              <w:t>且与本项目一并开展环境影响评价。</w:t>
            </w:r>
          </w:p>
        </w:tc>
        <w:tc>
          <w:tcPr>
            <w:tcW w:w="319" w:type="pct"/>
            <w:tcBorders>
              <w:tl2br w:val="nil"/>
              <w:tr2bl w:val="nil"/>
            </w:tcBorders>
            <w:noWrap w:val="0"/>
            <w:vAlign w:val="center"/>
          </w:tcPr>
          <w:p w14:paraId="526CA66A">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rPr>
              <w:t>符合</w:t>
            </w:r>
          </w:p>
        </w:tc>
      </w:tr>
      <w:tr w14:paraId="766D18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421" w:type="pct"/>
            <w:tcBorders>
              <w:tl2br w:val="nil"/>
              <w:tr2bl w:val="nil"/>
            </w:tcBorders>
            <w:noWrap w:val="0"/>
            <w:vAlign w:val="center"/>
          </w:tcPr>
          <w:p w14:paraId="46B8E900">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rPr>
              <w:t>集中贮存设施不应选在生态保护红线区域、永久基本农田和其他需要特别保护的区域内，不应建在溶洞区或易遭受洪水、滑坡、泥石流、潮汐等严重自然灾害影响的地区。</w:t>
            </w:r>
          </w:p>
        </w:tc>
        <w:tc>
          <w:tcPr>
            <w:tcW w:w="2259" w:type="pct"/>
            <w:tcBorders>
              <w:tl2br w:val="nil"/>
              <w:tr2bl w:val="nil"/>
            </w:tcBorders>
            <w:noWrap w:val="0"/>
            <w:vAlign w:val="center"/>
          </w:tcPr>
          <w:p w14:paraId="48475781">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lang w:val="en-US" w:eastAsia="zh-CN"/>
              </w:rPr>
              <w:t>本项目危废贮存库选址不在</w:t>
            </w: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rPr>
              <w:t>生态保护红线区域、永久基本农田和其他需要特别保护的区域内，</w:t>
            </w: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lang w:val="en-US" w:eastAsia="zh-CN"/>
              </w:rPr>
              <w:t>不</w:t>
            </w: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rPr>
              <w:t>在溶洞区或易遭受洪水、滑坡、泥石流、潮汐等严重自然灾害影响的地区</w:t>
            </w: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lang w:eastAsia="zh-CN"/>
              </w:rPr>
              <w:t>。</w:t>
            </w:r>
          </w:p>
        </w:tc>
        <w:tc>
          <w:tcPr>
            <w:tcW w:w="319" w:type="pct"/>
            <w:tcBorders>
              <w:tl2br w:val="nil"/>
              <w:tr2bl w:val="nil"/>
            </w:tcBorders>
            <w:noWrap w:val="0"/>
            <w:vAlign w:val="center"/>
          </w:tcPr>
          <w:p w14:paraId="3570CD51">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rPr>
              <w:t>符合</w:t>
            </w:r>
          </w:p>
        </w:tc>
      </w:tr>
      <w:tr w14:paraId="16A900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421" w:type="pct"/>
            <w:tcBorders>
              <w:tl2br w:val="nil"/>
              <w:tr2bl w:val="nil"/>
            </w:tcBorders>
            <w:noWrap w:val="0"/>
            <w:vAlign w:val="center"/>
          </w:tcPr>
          <w:p w14:paraId="0B76974F">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rPr>
              <w:t>贮存设施不应选在江河、湖泊、运河、渠道、水库及其最高水位线以下的滩地和岸坡，以及法律法规规定禁止贮存危险废物的其他地点。</w:t>
            </w:r>
          </w:p>
        </w:tc>
        <w:tc>
          <w:tcPr>
            <w:tcW w:w="2259" w:type="pct"/>
            <w:tcBorders>
              <w:tl2br w:val="nil"/>
              <w:tr2bl w:val="nil"/>
            </w:tcBorders>
            <w:noWrap w:val="0"/>
            <w:vAlign w:val="center"/>
          </w:tcPr>
          <w:p w14:paraId="2D928452">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lang w:val="en-US" w:eastAsia="zh-CN"/>
              </w:rPr>
              <w:t>本项目危废贮存库选址不在</w:t>
            </w: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rPr>
              <w:t>江河、湖泊、运河、渠道、水库及其最高水位线以下的滩地和岸坡</w:t>
            </w: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lang w:val="en-US" w:eastAsia="zh-CN"/>
              </w:rPr>
              <w:t>以及</w:t>
            </w: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rPr>
              <w:t>法律法规规定禁止贮存危险废物的其他地点。</w:t>
            </w:r>
          </w:p>
        </w:tc>
        <w:tc>
          <w:tcPr>
            <w:tcW w:w="319" w:type="pct"/>
            <w:tcBorders>
              <w:tl2br w:val="nil"/>
              <w:tr2bl w:val="nil"/>
            </w:tcBorders>
            <w:noWrap w:val="0"/>
            <w:vAlign w:val="center"/>
          </w:tcPr>
          <w:p w14:paraId="43E52CEB">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rPr>
              <w:t>符合</w:t>
            </w:r>
          </w:p>
        </w:tc>
      </w:tr>
      <w:tr w14:paraId="16A14D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2421" w:type="pct"/>
            <w:tcBorders>
              <w:tl2br w:val="nil"/>
              <w:tr2bl w:val="nil"/>
            </w:tcBorders>
            <w:noWrap w:val="0"/>
            <w:vAlign w:val="center"/>
          </w:tcPr>
          <w:p w14:paraId="072B1057">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rPr>
              <w:t>贮存设施场址的位置以及其与周围环境敏感目标的距离应依据环境影响评价文件确定。</w:t>
            </w:r>
          </w:p>
        </w:tc>
        <w:tc>
          <w:tcPr>
            <w:tcW w:w="2259" w:type="pct"/>
            <w:tcBorders>
              <w:tl2br w:val="nil"/>
              <w:tr2bl w:val="nil"/>
            </w:tcBorders>
            <w:noWrap w:val="0"/>
            <w:vAlign w:val="center"/>
          </w:tcPr>
          <w:p w14:paraId="748BBA52">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rPr>
              <w:t>根据现场勘查，本项目</w:t>
            </w: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lang w:val="en-US" w:eastAsia="zh-CN"/>
              </w:rPr>
              <w:t>位于</w:t>
            </w:r>
            <w:r>
              <w:rPr>
                <w:rFonts w:hint="eastAsia" w:cs="Times New Roman"/>
                <w:caps w:val="0"/>
                <w:snapToGrid/>
                <w:color w:val="auto"/>
                <w:spacing w:val="0"/>
                <w:w w:val="100"/>
                <w:kern w:val="0"/>
                <w:position w:val="0"/>
                <w:sz w:val="21"/>
                <w:szCs w:val="21"/>
                <w:highlight w:val="none"/>
                <w:shd w:val="clear" w:color="auto" w:fill="auto"/>
                <w:lang w:val="en-US" w:eastAsia="zh-CN"/>
              </w:rPr>
              <w:t>工业园区</w:t>
            </w: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lang w:val="en-US" w:eastAsia="zh-CN"/>
              </w:rPr>
              <w:t>内，周边主要为空地、道路及工业企业</w:t>
            </w: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rPr>
              <w:t>，</w:t>
            </w: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lang w:val="en-US" w:eastAsia="zh-CN"/>
              </w:rPr>
              <w:t>周围无环境敏感目标</w:t>
            </w: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rPr>
              <w:t>。</w:t>
            </w:r>
          </w:p>
        </w:tc>
        <w:tc>
          <w:tcPr>
            <w:tcW w:w="319" w:type="pct"/>
            <w:tcBorders>
              <w:tl2br w:val="nil"/>
              <w:tr2bl w:val="nil"/>
            </w:tcBorders>
            <w:noWrap w:val="0"/>
            <w:vAlign w:val="center"/>
          </w:tcPr>
          <w:p w14:paraId="5FAE1E2C">
            <w:pPr>
              <w:pStyle w:val="9"/>
              <w:keepNext w:val="0"/>
              <w:keepLines w:val="0"/>
              <w:pageBreakBefore w:val="0"/>
              <w:widowControl w:val="0"/>
              <w:numPr>
                <w:ilvl w:val="0"/>
                <w:numId w:val="0"/>
              </w:numPr>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outlineLvl w:val="9"/>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rPr>
            </w:pPr>
            <w:r>
              <w:rPr>
                <w:rFonts w:hint="default" w:ascii="Times New Roman" w:hAnsi="Times New Roman" w:eastAsia="宋体" w:cs="Times New Roman"/>
                <w:caps w:val="0"/>
                <w:snapToGrid/>
                <w:color w:val="auto"/>
                <w:spacing w:val="0"/>
                <w:w w:val="100"/>
                <w:kern w:val="0"/>
                <w:position w:val="0"/>
                <w:sz w:val="21"/>
                <w:szCs w:val="21"/>
                <w:highlight w:val="none"/>
                <w:shd w:val="clear" w:color="auto" w:fill="auto"/>
              </w:rPr>
              <w:t>符合</w:t>
            </w:r>
          </w:p>
        </w:tc>
      </w:tr>
    </w:tbl>
    <w:p w14:paraId="2AB54B14">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val="en-US" w:eastAsia="zh-CN"/>
        </w:rPr>
      </w:pPr>
      <w:r>
        <w:rPr>
          <w:rFonts w:hint="eastAsia" w:ascii="Times New Roman" w:hAnsi="Times New Roman" w:eastAsia="宋体" w:cs="Times New Roman"/>
          <w:caps w:val="0"/>
          <w:snapToGrid/>
          <w:color w:val="auto"/>
          <w:spacing w:val="0"/>
          <w:w w:val="100"/>
          <w:kern w:val="0"/>
          <w:position w:val="0"/>
          <w:szCs w:val="24"/>
          <w:highlight w:val="none"/>
          <w:lang w:val="en-US" w:eastAsia="zh-CN"/>
        </w:rPr>
        <w:t>（2）危险废物处置措施</w:t>
      </w:r>
    </w:p>
    <w:p w14:paraId="5114B97A">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eastAsia="zh-CN"/>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①</w:t>
      </w:r>
      <w:r>
        <w:rPr>
          <w:rFonts w:hint="default" w:ascii="Times New Roman" w:hAnsi="Times New Roman" w:eastAsia="宋体" w:cs="Times New Roman"/>
          <w:caps w:val="0"/>
          <w:snapToGrid/>
          <w:color w:val="auto"/>
          <w:spacing w:val="0"/>
          <w:w w:val="100"/>
          <w:kern w:val="0"/>
          <w:position w:val="0"/>
          <w:szCs w:val="24"/>
          <w:highlight w:val="none"/>
        </w:rPr>
        <w:t>本项目</w:t>
      </w:r>
      <w:r>
        <w:rPr>
          <w:rFonts w:hint="default" w:ascii="Times New Roman" w:hAnsi="Times New Roman" w:eastAsia="宋体" w:cs="Times New Roman"/>
          <w:caps w:val="0"/>
          <w:snapToGrid/>
          <w:color w:val="auto"/>
          <w:spacing w:val="0"/>
          <w:w w:val="100"/>
          <w:kern w:val="0"/>
          <w:position w:val="0"/>
          <w:szCs w:val="24"/>
          <w:highlight w:val="none"/>
          <w:lang w:val="en-US" w:eastAsia="zh-CN"/>
        </w:rPr>
        <w:t>拟于项目区</w:t>
      </w:r>
      <w:r>
        <w:rPr>
          <w:rFonts w:hint="eastAsia" w:cs="Times New Roman"/>
          <w:caps w:val="0"/>
          <w:snapToGrid/>
          <w:color w:val="auto"/>
          <w:spacing w:val="0"/>
          <w:w w:val="100"/>
          <w:kern w:val="0"/>
          <w:position w:val="0"/>
          <w:szCs w:val="24"/>
          <w:highlight w:val="none"/>
          <w:lang w:val="en-US" w:eastAsia="zh-CN"/>
        </w:rPr>
        <w:t>西北角</w:t>
      </w:r>
      <w:r>
        <w:rPr>
          <w:rFonts w:hint="default" w:ascii="Times New Roman" w:hAnsi="Times New Roman" w:eastAsia="宋体" w:cs="Times New Roman"/>
          <w:caps w:val="0"/>
          <w:snapToGrid/>
          <w:color w:val="auto"/>
          <w:spacing w:val="0"/>
          <w:w w:val="100"/>
          <w:kern w:val="0"/>
          <w:position w:val="0"/>
          <w:szCs w:val="24"/>
          <w:highlight w:val="none"/>
        </w:rPr>
        <w:t>设置</w:t>
      </w:r>
      <w:r>
        <w:rPr>
          <w:rFonts w:hint="default" w:ascii="Times New Roman" w:hAnsi="Times New Roman" w:eastAsia="宋体" w:cs="Times New Roman"/>
          <w:caps w:val="0"/>
          <w:snapToGrid/>
          <w:color w:val="auto"/>
          <w:spacing w:val="0"/>
          <w:w w:val="100"/>
          <w:kern w:val="0"/>
          <w:position w:val="0"/>
          <w:szCs w:val="24"/>
          <w:highlight w:val="none"/>
          <w:lang w:eastAsia="zh-CN"/>
        </w:rPr>
        <w:t>一处危废贮存库</w:t>
      </w:r>
      <w:r>
        <w:rPr>
          <w:rFonts w:hint="default" w:ascii="Times New Roman" w:hAnsi="Times New Roman" w:eastAsia="宋体" w:cs="Times New Roman"/>
          <w:caps w:val="0"/>
          <w:snapToGrid/>
          <w:color w:val="auto"/>
          <w:spacing w:val="0"/>
          <w:w w:val="100"/>
          <w:kern w:val="0"/>
          <w:position w:val="0"/>
          <w:szCs w:val="24"/>
          <w:highlight w:val="none"/>
        </w:rPr>
        <w:t>，面积约</w:t>
      </w:r>
      <w:r>
        <w:rPr>
          <w:rFonts w:hint="eastAsia" w:cs="Times New Roman"/>
          <w:caps w:val="0"/>
          <w:snapToGrid/>
          <w:color w:val="auto"/>
          <w:spacing w:val="0"/>
          <w:w w:val="100"/>
          <w:kern w:val="0"/>
          <w:position w:val="0"/>
          <w:szCs w:val="24"/>
          <w:highlight w:val="none"/>
          <w:lang w:val="en-US" w:eastAsia="zh-CN"/>
        </w:rPr>
        <w:t>10</w:t>
      </w:r>
      <w:r>
        <w:rPr>
          <w:rFonts w:hint="default" w:ascii="Times New Roman" w:hAnsi="Times New Roman" w:eastAsia="宋体" w:cs="Times New Roman"/>
          <w:caps w:val="0"/>
          <w:snapToGrid/>
          <w:color w:val="auto"/>
          <w:spacing w:val="0"/>
          <w:w w:val="100"/>
          <w:kern w:val="0"/>
          <w:position w:val="0"/>
          <w:szCs w:val="24"/>
          <w:highlight w:val="none"/>
        </w:rPr>
        <w:t>m</w:t>
      </w:r>
      <w:r>
        <w:rPr>
          <w:rFonts w:hint="default" w:ascii="Times New Roman" w:hAnsi="Times New Roman" w:eastAsia="宋体" w:cs="Times New Roman"/>
          <w:caps w:val="0"/>
          <w:snapToGrid/>
          <w:color w:val="auto"/>
          <w:spacing w:val="0"/>
          <w:w w:val="100"/>
          <w:kern w:val="0"/>
          <w:position w:val="0"/>
          <w:szCs w:val="24"/>
          <w:highlight w:val="none"/>
          <w:vertAlign w:val="superscript"/>
          <w:lang w:val="en-US" w:eastAsia="zh-CN"/>
        </w:rPr>
        <w:t>2</w:t>
      </w:r>
      <w:r>
        <w:rPr>
          <w:rFonts w:hint="default" w:ascii="Times New Roman" w:hAnsi="Times New Roman" w:eastAsia="宋体" w:cs="Times New Roman"/>
          <w:caps w:val="0"/>
          <w:snapToGrid/>
          <w:color w:val="auto"/>
          <w:spacing w:val="0"/>
          <w:w w:val="100"/>
          <w:kern w:val="0"/>
          <w:position w:val="0"/>
          <w:szCs w:val="24"/>
          <w:highlight w:val="none"/>
        </w:rPr>
        <w:t>，采取防扬尘、防雨淋、防流失、防渗漏及排水措施，</w:t>
      </w:r>
      <w:r>
        <w:rPr>
          <w:rFonts w:hint="default" w:ascii="Times New Roman" w:hAnsi="Times New Roman" w:eastAsia="宋体" w:cs="Times New Roman"/>
          <w:caps w:val="0"/>
          <w:snapToGrid/>
          <w:color w:val="auto"/>
          <w:spacing w:val="0"/>
          <w:w w:val="100"/>
          <w:kern w:val="0"/>
          <w:position w:val="0"/>
          <w:szCs w:val="24"/>
          <w:highlight w:val="none"/>
          <w:lang w:val="en-US" w:eastAsia="zh-CN"/>
        </w:rPr>
        <w:t>防渗措施</w:t>
      </w:r>
      <w:r>
        <w:rPr>
          <w:rFonts w:hint="default" w:ascii="Times New Roman" w:hAnsi="Times New Roman" w:eastAsia="宋体" w:cs="Times New Roman"/>
          <w:caps w:val="0"/>
          <w:snapToGrid/>
          <w:color w:val="auto"/>
          <w:spacing w:val="0"/>
          <w:w w:val="100"/>
          <w:kern w:val="0"/>
          <w:position w:val="0"/>
          <w:szCs w:val="24"/>
          <w:highlight w:val="none"/>
        </w:rPr>
        <w:t>必须满足《危险废物贮存污染控制标准》（GB18597-2023）相关要求：</w:t>
      </w:r>
      <w:r>
        <w:rPr>
          <w:rFonts w:hint="default" w:ascii="Times New Roman" w:hAnsi="Times New Roman" w:eastAsia="宋体" w:cs="Times New Roman"/>
          <w:caps w:val="0"/>
          <w:snapToGrid/>
          <w:color w:val="auto"/>
          <w:spacing w:val="0"/>
          <w:w w:val="100"/>
          <w:kern w:val="0"/>
          <w:position w:val="0"/>
          <w:szCs w:val="24"/>
          <w:highlight w:val="none"/>
          <w:lang w:eastAsia="zh-CN"/>
        </w:rPr>
        <w:t>危废贮存库</w:t>
      </w:r>
      <w:r>
        <w:rPr>
          <w:rFonts w:hint="default" w:ascii="Times New Roman" w:hAnsi="Times New Roman" w:eastAsia="宋体" w:cs="Times New Roman"/>
          <w:caps w:val="0"/>
          <w:snapToGrid/>
          <w:color w:val="auto"/>
          <w:spacing w:val="0"/>
          <w:w w:val="100"/>
          <w:kern w:val="0"/>
          <w:position w:val="0"/>
          <w:szCs w:val="24"/>
          <w:highlight w:val="none"/>
        </w:rPr>
        <w:t>基础必须防渗，基础采用防渗混凝土，防渗层为至少1m厚粘土层（渗透系数≤10</w:t>
      </w:r>
      <w:r>
        <w:rPr>
          <w:rFonts w:hint="default" w:ascii="Times New Roman" w:hAnsi="Times New Roman" w:eastAsia="宋体" w:cs="Times New Roman"/>
          <w:caps w:val="0"/>
          <w:snapToGrid/>
          <w:color w:val="auto"/>
          <w:spacing w:val="0"/>
          <w:w w:val="100"/>
          <w:kern w:val="0"/>
          <w:position w:val="0"/>
          <w:szCs w:val="24"/>
          <w:highlight w:val="none"/>
          <w:vertAlign w:val="superscript"/>
        </w:rPr>
        <w:t>-7</w:t>
      </w:r>
      <w:r>
        <w:rPr>
          <w:rFonts w:hint="default" w:ascii="Times New Roman" w:hAnsi="Times New Roman" w:eastAsia="宋体" w:cs="Times New Roman"/>
          <w:caps w:val="0"/>
          <w:snapToGrid/>
          <w:color w:val="auto"/>
          <w:spacing w:val="0"/>
          <w:w w:val="100"/>
          <w:kern w:val="0"/>
          <w:position w:val="0"/>
          <w:szCs w:val="24"/>
          <w:highlight w:val="none"/>
        </w:rPr>
        <w:t>cm/s），或2mm厚高密度聚乙烯，或至少2mm厚</w:t>
      </w:r>
      <w:r>
        <w:rPr>
          <w:rFonts w:hint="default" w:ascii="Times New Roman" w:hAnsi="Times New Roman" w:eastAsia="宋体" w:cs="Times New Roman"/>
          <w:caps w:val="0"/>
          <w:snapToGrid/>
          <w:color w:val="auto"/>
          <w:spacing w:val="0"/>
          <w:w w:val="100"/>
          <w:kern w:val="0"/>
          <w:position w:val="0"/>
          <w:szCs w:val="24"/>
          <w:highlight w:val="none"/>
          <w:lang w:eastAsia="zh-CN"/>
        </w:rPr>
        <w:t>的其他</w:t>
      </w:r>
      <w:r>
        <w:rPr>
          <w:rFonts w:hint="default" w:ascii="Times New Roman" w:hAnsi="Times New Roman" w:eastAsia="宋体" w:cs="Times New Roman"/>
          <w:caps w:val="0"/>
          <w:snapToGrid/>
          <w:color w:val="auto"/>
          <w:spacing w:val="0"/>
          <w:w w:val="100"/>
          <w:kern w:val="0"/>
          <w:position w:val="0"/>
          <w:szCs w:val="24"/>
          <w:highlight w:val="none"/>
        </w:rPr>
        <w:t>人工材料，渗透系数≤10</w:t>
      </w:r>
      <w:r>
        <w:rPr>
          <w:rFonts w:hint="default" w:ascii="Times New Roman" w:hAnsi="Times New Roman" w:eastAsia="宋体" w:cs="Times New Roman"/>
          <w:caps w:val="0"/>
          <w:snapToGrid/>
          <w:color w:val="auto"/>
          <w:spacing w:val="0"/>
          <w:w w:val="100"/>
          <w:kern w:val="0"/>
          <w:position w:val="0"/>
          <w:szCs w:val="24"/>
          <w:highlight w:val="none"/>
          <w:vertAlign w:val="superscript"/>
        </w:rPr>
        <w:t>-10</w:t>
      </w:r>
      <w:r>
        <w:rPr>
          <w:rFonts w:hint="default" w:ascii="Times New Roman" w:hAnsi="Times New Roman" w:eastAsia="宋体" w:cs="Times New Roman"/>
          <w:caps w:val="0"/>
          <w:snapToGrid/>
          <w:color w:val="auto"/>
          <w:spacing w:val="0"/>
          <w:w w:val="100"/>
          <w:kern w:val="0"/>
          <w:position w:val="0"/>
          <w:szCs w:val="24"/>
          <w:highlight w:val="none"/>
        </w:rPr>
        <w:t>cm/s</w:t>
      </w:r>
      <w:r>
        <w:rPr>
          <w:rFonts w:hint="default" w:ascii="Times New Roman" w:hAnsi="Times New Roman" w:eastAsia="宋体" w:cs="Times New Roman"/>
          <w:caps w:val="0"/>
          <w:snapToGrid/>
          <w:color w:val="auto"/>
          <w:spacing w:val="0"/>
          <w:w w:val="100"/>
          <w:kern w:val="0"/>
          <w:position w:val="0"/>
          <w:szCs w:val="24"/>
          <w:highlight w:val="none"/>
          <w:lang w:eastAsia="zh-CN"/>
        </w:rPr>
        <w:t>。</w:t>
      </w:r>
    </w:p>
    <w:p w14:paraId="2962D297">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②所有</w:t>
      </w:r>
      <w:r>
        <w:rPr>
          <w:rFonts w:hint="default" w:ascii="Times New Roman" w:hAnsi="Times New Roman" w:eastAsia="宋体" w:cs="Times New Roman"/>
          <w:caps w:val="0"/>
          <w:snapToGrid/>
          <w:color w:val="auto"/>
          <w:spacing w:val="0"/>
          <w:w w:val="100"/>
          <w:kern w:val="0"/>
          <w:position w:val="0"/>
          <w:szCs w:val="24"/>
          <w:highlight w:val="none"/>
        </w:rPr>
        <w:t>危险废物</w:t>
      </w:r>
      <w:r>
        <w:rPr>
          <w:rFonts w:hint="default" w:ascii="Times New Roman" w:hAnsi="Times New Roman" w:eastAsia="宋体" w:cs="Times New Roman"/>
          <w:caps w:val="0"/>
          <w:snapToGrid/>
          <w:color w:val="auto"/>
          <w:spacing w:val="0"/>
          <w:w w:val="100"/>
          <w:kern w:val="0"/>
          <w:position w:val="0"/>
          <w:szCs w:val="24"/>
          <w:highlight w:val="none"/>
          <w:lang w:val="en-US" w:eastAsia="zh-CN"/>
        </w:rPr>
        <w:t>在危废贮存库内分区存放</w:t>
      </w:r>
      <w:r>
        <w:rPr>
          <w:rFonts w:hint="default" w:ascii="Times New Roman" w:hAnsi="Times New Roman" w:eastAsia="宋体" w:cs="Times New Roman"/>
          <w:caps w:val="0"/>
          <w:snapToGrid/>
          <w:color w:val="auto"/>
          <w:spacing w:val="0"/>
          <w:w w:val="100"/>
          <w:kern w:val="0"/>
          <w:position w:val="0"/>
          <w:szCs w:val="24"/>
          <w:highlight w:val="none"/>
        </w:rPr>
        <w:t>，</w:t>
      </w:r>
      <w:r>
        <w:rPr>
          <w:rFonts w:hint="default" w:ascii="Times New Roman" w:hAnsi="Times New Roman" w:eastAsia="宋体" w:cs="Times New Roman"/>
          <w:caps w:val="0"/>
          <w:snapToGrid/>
          <w:color w:val="auto"/>
          <w:spacing w:val="0"/>
          <w:w w:val="100"/>
          <w:kern w:val="0"/>
          <w:position w:val="0"/>
          <w:szCs w:val="24"/>
          <w:highlight w:val="none"/>
          <w:lang w:val="en-US" w:eastAsia="zh-CN"/>
        </w:rPr>
        <w:t>不得与一般工业固废及生活垃圾混存</w:t>
      </w:r>
      <w:r>
        <w:rPr>
          <w:rFonts w:hint="default" w:ascii="Times New Roman" w:hAnsi="Times New Roman" w:eastAsia="宋体" w:cs="Times New Roman"/>
          <w:caps w:val="0"/>
          <w:snapToGrid/>
          <w:color w:val="auto"/>
          <w:spacing w:val="0"/>
          <w:w w:val="100"/>
          <w:kern w:val="0"/>
          <w:position w:val="0"/>
          <w:szCs w:val="24"/>
          <w:highlight w:val="none"/>
        </w:rPr>
        <w:t>。</w:t>
      </w:r>
    </w:p>
    <w:p w14:paraId="28B99B41">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rPr>
        <w:t>③</w:t>
      </w:r>
      <w:r>
        <w:rPr>
          <w:rFonts w:hint="default" w:ascii="Times New Roman" w:hAnsi="Times New Roman" w:eastAsia="宋体" w:cs="Times New Roman"/>
          <w:caps w:val="0"/>
          <w:snapToGrid/>
          <w:color w:val="auto"/>
          <w:spacing w:val="0"/>
          <w:w w:val="100"/>
          <w:kern w:val="0"/>
          <w:position w:val="0"/>
          <w:szCs w:val="24"/>
          <w:highlight w:val="none"/>
          <w:lang w:val="en-US" w:eastAsia="zh-CN"/>
        </w:rPr>
        <w:t>危险废物不得长期贮存于危废贮存库内，</w:t>
      </w:r>
      <w:r>
        <w:rPr>
          <w:rFonts w:hint="default" w:ascii="Times New Roman" w:hAnsi="Times New Roman" w:eastAsia="宋体" w:cs="Times New Roman"/>
          <w:caps w:val="0"/>
          <w:snapToGrid/>
          <w:color w:val="auto"/>
          <w:spacing w:val="0"/>
          <w:w w:val="100"/>
          <w:kern w:val="0"/>
          <w:position w:val="0"/>
          <w:szCs w:val="24"/>
          <w:highlight w:val="none"/>
        </w:rPr>
        <w:t>必须</w:t>
      </w:r>
      <w:r>
        <w:rPr>
          <w:rFonts w:hint="default" w:ascii="Times New Roman" w:hAnsi="Times New Roman" w:eastAsia="宋体" w:cs="Times New Roman"/>
          <w:caps w:val="0"/>
          <w:snapToGrid/>
          <w:color w:val="auto"/>
          <w:spacing w:val="0"/>
          <w:w w:val="100"/>
          <w:kern w:val="0"/>
          <w:position w:val="0"/>
          <w:szCs w:val="24"/>
          <w:highlight w:val="none"/>
          <w:lang w:val="en-US" w:eastAsia="zh-CN"/>
        </w:rPr>
        <w:t>定期</w:t>
      </w:r>
      <w:r>
        <w:rPr>
          <w:rFonts w:hint="default" w:ascii="Times New Roman" w:hAnsi="Times New Roman" w:eastAsia="宋体" w:cs="Times New Roman"/>
          <w:caps w:val="0"/>
          <w:snapToGrid/>
          <w:color w:val="auto"/>
          <w:spacing w:val="0"/>
          <w:w w:val="100"/>
          <w:kern w:val="0"/>
          <w:position w:val="0"/>
          <w:szCs w:val="24"/>
          <w:highlight w:val="none"/>
        </w:rPr>
        <w:t>交由有资质的单位进行安全处置，并签订</w:t>
      </w:r>
      <w:r>
        <w:rPr>
          <w:rFonts w:hint="default" w:ascii="Times New Roman" w:hAnsi="Times New Roman" w:eastAsia="宋体" w:cs="Times New Roman"/>
          <w:caps w:val="0"/>
          <w:snapToGrid/>
          <w:color w:val="auto"/>
          <w:spacing w:val="0"/>
          <w:w w:val="100"/>
          <w:kern w:val="0"/>
          <w:position w:val="0"/>
          <w:szCs w:val="24"/>
          <w:highlight w:val="none"/>
          <w:lang w:val="en-US" w:eastAsia="zh-CN"/>
        </w:rPr>
        <w:t>危险废物</w:t>
      </w:r>
      <w:r>
        <w:rPr>
          <w:rFonts w:hint="default" w:ascii="Times New Roman" w:hAnsi="Times New Roman" w:eastAsia="宋体" w:cs="Times New Roman"/>
          <w:caps w:val="0"/>
          <w:snapToGrid/>
          <w:color w:val="auto"/>
          <w:spacing w:val="0"/>
          <w:w w:val="100"/>
          <w:kern w:val="0"/>
          <w:position w:val="0"/>
          <w:szCs w:val="24"/>
          <w:highlight w:val="none"/>
        </w:rPr>
        <w:t>处置协议</w:t>
      </w:r>
    </w:p>
    <w:p w14:paraId="5B2FF658">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lang w:eastAsia="zh-CN"/>
        </w:rPr>
      </w:pPr>
      <w:r>
        <w:rPr>
          <w:rFonts w:hint="default" w:ascii="Times New Roman" w:hAnsi="Times New Roman" w:eastAsia="宋体" w:cs="Times New Roman"/>
          <w:caps w:val="0"/>
          <w:snapToGrid/>
          <w:color w:val="auto"/>
          <w:spacing w:val="0"/>
          <w:w w:val="100"/>
          <w:kern w:val="0"/>
          <w:position w:val="0"/>
          <w:szCs w:val="24"/>
          <w:highlight w:val="none"/>
        </w:rPr>
        <w:t>④</w:t>
      </w:r>
      <w:r>
        <w:rPr>
          <w:rFonts w:hint="eastAsia" w:cs="Times New Roman"/>
          <w:caps w:val="0"/>
          <w:snapToGrid/>
          <w:color w:val="auto"/>
          <w:spacing w:val="0"/>
          <w:w w:val="100"/>
          <w:kern w:val="0"/>
          <w:position w:val="0"/>
          <w:szCs w:val="24"/>
          <w:highlight w:val="none"/>
          <w:lang w:val="en-US" w:eastAsia="zh-CN"/>
        </w:rPr>
        <w:t>执行</w:t>
      </w:r>
      <w:r>
        <w:rPr>
          <w:rFonts w:hint="default" w:ascii="Times New Roman" w:hAnsi="Times New Roman" w:eastAsia="宋体" w:cs="Times New Roman"/>
          <w:caps w:val="0"/>
          <w:snapToGrid/>
          <w:color w:val="auto"/>
          <w:spacing w:val="0"/>
          <w:w w:val="100"/>
          <w:kern w:val="0"/>
          <w:position w:val="0"/>
          <w:szCs w:val="24"/>
          <w:highlight w:val="none"/>
        </w:rPr>
        <w:t>危险废物转移联单制度</w:t>
      </w:r>
      <w:r>
        <w:rPr>
          <w:rFonts w:hint="eastAsia" w:cs="Times New Roman"/>
          <w:caps w:val="0"/>
          <w:snapToGrid/>
          <w:color w:val="auto"/>
          <w:spacing w:val="0"/>
          <w:w w:val="100"/>
          <w:kern w:val="0"/>
          <w:position w:val="0"/>
          <w:szCs w:val="24"/>
          <w:highlight w:val="none"/>
          <w:lang w:eastAsia="zh-CN"/>
        </w:rPr>
        <w:t>，</w:t>
      </w:r>
      <w:r>
        <w:rPr>
          <w:rFonts w:hint="default" w:ascii="Times New Roman" w:hAnsi="Times New Roman" w:eastAsia="宋体" w:cs="Times New Roman"/>
          <w:caps w:val="0"/>
          <w:snapToGrid/>
          <w:color w:val="auto"/>
          <w:spacing w:val="0"/>
          <w:w w:val="100"/>
          <w:kern w:val="0"/>
          <w:position w:val="0"/>
          <w:szCs w:val="24"/>
          <w:highlight w:val="none"/>
        </w:rPr>
        <w:t>危险废物的转移必须满足《危险废物转移管理办法》的相关要求</w:t>
      </w:r>
      <w:r>
        <w:rPr>
          <w:rFonts w:hint="default" w:ascii="Times New Roman" w:hAnsi="Times New Roman" w:eastAsia="宋体" w:cs="Times New Roman"/>
          <w:caps w:val="0"/>
          <w:snapToGrid/>
          <w:color w:val="auto"/>
          <w:spacing w:val="0"/>
          <w:w w:val="100"/>
          <w:kern w:val="0"/>
          <w:position w:val="0"/>
          <w:szCs w:val="24"/>
          <w:highlight w:val="none"/>
          <w:lang w:eastAsia="zh-CN"/>
        </w:rPr>
        <w:t>，</w:t>
      </w:r>
      <w:r>
        <w:rPr>
          <w:rFonts w:hint="eastAsia" w:cs="Times New Roman"/>
          <w:caps w:val="0"/>
          <w:snapToGrid/>
          <w:color w:val="auto"/>
          <w:spacing w:val="0"/>
          <w:w w:val="100"/>
          <w:kern w:val="0"/>
          <w:position w:val="0"/>
          <w:szCs w:val="24"/>
          <w:highlight w:val="none"/>
          <w:lang w:eastAsia="zh-CN"/>
        </w:rPr>
        <w:t>根据危险废物管理计划中填报的危险废物转移等备案信息填写、运行，</w:t>
      </w:r>
      <w:r>
        <w:rPr>
          <w:rFonts w:hint="default" w:ascii="Times New Roman" w:hAnsi="Times New Roman" w:eastAsia="宋体" w:cs="Times New Roman"/>
          <w:caps w:val="0"/>
          <w:snapToGrid/>
          <w:color w:val="auto"/>
          <w:spacing w:val="0"/>
          <w:w w:val="100"/>
          <w:kern w:val="0"/>
          <w:position w:val="0"/>
          <w:szCs w:val="24"/>
          <w:highlight w:val="none"/>
        </w:rPr>
        <w:t>危险废物电子转移联单数据应当在信息系统中至少保存十年</w:t>
      </w:r>
      <w:r>
        <w:rPr>
          <w:rFonts w:hint="default" w:ascii="Times New Roman" w:hAnsi="Times New Roman" w:eastAsia="宋体" w:cs="Times New Roman"/>
          <w:caps w:val="0"/>
          <w:snapToGrid/>
          <w:color w:val="auto"/>
          <w:spacing w:val="0"/>
          <w:w w:val="100"/>
          <w:kern w:val="0"/>
          <w:position w:val="0"/>
          <w:szCs w:val="24"/>
          <w:highlight w:val="none"/>
          <w:lang w:eastAsia="zh-CN"/>
        </w:rPr>
        <w:t>。</w:t>
      </w:r>
    </w:p>
    <w:p w14:paraId="27574D6B">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⑤建立危险废物</w:t>
      </w:r>
      <w:r>
        <w:rPr>
          <w:rFonts w:hint="default" w:ascii="Times New Roman" w:hAnsi="Times New Roman" w:eastAsia="宋体" w:cs="Times New Roman"/>
          <w:caps w:val="0"/>
          <w:snapToGrid/>
          <w:color w:val="auto"/>
          <w:spacing w:val="0"/>
          <w:w w:val="100"/>
          <w:kern w:val="0"/>
          <w:position w:val="0"/>
          <w:szCs w:val="24"/>
          <w:highlight w:val="none"/>
        </w:rPr>
        <w:t>台账，如实记录危险废物出入库时间、数量、交接人等信息，定期汇总保存。</w:t>
      </w:r>
    </w:p>
    <w:p w14:paraId="003CAA45">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⑥</w:t>
      </w:r>
      <w:r>
        <w:rPr>
          <w:rFonts w:hint="default" w:ascii="Times New Roman" w:hAnsi="Times New Roman" w:eastAsia="宋体" w:cs="Times New Roman"/>
          <w:caps w:val="0"/>
          <w:snapToGrid/>
          <w:color w:val="auto"/>
          <w:spacing w:val="0"/>
          <w:w w:val="100"/>
          <w:kern w:val="0"/>
          <w:position w:val="0"/>
          <w:szCs w:val="24"/>
          <w:highlight w:val="none"/>
        </w:rPr>
        <w:t>危险废物的</w:t>
      </w:r>
      <w:r>
        <w:rPr>
          <w:rFonts w:hint="default" w:ascii="Times New Roman" w:hAnsi="Times New Roman" w:eastAsia="宋体" w:cs="Times New Roman"/>
          <w:caps w:val="0"/>
          <w:snapToGrid/>
          <w:color w:val="auto"/>
          <w:spacing w:val="0"/>
          <w:w w:val="100"/>
          <w:kern w:val="0"/>
          <w:position w:val="0"/>
          <w:szCs w:val="24"/>
          <w:highlight w:val="none"/>
          <w:lang w:val="en-US" w:eastAsia="zh-CN"/>
        </w:rPr>
        <w:t>转移</w:t>
      </w:r>
      <w:r>
        <w:rPr>
          <w:rFonts w:hint="default" w:ascii="Times New Roman" w:hAnsi="Times New Roman" w:eastAsia="宋体" w:cs="Times New Roman"/>
          <w:caps w:val="0"/>
          <w:snapToGrid/>
          <w:color w:val="auto"/>
          <w:spacing w:val="0"/>
          <w:w w:val="100"/>
          <w:kern w:val="0"/>
          <w:position w:val="0"/>
          <w:szCs w:val="24"/>
          <w:highlight w:val="none"/>
        </w:rPr>
        <w:t>应该及时向当地环保部门申报。</w:t>
      </w:r>
    </w:p>
    <w:p w14:paraId="7A557722">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4"/>
          <w:highlight w:val="none"/>
        </w:rPr>
      </w:pPr>
      <w:r>
        <w:rPr>
          <w:rFonts w:hint="default" w:ascii="Times New Roman" w:hAnsi="Times New Roman" w:eastAsia="宋体" w:cs="Times New Roman"/>
          <w:caps w:val="0"/>
          <w:snapToGrid/>
          <w:color w:val="auto"/>
          <w:spacing w:val="0"/>
          <w:w w:val="100"/>
          <w:kern w:val="0"/>
          <w:position w:val="0"/>
          <w:szCs w:val="24"/>
          <w:highlight w:val="none"/>
          <w:lang w:val="en-US" w:eastAsia="zh-CN"/>
        </w:rPr>
        <w:t>⑦</w:t>
      </w:r>
      <w:r>
        <w:rPr>
          <w:rFonts w:hint="default" w:ascii="Times New Roman" w:hAnsi="Times New Roman" w:eastAsia="宋体" w:cs="Times New Roman"/>
          <w:caps w:val="0"/>
          <w:snapToGrid/>
          <w:color w:val="auto"/>
          <w:spacing w:val="0"/>
          <w:w w:val="100"/>
          <w:kern w:val="0"/>
          <w:position w:val="0"/>
          <w:szCs w:val="24"/>
          <w:highlight w:val="none"/>
        </w:rPr>
        <w:t>危险废物的管理应该纳入</w:t>
      </w:r>
      <w:r>
        <w:rPr>
          <w:rFonts w:hint="default" w:ascii="Times New Roman" w:hAnsi="Times New Roman" w:eastAsia="宋体" w:cs="Times New Roman"/>
          <w:caps w:val="0"/>
          <w:snapToGrid/>
          <w:color w:val="auto"/>
          <w:spacing w:val="0"/>
          <w:w w:val="100"/>
          <w:kern w:val="0"/>
          <w:position w:val="0"/>
          <w:szCs w:val="24"/>
          <w:highlight w:val="none"/>
          <w:lang w:val="en-US" w:eastAsia="zh-CN"/>
        </w:rPr>
        <w:t>公司</w:t>
      </w:r>
      <w:r>
        <w:rPr>
          <w:rFonts w:hint="default" w:ascii="Times New Roman" w:hAnsi="Times New Roman" w:eastAsia="宋体" w:cs="Times New Roman"/>
          <w:caps w:val="0"/>
          <w:snapToGrid/>
          <w:color w:val="auto"/>
          <w:spacing w:val="0"/>
          <w:w w:val="100"/>
          <w:kern w:val="0"/>
          <w:position w:val="0"/>
          <w:szCs w:val="24"/>
          <w:highlight w:val="none"/>
        </w:rPr>
        <w:t>应急预案，</w:t>
      </w:r>
      <w:r>
        <w:rPr>
          <w:rFonts w:hint="default" w:ascii="Times New Roman" w:hAnsi="Times New Roman" w:eastAsia="宋体" w:cs="Times New Roman"/>
          <w:caps w:val="0"/>
          <w:snapToGrid/>
          <w:color w:val="auto"/>
          <w:spacing w:val="0"/>
          <w:w w:val="100"/>
          <w:kern w:val="0"/>
          <w:position w:val="0"/>
          <w:szCs w:val="24"/>
          <w:highlight w:val="none"/>
          <w:lang w:val="en-US" w:eastAsia="zh-CN"/>
        </w:rPr>
        <w:t>并</w:t>
      </w:r>
      <w:r>
        <w:rPr>
          <w:rFonts w:hint="default" w:ascii="Times New Roman" w:hAnsi="Times New Roman" w:eastAsia="宋体" w:cs="Times New Roman"/>
          <w:caps w:val="0"/>
          <w:snapToGrid/>
          <w:color w:val="auto"/>
          <w:spacing w:val="0"/>
          <w:w w:val="100"/>
          <w:kern w:val="0"/>
          <w:position w:val="0"/>
          <w:szCs w:val="24"/>
          <w:highlight w:val="none"/>
        </w:rPr>
        <w:t>定期演练。</w:t>
      </w:r>
    </w:p>
    <w:p w14:paraId="1ACAF826">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eastAsia" w:cs="Times New Roman"/>
          <w:caps w:val="0"/>
          <w:snapToGrid/>
          <w:color w:val="auto"/>
          <w:spacing w:val="0"/>
          <w:w w:val="100"/>
          <w:kern w:val="0"/>
          <w:position w:val="0"/>
          <w:highlight w:val="none"/>
          <w:shd w:val="clear" w:color="auto" w:fill="auto"/>
          <w:lang w:val="en-US" w:eastAsia="zh-CN"/>
        </w:rPr>
        <w:t>（3）</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危险废物贮存、管理要求</w:t>
      </w:r>
    </w:p>
    <w:p w14:paraId="2F659976">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本项目危险废物应按照《危险废物贮存污染控制标准》（GB18597-2023）、《危险废物收集 贮存 运输技术规范》（HJ2025-2012）等相关要求进行收集、周转、贮存和管理，委托有相应危险废物处理资质的处理单位处理。</w:t>
      </w:r>
    </w:p>
    <w:p w14:paraId="71BE9180">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本项目在厂区内</w:t>
      </w:r>
      <w:r>
        <w:rPr>
          <w:rFonts w:hint="eastAsia" w:cs="Times New Roman"/>
          <w:caps w:val="0"/>
          <w:snapToGrid/>
          <w:color w:val="auto"/>
          <w:spacing w:val="0"/>
          <w:w w:val="100"/>
          <w:kern w:val="0"/>
          <w:position w:val="0"/>
          <w:highlight w:val="none"/>
          <w:shd w:val="clear" w:color="auto" w:fill="auto"/>
          <w:lang w:val="en-US" w:eastAsia="zh-CN"/>
        </w:rPr>
        <w:t>西北角新建</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1座危废贮存库</w:t>
      </w:r>
      <w:r>
        <w:rPr>
          <w:rFonts w:hint="default" w:ascii="Times New Roman" w:hAnsi="Times New Roman" w:eastAsia="宋体" w:cs="Times New Roman"/>
          <w:caps w:val="0"/>
          <w:snapToGrid/>
          <w:color w:val="auto"/>
          <w:spacing w:val="0"/>
          <w:w w:val="100"/>
          <w:kern w:val="0"/>
          <w:position w:val="0"/>
          <w:highlight w:val="none"/>
        </w:rPr>
        <w:t>（面积约</w:t>
      </w:r>
      <w:r>
        <w:rPr>
          <w:rFonts w:hint="eastAsia" w:cs="Times New Roman"/>
          <w:caps w:val="0"/>
          <w:snapToGrid/>
          <w:color w:val="auto"/>
          <w:spacing w:val="0"/>
          <w:w w:val="100"/>
          <w:kern w:val="0"/>
          <w:position w:val="0"/>
          <w:highlight w:val="none"/>
          <w:lang w:val="en-US" w:eastAsia="zh-CN"/>
        </w:rPr>
        <w:t>10</w:t>
      </w:r>
      <w:r>
        <w:rPr>
          <w:rFonts w:hint="default" w:ascii="Times New Roman" w:hAnsi="Times New Roman" w:eastAsia="宋体" w:cs="Times New Roman"/>
          <w:caps w:val="0"/>
          <w:snapToGrid/>
          <w:color w:val="auto"/>
          <w:spacing w:val="0"/>
          <w:w w:val="100"/>
          <w:kern w:val="0"/>
          <w:position w:val="0"/>
          <w:highlight w:val="none"/>
        </w:rPr>
        <w:t>m</w:t>
      </w:r>
      <w:r>
        <w:rPr>
          <w:rFonts w:hint="default" w:ascii="Times New Roman" w:hAnsi="Times New Roman" w:eastAsia="宋体" w:cs="Times New Roman"/>
          <w:caps w:val="0"/>
          <w:snapToGrid/>
          <w:color w:val="auto"/>
          <w:spacing w:val="0"/>
          <w:w w:val="100"/>
          <w:kern w:val="0"/>
          <w:position w:val="0"/>
          <w:highlight w:val="none"/>
          <w:vertAlign w:val="superscript"/>
        </w:rPr>
        <w:t>2</w:t>
      </w:r>
      <w:r>
        <w:rPr>
          <w:rFonts w:hint="default" w:ascii="Times New Roman" w:hAnsi="Times New Roman" w:eastAsia="宋体" w:cs="Times New Roman"/>
          <w:caps w:val="0"/>
          <w:snapToGrid/>
          <w:color w:val="auto"/>
          <w:spacing w:val="0"/>
          <w:w w:val="100"/>
          <w:kern w:val="0"/>
          <w:position w:val="0"/>
          <w:highlight w:val="none"/>
        </w:rPr>
        <w:t>）</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，危险废物收集、贮存、转移和管理应符合以下要求：</w:t>
      </w:r>
    </w:p>
    <w:p w14:paraId="6B457DE6">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①一般措施</w:t>
      </w:r>
    </w:p>
    <w:p w14:paraId="62E4C4B3">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eastAsia" w:ascii="Times New Roman" w:hAnsi="Times New Roman" w:eastAsia="宋体" w:cs="Times New Roman"/>
          <w:caps w:val="0"/>
          <w:snapToGrid/>
          <w:color w:val="auto"/>
          <w:spacing w:val="0"/>
          <w:w w:val="100"/>
          <w:kern w:val="0"/>
          <w:position w:val="0"/>
          <w:highlight w:val="none"/>
          <w:shd w:val="clear" w:color="auto" w:fill="auto"/>
          <w:lang w:val="en-US" w:eastAsia="zh-CN"/>
        </w:rPr>
        <w:t>a.贮存设施应根据危险废物的形态、物理化学性质、包装形式和污染物迁移途径，采取必要的防风、防晒、防雨、防漏、防渗、防腐以及其他环境污染防治措施，不应露天堆放危险废物。</w:t>
      </w:r>
    </w:p>
    <w:p w14:paraId="51E27388">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eastAsia" w:ascii="Times New Roman" w:hAnsi="Times New Roman" w:eastAsia="宋体" w:cs="Times New Roman"/>
          <w:caps w:val="0"/>
          <w:snapToGrid/>
          <w:color w:val="auto"/>
          <w:spacing w:val="0"/>
          <w:w w:val="100"/>
          <w:kern w:val="0"/>
          <w:position w:val="0"/>
          <w:highlight w:val="none"/>
          <w:shd w:val="clear" w:color="auto" w:fill="auto"/>
          <w:lang w:val="en-US" w:eastAsia="zh-CN"/>
        </w:rPr>
        <w:t>b.贮存设施应根据危险废物的类别、数量、形态、物理化学性质和污染防治等要求设置必要的贮存分区，避免不相容的危险废物接触、混合。</w:t>
      </w:r>
    </w:p>
    <w:p w14:paraId="28FFB110">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eastAsia" w:ascii="Times New Roman" w:hAnsi="Times New Roman" w:eastAsia="宋体" w:cs="Times New Roman"/>
          <w:caps w:val="0"/>
          <w:snapToGrid/>
          <w:color w:val="auto"/>
          <w:spacing w:val="0"/>
          <w:w w:val="100"/>
          <w:kern w:val="0"/>
          <w:position w:val="0"/>
          <w:highlight w:val="none"/>
          <w:shd w:val="clear" w:color="auto" w:fill="auto"/>
          <w:lang w:val="en-US" w:eastAsia="zh-CN"/>
        </w:rPr>
        <w:t>c.贮存设施或贮存分区内地面、墙面裙脚、堵截泄漏的围堰、接触危险废物的隔板和墙体等应采用坚固的材料建造，表面无裂缝。</w:t>
      </w:r>
    </w:p>
    <w:p w14:paraId="7CBAD83B">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eastAsia" w:ascii="Times New Roman" w:hAnsi="Times New Roman" w:eastAsia="宋体" w:cs="Times New Roman"/>
          <w:caps w:val="0"/>
          <w:snapToGrid/>
          <w:color w:val="auto"/>
          <w:spacing w:val="0"/>
          <w:w w:val="100"/>
          <w:kern w:val="0"/>
          <w:position w:val="0"/>
          <w:highlight w:val="none"/>
          <w:shd w:val="clear" w:color="auto" w:fill="auto"/>
          <w:lang w:val="en-US" w:eastAsia="zh-CN"/>
        </w:rPr>
        <w:t>d.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1m</w:t>
      </w:r>
      <w:r>
        <w:rPr>
          <w:rFonts w:hint="eastAsia" w:ascii="Times New Roman" w:hAnsi="Times New Roman" w:eastAsia="宋体" w:cs="Times New Roman"/>
          <w:caps w:val="0"/>
          <w:snapToGrid/>
          <w:color w:val="auto"/>
          <w:spacing w:val="0"/>
          <w:w w:val="100"/>
          <w:kern w:val="0"/>
          <w:position w:val="0"/>
          <w:highlight w:val="none"/>
          <w:shd w:val="clear" w:color="auto" w:fill="auto"/>
          <w:lang w:val="en-US" w:eastAsia="zh-CN"/>
        </w:rPr>
        <w:t>厚黏土层（渗透系数不大于</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10</w:t>
      </w:r>
      <w:r>
        <w:rPr>
          <w:rFonts w:hint="default" w:ascii="Times New Roman" w:hAnsi="Times New Roman" w:eastAsia="宋体" w:cs="Times New Roman"/>
          <w:caps w:val="0"/>
          <w:snapToGrid/>
          <w:color w:val="auto"/>
          <w:spacing w:val="0"/>
          <w:w w:val="100"/>
          <w:kern w:val="0"/>
          <w:position w:val="0"/>
          <w:highlight w:val="none"/>
          <w:shd w:val="clear" w:color="auto" w:fill="auto"/>
          <w:vertAlign w:val="superscript"/>
          <w:lang w:val="en-US" w:eastAsia="zh-CN"/>
        </w:rPr>
        <w:t>-7</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cm/s</w:t>
      </w:r>
      <w:r>
        <w:rPr>
          <w:rFonts w:hint="eastAsia" w:ascii="Times New Roman" w:hAnsi="Times New Roman" w:eastAsia="宋体" w:cs="Times New Roman"/>
          <w:caps w:val="0"/>
          <w:snapToGrid/>
          <w:color w:val="auto"/>
          <w:spacing w:val="0"/>
          <w:w w:val="100"/>
          <w:kern w:val="0"/>
          <w:position w:val="0"/>
          <w:highlight w:val="none"/>
          <w:shd w:val="clear" w:color="auto" w:fill="auto"/>
          <w:lang w:val="en-US" w:eastAsia="zh-CN"/>
        </w:rPr>
        <w:t>），或至少</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2mm</w:t>
      </w:r>
      <w:r>
        <w:rPr>
          <w:rFonts w:hint="eastAsia" w:ascii="Times New Roman" w:hAnsi="Times New Roman" w:eastAsia="宋体" w:cs="Times New Roman"/>
          <w:caps w:val="0"/>
          <w:snapToGrid/>
          <w:color w:val="auto"/>
          <w:spacing w:val="0"/>
          <w:w w:val="100"/>
          <w:kern w:val="0"/>
          <w:position w:val="0"/>
          <w:highlight w:val="none"/>
          <w:shd w:val="clear" w:color="auto" w:fill="auto"/>
          <w:lang w:val="en-US" w:eastAsia="zh-CN"/>
        </w:rPr>
        <w:t>厚高密度聚乙烯膜等人工防渗材料（渗透系数不大于</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10</w:t>
      </w:r>
      <w:r>
        <w:rPr>
          <w:rFonts w:hint="default" w:ascii="Times New Roman" w:hAnsi="Times New Roman" w:eastAsia="宋体" w:cs="Times New Roman"/>
          <w:caps w:val="0"/>
          <w:snapToGrid/>
          <w:color w:val="auto"/>
          <w:spacing w:val="0"/>
          <w:w w:val="100"/>
          <w:kern w:val="0"/>
          <w:position w:val="0"/>
          <w:highlight w:val="none"/>
          <w:shd w:val="clear" w:color="auto" w:fill="auto"/>
          <w:vertAlign w:val="superscript"/>
          <w:lang w:val="en-US" w:eastAsia="zh-CN"/>
        </w:rPr>
        <w:t>-10</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cm/s</w:t>
      </w:r>
      <w:r>
        <w:rPr>
          <w:rFonts w:hint="eastAsia" w:ascii="Times New Roman" w:hAnsi="Times New Roman" w:eastAsia="宋体" w:cs="Times New Roman"/>
          <w:caps w:val="0"/>
          <w:snapToGrid/>
          <w:color w:val="auto"/>
          <w:spacing w:val="0"/>
          <w:w w:val="100"/>
          <w:kern w:val="0"/>
          <w:position w:val="0"/>
          <w:highlight w:val="none"/>
          <w:shd w:val="clear" w:color="auto" w:fill="auto"/>
          <w:lang w:val="en-US" w:eastAsia="zh-CN"/>
        </w:rPr>
        <w:t>），或其他防渗性能等效的材料。</w:t>
      </w:r>
    </w:p>
    <w:p w14:paraId="031E8E8E">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eastAsia" w:ascii="Times New Roman" w:hAnsi="Times New Roman" w:eastAsia="宋体" w:cs="Times New Roman"/>
          <w:caps w:val="0"/>
          <w:snapToGrid/>
          <w:color w:val="auto"/>
          <w:spacing w:val="0"/>
          <w:w w:val="100"/>
          <w:kern w:val="0"/>
          <w:position w:val="0"/>
          <w:highlight w:val="none"/>
          <w:shd w:val="clear" w:color="auto" w:fill="auto"/>
          <w:lang w:val="en-US" w:eastAsia="zh-CN"/>
        </w:rPr>
        <w:t>e.同一贮存设施宜采用相同的防渗、防腐工艺（包括防渗、防腐结构或材料），防渗、防腐材料应覆盖所有可能与废物及其渗滤液、渗漏液等接触的构筑物表面；采用不同防渗、防腐工艺应分别建设贮存分区。</w:t>
      </w:r>
    </w:p>
    <w:p w14:paraId="2EB64F74">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eastAsia" w:ascii="Times New Roman" w:hAnsi="Times New Roman" w:eastAsia="宋体" w:cs="Times New Roman"/>
          <w:caps w:val="0"/>
          <w:snapToGrid/>
          <w:color w:val="auto"/>
          <w:spacing w:val="0"/>
          <w:w w:val="100"/>
          <w:kern w:val="0"/>
          <w:position w:val="0"/>
          <w:highlight w:val="none"/>
          <w:shd w:val="clear" w:color="auto" w:fill="auto"/>
          <w:lang w:val="en-US" w:eastAsia="zh-CN"/>
        </w:rPr>
        <w:t>f.贮存设施应采取技术和管理措施防止无关人员进入。</w:t>
      </w:r>
    </w:p>
    <w:p w14:paraId="2EA9E155">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eastAsia"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eastAsia" w:ascii="Times New Roman" w:hAnsi="Times New Roman" w:eastAsia="宋体" w:cs="Times New Roman"/>
          <w:caps w:val="0"/>
          <w:snapToGrid/>
          <w:color w:val="auto"/>
          <w:spacing w:val="0"/>
          <w:w w:val="100"/>
          <w:kern w:val="0"/>
          <w:position w:val="0"/>
          <w:highlight w:val="none"/>
          <w:shd w:val="clear" w:color="auto" w:fill="auto"/>
          <w:lang w:val="en-US" w:eastAsia="zh-CN"/>
        </w:rPr>
        <w:t>g.危险废物转移过程应按《危险废物转移联单管理办法》执行。</w:t>
      </w:r>
    </w:p>
    <w:p w14:paraId="1DFE5103">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eastAsia"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eastAsia" w:ascii="Times New Roman" w:hAnsi="Times New Roman" w:eastAsia="宋体" w:cs="Times New Roman"/>
          <w:caps w:val="0"/>
          <w:snapToGrid/>
          <w:color w:val="auto"/>
          <w:spacing w:val="0"/>
          <w:w w:val="100"/>
          <w:kern w:val="0"/>
          <w:position w:val="0"/>
          <w:highlight w:val="none"/>
          <w:shd w:val="clear" w:color="auto" w:fill="auto"/>
          <w:lang w:val="en-US" w:eastAsia="zh-CN"/>
        </w:rPr>
        <w:t>h.危险废物收集、贮存、运输单位应建立规范的管理和技术人员培训制度，定期针对管理和技术人员进行培训。培训内容至少应包括危险废物鉴别要求、危险废物经营许可证管理、危险废物转移联单管理、危险废物包装和标识、危险废物运输要求、危险废物事故应急方法等。</w:t>
      </w:r>
    </w:p>
    <w:p w14:paraId="64B6780D">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eastAsia"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eastAsia" w:ascii="Times New Roman" w:hAnsi="Times New Roman" w:eastAsia="宋体" w:cs="Times New Roman"/>
          <w:caps w:val="0"/>
          <w:snapToGrid/>
          <w:color w:val="auto"/>
          <w:spacing w:val="0"/>
          <w:w w:val="100"/>
          <w:kern w:val="0"/>
          <w:position w:val="0"/>
          <w:highlight w:val="none"/>
          <w:shd w:val="clear" w:color="auto" w:fill="auto"/>
          <w:lang w:val="en-US" w:eastAsia="zh-CN"/>
        </w:rPr>
        <w:t>i.危险废物收集、贮存、运输单位应编制应急预案。应急预案编制可参照《危险废物经营单位编制应急预案指南》，涉及运输的相关内容还应符合交通行政主管部门的有关规定。针对危险废物收集、贮存、运输过程中的事故易发环节应定期组织应急演练。</w:t>
      </w:r>
    </w:p>
    <w:p w14:paraId="5E57F082">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eastAsia" w:ascii="Times New Roman" w:hAnsi="Times New Roman" w:eastAsia="宋体" w:cs="Times New Roman"/>
          <w:caps w:val="0"/>
          <w:snapToGrid/>
          <w:color w:val="auto"/>
          <w:spacing w:val="0"/>
          <w:w w:val="100"/>
          <w:kern w:val="0"/>
          <w:position w:val="0"/>
          <w:highlight w:val="none"/>
          <w:shd w:val="clear" w:color="auto" w:fill="auto"/>
          <w:lang w:val="en-US" w:eastAsia="zh-CN"/>
        </w:rPr>
        <w:t>j危险废物收集、贮存、运输时应按腐蚀性、毒性、易燃性、反应性和感染性等危险特性对危险废物进行分类、包装并设置相应的标志及标签。危险废物特性应根据其产生源特性及</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GB5085.1-7</w:t>
      </w:r>
      <w:r>
        <w:rPr>
          <w:rFonts w:hint="eastAsia" w:ascii="Times New Roman" w:hAnsi="Times New Roman" w:eastAsia="宋体" w:cs="Times New Roman"/>
          <w:caps w:val="0"/>
          <w:snapToGrid/>
          <w:color w:val="auto"/>
          <w:spacing w:val="0"/>
          <w:w w:val="100"/>
          <w:kern w:val="0"/>
          <w:position w:val="0"/>
          <w:highlight w:val="none"/>
          <w:shd w:val="clear" w:color="auto" w:fill="auto"/>
          <w:lang w:val="en-US" w:eastAsia="zh-CN"/>
        </w:rPr>
        <w:t>、</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HJ298</w:t>
      </w:r>
      <w:r>
        <w:rPr>
          <w:rFonts w:hint="eastAsia" w:ascii="Times New Roman" w:hAnsi="Times New Roman" w:eastAsia="宋体" w:cs="Times New Roman"/>
          <w:caps w:val="0"/>
          <w:snapToGrid/>
          <w:color w:val="auto"/>
          <w:spacing w:val="0"/>
          <w:w w:val="100"/>
          <w:kern w:val="0"/>
          <w:position w:val="0"/>
          <w:highlight w:val="none"/>
          <w:shd w:val="clear" w:color="auto" w:fill="auto"/>
          <w:lang w:val="en-US" w:eastAsia="zh-CN"/>
        </w:rPr>
        <w:t>进行鉴别。</w:t>
      </w:r>
    </w:p>
    <w:p w14:paraId="651B1FE1">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②危险废物贮存容器</w:t>
      </w:r>
    </w:p>
    <w:p w14:paraId="5909B244">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a.应当使用符合标准的容器盛装危险废物。</w:t>
      </w:r>
    </w:p>
    <w:p w14:paraId="51547DE2">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b.装载危险废物的容器及材质要满足相应的强度要求。</w:t>
      </w:r>
    </w:p>
    <w:p w14:paraId="16246561">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c.装载危险废物的容器必须完好无损。</w:t>
      </w:r>
    </w:p>
    <w:p w14:paraId="7CD3406D">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d.盛装危险废物的容器材质和衬里要与危险废物兼容（不相互反应）。</w:t>
      </w:r>
    </w:p>
    <w:p w14:paraId="3638B0F1">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e.液体危险废物可注入开孔直径不超过70mm并有放气孔的桶中。</w:t>
      </w:r>
    </w:p>
    <w:p w14:paraId="1FCA945B">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③危险废物贮存设施（仓库式）的设计原则</w:t>
      </w:r>
    </w:p>
    <w:p w14:paraId="22783F55">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a.地面与裙脚要用坚固、防渗的材料建造，建筑材料必须与危险废物兼容；</w:t>
      </w:r>
    </w:p>
    <w:p w14:paraId="6BC88D40">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b.必须有泄漏液体收集装置、气体导出口及气体净化装置；</w:t>
      </w:r>
    </w:p>
    <w:p w14:paraId="62DCF606">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c.设施内要有安全照明设施和观察窗口；</w:t>
      </w:r>
    </w:p>
    <w:p w14:paraId="13AF60FB">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d.用以存放装载液体、半固体危险废物容器的地方，必须有耐腐蚀的硬化地面，且表面无裂隙；</w:t>
      </w:r>
    </w:p>
    <w:p w14:paraId="1D04BE51">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e.应设计堵截泄漏的裙脚，地面与裙脚所围建的容积不低于堵截最大容器的最大储量或总储量的1/5；</w:t>
      </w:r>
    </w:p>
    <w:p w14:paraId="269686EC">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f.不兼容的危险废物必须分开存放，并设有隔离间断。</w:t>
      </w:r>
    </w:p>
    <w:p w14:paraId="50185B9A">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fldChar w:fldCharType="begin"/>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instrText xml:space="preserve"> = 4 \* GB3 \* MERGEFORMAT </w:instrTex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fldChar w:fldCharType="separate"/>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④</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fldChar w:fldCharType="end"/>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危险废物的堆放要求</w:t>
      </w:r>
    </w:p>
    <w:p w14:paraId="3FE3BA50">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a.基础必须防渗，防渗层为至少1m厚粘土层（渗透系数≤10</w:t>
      </w:r>
      <w:r>
        <w:rPr>
          <w:rFonts w:hint="default" w:ascii="Times New Roman" w:hAnsi="Times New Roman" w:eastAsia="宋体" w:cs="Times New Roman"/>
          <w:caps w:val="0"/>
          <w:snapToGrid/>
          <w:color w:val="auto"/>
          <w:spacing w:val="0"/>
          <w:w w:val="100"/>
          <w:kern w:val="0"/>
          <w:position w:val="0"/>
          <w:highlight w:val="none"/>
          <w:shd w:val="clear" w:color="auto" w:fill="auto"/>
          <w:vertAlign w:val="superscript"/>
          <w:lang w:val="en-US" w:eastAsia="zh-CN"/>
        </w:rPr>
        <w:t>-7</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cm/s），或2mm厚高密度聚乙烯，或至少2mm厚的其它人工材料，渗透系数≤10</w:t>
      </w:r>
      <w:r>
        <w:rPr>
          <w:rFonts w:hint="default" w:ascii="Times New Roman" w:hAnsi="Times New Roman" w:eastAsia="宋体" w:cs="Times New Roman"/>
          <w:caps w:val="0"/>
          <w:snapToGrid/>
          <w:color w:val="auto"/>
          <w:spacing w:val="0"/>
          <w:w w:val="100"/>
          <w:kern w:val="0"/>
          <w:position w:val="0"/>
          <w:highlight w:val="none"/>
          <w:shd w:val="clear" w:color="auto" w:fill="auto"/>
          <w:vertAlign w:val="superscript"/>
          <w:lang w:val="en-US" w:eastAsia="zh-CN"/>
        </w:rPr>
        <w:t>-10</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cm/s；</w:t>
      </w:r>
    </w:p>
    <w:p w14:paraId="3BFB707D">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b.堆放危险废物的高度应根据地面承载能力确定；</w:t>
      </w:r>
    </w:p>
    <w:p w14:paraId="60F2A205">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c.</w:t>
      </w:r>
      <w:r>
        <w:rPr>
          <w:rFonts w:hint="default" w:ascii="Times New Roman" w:hAnsi="Times New Roman" w:eastAsia="宋体" w:cs="Times New Roman"/>
          <w:color w:val="auto"/>
          <w:spacing w:val="0"/>
          <w:w w:val="100"/>
          <w:kern w:val="0"/>
          <w:position w:val="0"/>
          <w:highlight w:val="none"/>
          <w:lang w:val="en-US" w:eastAsia="zh-CN"/>
        </w:rPr>
        <w:t>衬里</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存放在一个基础或底座上；</w:t>
      </w:r>
    </w:p>
    <w:p w14:paraId="65068762">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d.衬里要能够覆盖危险废物或其溶出物可能涉及的范围；</w:t>
      </w:r>
    </w:p>
    <w:p w14:paraId="5BA3773A">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e.衬里材料与堆放危险废物兼容；</w:t>
      </w:r>
    </w:p>
    <w:p w14:paraId="4A902BAA">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f.在衬里上设计、建造浸出液收集清除系统；</w:t>
      </w:r>
    </w:p>
    <w:p w14:paraId="03D73878">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g.危险废物堆要防风、防雨、防晒；</w:t>
      </w:r>
    </w:p>
    <w:p w14:paraId="19B9F108">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h.产生量大的危险废物可以散装方式堆放贮存在按上述要求设计的废物堆里；</w:t>
      </w:r>
    </w:p>
    <w:p w14:paraId="1F0C0C77">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i.不兼容的危险废物不能堆放在一起；</w:t>
      </w:r>
    </w:p>
    <w:p w14:paraId="7FA17534">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⑤危险废物分区贮存要求</w:t>
      </w:r>
    </w:p>
    <w:p w14:paraId="7D073A28">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a.贮存危险废物时应按危险废物的种类和特性进行分区贮存，每个贮存区域之间宜设置挡墙间隔，并应设置防雨、防火、防雷、防扬尘装置。</w:t>
      </w:r>
    </w:p>
    <w:p w14:paraId="0EC27A37">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cs="Times New Roman"/>
          <w:color w:val="auto"/>
          <w:spacing w:val="0"/>
          <w:w w:val="100"/>
          <w:position w:val="0"/>
          <w:highlight w:val="none"/>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b.通过贮存分区方式贮存液态危险废物的，应具有液体泄漏堵截设施，堵截设施最小容积不应低于对应贮存区域最大液态废物容器容积或液态废物总储量1/10（二者取较大者）。</w:t>
      </w:r>
    </w:p>
    <w:p w14:paraId="1D89B13A">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eastAsia" w:ascii="宋体" w:hAnsi="宋体" w:eastAsia="宋体" w:cs="宋体"/>
          <w:caps w:val="0"/>
          <w:snapToGrid/>
          <w:color w:val="auto"/>
          <w:spacing w:val="0"/>
          <w:w w:val="100"/>
          <w:kern w:val="0"/>
          <w:position w:val="0"/>
          <w:highlight w:val="none"/>
          <w:shd w:val="clear" w:color="auto" w:fill="auto"/>
          <w:lang w:val="en-US" w:eastAsia="zh-CN"/>
        </w:rPr>
        <w:t>⑥</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危险废物转移</w:t>
      </w:r>
      <w:r>
        <w:rPr>
          <w:rFonts w:hint="eastAsia" w:cs="Times New Roman"/>
          <w:caps w:val="0"/>
          <w:snapToGrid/>
          <w:color w:val="auto"/>
          <w:spacing w:val="0"/>
          <w:w w:val="100"/>
          <w:kern w:val="0"/>
          <w:position w:val="0"/>
          <w:highlight w:val="none"/>
          <w:shd w:val="clear" w:color="auto" w:fill="auto"/>
          <w:lang w:val="en-US" w:eastAsia="zh-CN"/>
        </w:rPr>
        <w:t>、管理、处置</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要求</w:t>
      </w:r>
    </w:p>
    <w:p w14:paraId="75C969B2">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根据《危险废物转移管理办法》</w:t>
      </w:r>
      <w:r>
        <w:rPr>
          <w:rFonts w:hint="eastAsia" w:cs="Times New Roman"/>
          <w:caps w:val="0"/>
          <w:snapToGrid/>
          <w:color w:val="auto"/>
          <w:spacing w:val="0"/>
          <w:w w:val="100"/>
          <w:kern w:val="0"/>
          <w:position w:val="0"/>
          <w:highlight w:val="none"/>
          <w:shd w:val="clear" w:color="auto" w:fill="auto"/>
          <w:lang w:val="en-US" w:eastAsia="zh-CN"/>
        </w:rPr>
        <w:t>、《危险废物产生单位管理计划制定指南》</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，评价对项目产生的危险废物的转运</w:t>
      </w:r>
      <w:r>
        <w:rPr>
          <w:rFonts w:hint="eastAsia" w:cs="Times New Roman"/>
          <w:caps w:val="0"/>
          <w:snapToGrid/>
          <w:color w:val="auto"/>
          <w:spacing w:val="0"/>
          <w:w w:val="100"/>
          <w:kern w:val="0"/>
          <w:position w:val="0"/>
          <w:highlight w:val="none"/>
          <w:shd w:val="clear" w:color="auto" w:fill="auto"/>
          <w:lang w:val="en-US" w:eastAsia="zh-CN"/>
        </w:rPr>
        <w:t>、管理及处置</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提出如下要求：</w:t>
      </w:r>
    </w:p>
    <w:p w14:paraId="0B652625">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a.建设单位应对危险废物承运人或者危险废物接收人的主体资格和技术能力进行核实，依法签订书面合同，并在合同中约定运输、贮存、利用、处置危险废物的污染防治要求及相关责任；</w:t>
      </w:r>
    </w:p>
    <w:p w14:paraId="6C6773AA">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b.建设单位应制定危险废物管理计划，明确拟转移危险废物的种类、重量（数量）和流向等信息；</w:t>
      </w:r>
    </w:p>
    <w:p w14:paraId="1CEA4451">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c.建立危险废物管理台账，对转移的危险废物进行计量称重，如实记录、妥善保管转移危险废物的种类、重量（数量）和接收人等相关信息；</w:t>
      </w:r>
    </w:p>
    <w:p w14:paraId="01C89CE1">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d.在转移危险废物前，应当通过国家危险废物信息管理系统填写、运行危险废物电子转移联单，在危险废物转移联单中如实填写移出人、承运人、接收人信息，转移危险废物的种类、重量（数量）、危险特性等信息，以及突发环境事件的防范措施等，并依照国家有关规定公开危险废物转移相关污染环境防治信息；</w:t>
      </w:r>
    </w:p>
    <w:p w14:paraId="1770B126">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e.及时核实危险废物接收人贮存、利用或者处置相关危险废物情况；</w:t>
      </w:r>
    </w:p>
    <w:p w14:paraId="566C303F">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f.移出人每转移一车（船或者其他运输工具）次同类危险废物，应当填写、运行一份危险废物转移联单；每车（船或者其他运输工具）次转移多类危险废物的，可以填写、运行一份危险废物转移联单，也可以每一类危险废物填写、运行一份危险废物转移联单。</w:t>
      </w:r>
    </w:p>
    <w:p w14:paraId="18BB8190">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使用同一车（船或者其他运输工具）一次为多个移出人转移危险废物的，每个移出人应当分别填写、运行危险废物转移联单。</w:t>
      </w:r>
    </w:p>
    <w:p w14:paraId="71F14C4F">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g.危险废物电子转移联单数据应当在信息系统中至少保存十年。</w:t>
      </w:r>
    </w:p>
    <w:p w14:paraId="7231FF95">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因特殊原因无法运行危险废物电子转移联单的，可以先使用纸质转移联单，并于转移活动完成后十个工作日内在信息系统中补录电子转移联单。</w:t>
      </w:r>
    </w:p>
    <w:p w14:paraId="08850E83">
      <w:pPr>
        <w:keepNext w:val="0"/>
        <w:keepLines w:val="0"/>
        <w:pageBreakBefore w:val="0"/>
        <w:widowControl w:val="0"/>
        <w:tabs>
          <w:tab w:val="left" w:pos="1021"/>
        </w:tabs>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pP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h.跨省转移危险废物的，应当向危险废物移出地省级生态环境主管部门提出申请。移出地省级生态环境主管部门应当商经接收地省级生态环境主管部门同意后，批准转移该危险废物。未经批准的，不得转移。</w:t>
      </w:r>
    </w:p>
    <w:p w14:paraId="5472A888">
      <w:pPr>
        <w:pStyle w:val="45"/>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highlight w:val="none"/>
          <w:lang w:val="en-US" w:eastAsia="zh-CN"/>
        </w:rPr>
      </w:pPr>
      <w:r>
        <w:rPr>
          <w:rFonts w:hint="eastAsia" w:ascii="Times New Roman" w:hAnsi="Times New Roman" w:cs="Times New Roman"/>
          <w:caps w:val="0"/>
          <w:snapToGrid/>
          <w:color w:val="auto"/>
          <w:spacing w:val="0"/>
          <w:w w:val="100"/>
          <w:kern w:val="0"/>
          <w:position w:val="0"/>
          <w:highlight w:val="none"/>
          <w:lang w:val="en-US" w:eastAsia="zh-CN"/>
        </w:rPr>
        <w:t>3.</w:t>
      </w:r>
      <w:r>
        <w:rPr>
          <w:rFonts w:hint="default" w:ascii="Times New Roman" w:hAnsi="Times New Roman" w:eastAsia="宋体" w:cs="Times New Roman"/>
          <w:caps w:val="0"/>
          <w:snapToGrid/>
          <w:color w:val="auto"/>
          <w:spacing w:val="0"/>
          <w:w w:val="100"/>
          <w:kern w:val="0"/>
          <w:position w:val="0"/>
          <w:highlight w:val="none"/>
        </w:rPr>
        <w:t>生活垃圾</w:t>
      </w:r>
    </w:p>
    <w:p w14:paraId="046A48B2">
      <w:pPr>
        <w:pStyle w:val="45"/>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Cs w:val="22"/>
          <w:highlight w:val="none"/>
        </w:rPr>
      </w:pPr>
      <w:r>
        <w:rPr>
          <w:rFonts w:hint="default" w:ascii="Times New Roman" w:hAnsi="Times New Roman" w:eastAsia="宋体" w:cs="Times New Roman"/>
          <w:caps w:val="0"/>
          <w:snapToGrid/>
          <w:color w:val="auto"/>
          <w:spacing w:val="0"/>
          <w:w w:val="100"/>
          <w:kern w:val="0"/>
          <w:position w:val="0"/>
          <w:highlight w:val="none"/>
        </w:rPr>
        <w:t>生活垃圾通过在厂区设置一定数量的密闭式垃圾桶收集，定期</w:t>
      </w:r>
      <w:r>
        <w:rPr>
          <w:rFonts w:hint="default" w:ascii="Times New Roman" w:hAnsi="Times New Roman" w:eastAsia="宋体" w:cs="Times New Roman"/>
          <w:caps w:val="0"/>
          <w:snapToGrid/>
          <w:color w:val="auto"/>
          <w:spacing w:val="0"/>
          <w:w w:val="100"/>
          <w:kern w:val="0"/>
          <w:position w:val="0"/>
          <w:szCs w:val="22"/>
          <w:highlight w:val="none"/>
        </w:rPr>
        <w:t>交环卫部门</w:t>
      </w:r>
      <w:r>
        <w:rPr>
          <w:rFonts w:hint="default" w:ascii="Times New Roman" w:hAnsi="Times New Roman" w:eastAsia="宋体" w:cs="Times New Roman"/>
          <w:caps w:val="0"/>
          <w:snapToGrid/>
          <w:color w:val="auto"/>
          <w:spacing w:val="0"/>
          <w:w w:val="100"/>
          <w:kern w:val="0"/>
          <w:position w:val="0"/>
          <w:szCs w:val="22"/>
          <w:highlight w:val="none"/>
          <w:lang w:val="en-US" w:eastAsia="zh-CN"/>
        </w:rPr>
        <w:t>清运处置</w:t>
      </w:r>
      <w:r>
        <w:rPr>
          <w:rFonts w:hint="default" w:ascii="Times New Roman" w:hAnsi="Times New Roman" w:eastAsia="宋体" w:cs="Times New Roman"/>
          <w:caps w:val="0"/>
          <w:snapToGrid/>
          <w:color w:val="auto"/>
          <w:spacing w:val="0"/>
          <w:w w:val="100"/>
          <w:kern w:val="0"/>
          <w:position w:val="0"/>
          <w:szCs w:val="22"/>
          <w:highlight w:val="none"/>
        </w:rPr>
        <w:t>。</w:t>
      </w:r>
    </w:p>
    <w:p w14:paraId="2715970B">
      <w:pPr>
        <w:pStyle w:val="45"/>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highlight w:val="none"/>
        </w:rPr>
      </w:pPr>
      <w:r>
        <w:rPr>
          <w:rFonts w:hint="default" w:ascii="Times New Roman" w:hAnsi="Times New Roman" w:eastAsia="宋体" w:cs="Times New Roman"/>
          <w:caps w:val="0"/>
          <w:snapToGrid/>
          <w:color w:val="auto"/>
          <w:spacing w:val="0"/>
          <w:w w:val="100"/>
          <w:kern w:val="0"/>
          <w:position w:val="0"/>
          <w:highlight w:val="none"/>
        </w:rPr>
        <w:t>综上所述，本项目一般固体废物的处理满足《</w:t>
      </w:r>
      <w:r>
        <w:rPr>
          <w:rFonts w:hint="default" w:ascii="Times New Roman" w:hAnsi="Times New Roman" w:eastAsia="宋体" w:cs="Times New Roman"/>
          <w:caps w:val="0"/>
          <w:snapToGrid/>
          <w:color w:val="auto"/>
          <w:spacing w:val="0"/>
          <w:w w:val="100"/>
          <w:kern w:val="0"/>
          <w:position w:val="0"/>
          <w:highlight w:val="none"/>
          <w:lang w:eastAsia="zh-CN"/>
        </w:rPr>
        <w:t>一般工业固体废物贮存和填埋污染控制标准</w:t>
      </w:r>
      <w:r>
        <w:rPr>
          <w:rFonts w:hint="default" w:ascii="Times New Roman" w:hAnsi="Times New Roman" w:eastAsia="宋体" w:cs="Times New Roman"/>
          <w:caps w:val="0"/>
          <w:snapToGrid/>
          <w:color w:val="auto"/>
          <w:spacing w:val="0"/>
          <w:w w:val="100"/>
          <w:kern w:val="0"/>
          <w:position w:val="0"/>
          <w:highlight w:val="none"/>
        </w:rPr>
        <w:t>》（GB18599-20</w:t>
      </w:r>
      <w:r>
        <w:rPr>
          <w:rFonts w:hint="default" w:ascii="Times New Roman" w:hAnsi="Times New Roman" w:eastAsia="宋体" w:cs="Times New Roman"/>
          <w:caps w:val="0"/>
          <w:snapToGrid/>
          <w:color w:val="auto"/>
          <w:spacing w:val="0"/>
          <w:w w:val="100"/>
          <w:kern w:val="0"/>
          <w:position w:val="0"/>
          <w:highlight w:val="none"/>
          <w:lang w:val="en-US" w:eastAsia="zh-CN"/>
        </w:rPr>
        <w:t>20</w:t>
      </w:r>
      <w:r>
        <w:rPr>
          <w:rFonts w:hint="default" w:ascii="Times New Roman" w:hAnsi="Times New Roman" w:eastAsia="宋体" w:cs="Times New Roman"/>
          <w:caps w:val="0"/>
          <w:snapToGrid/>
          <w:color w:val="auto"/>
          <w:spacing w:val="0"/>
          <w:w w:val="100"/>
          <w:kern w:val="0"/>
          <w:position w:val="0"/>
          <w:highlight w:val="none"/>
        </w:rPr>
        <w:t>）要求，危险废物处理满足《危险废物贮存污染控制标准》（GB18597-2023）</w:t>
      </w:r>
      <w:r>
        <w:rPr>
          <w:rFonts w:hint="default" w:ascii="Times New Roman" w:hAnsi="Times New Roman" w:eastAsia="宋体" w:cs="Times New Roman"/>
          <w:caps w:val="0"/>
          <w:snapToGrid/>
          <w:color w:val="auto"/>
          <w:spacing w:val="0"/>
          <w:w w:val="100"/>
          <w:kern w:val="0"/>
          <w:position w:val="0"/>
          <w:highlight w:val="none"/>
          <w:lang w:val="en-US" w:eastAsia="zh-CN"/>
        </w:rPr>
        <w:t>相关</w:t>
      </w:r>
      <w:r>
        <w:rPr>
          <w:rFonts w:hint="default" w:ascii="Times New Roman" w:hAnsi="Times New Roman" w:eastAsia="宋体" w:cs="Times New Roman"/>
          <w:caps w:val="0"/>
          <w:snapToGrid/>
          <w:color w:val="auto"/>
          <w:spacing w:val="0"/>
          <w:w w:val="100"/>
          <w:kern w:val="0"/>
          <w:position w:val="0"/>
          <w:highlight w:val="none"/>
        </w:rPr>
        <w:t>要求，对周围环境的影响较小。从技术上分析，项目固体废物处置措施是可行的。</w:t>
      </w:r>
    </w:p>
    <w:p w14:paraId="08133184">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589" w:name="_Toc24755"/>
      <w:bookmarkStart w:id="590" w:name="_Toc10269"/>
      <w:r>
        <w:rPr>
          <w:rFonts w:hint="default"/>
          <w:color w:val="auto"/>
          <w:spacing w:val="0"/>
          <w:w w:val="100"/>
          <w:position w:val="0"/>
          <w:highlight w:val="none"/>
          <w:lang w:val="en-US" w:eastAsia="zh-CN"/>
        </w:rPr>
        <w:t>6.2.6土壤污染防治措施</w:t>
      </w:r>
      <w:bookmarkEnd w:id="571"/>
      <w:bookmarkEnd w:id="572"/>
      <w:bookmarkEnd w:id="573"/>
      <w:bookmarkEnd w:id="574"/>
      <w:bookmarkEnd w:id="575"/>
      <w:bookmarkEnd w:id="576"/>
      <w:bookmarkEnd w:id="577"/>
      <w:bookmarkEnd w:id="578"/>
      <w:bookmarkEnd w:id="579"/>
      <w:bookmarkEnd w:id="580"/>
      <w:bookmarkEnd w:id="581"/>
      <w:bookmarkEnd w:id="589"/>
      <w:bookmarkEnd w:id="590"/>
    </w:p>
    <w:bookmarkEnd w:id="582"/>
    <w:bookmarkEnd w:id="583"/>
    <w:bookmarkEnd w:id="584"/>
    <w:bookmarkEnd w:id="585"/>
    <w:bookmarkEnd w:id="586"/>
    <w:bookmarkEnd w:id="587"/>
    <w:bookmarkEnd w:id="588"/>
    <w:p w14:paraId="7018692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outlineLvl w:val="9"/>
        <w:rPr>
          <w:rFonts w:hint="default" w:ascii="Times New Roman" w:hAnsi="Times New Roman" w:eastAsia="宋体" w:cs="Times New Roman"/>
          <w:caps w:val="0"/>
          <w:snapToGrid/>
          <w:color w:val="auto"/>
          <w:spacing w:val="0"/>
          <w:w w:val="100"/>
          <w:kern w:val="0"/>
          <w:position w:val="0"/>
          <w:highlight w:val="none"/>
        </w:rPr>
      </w:pPr>
      <w:r>
        <w:rPr>
          <w:rFonts w:hint="default" w:ascii="Times New Roman" w:hAnsi="Times New Roman" w:eastAsia="宋体" w:cs="Times New Roman"/>
          <w:caps w:val="0"/>
          <w:snapToGrid/>
          <w:color w:val="auto"/>
          <w:spacing w:val="0"/>
          <w:w w:val="100"/>
          <w:kern w:val="0"/>
          <w:position w:val="0"/>
          <w:sz w:val="24"/>
          <w:szCs w:val="24"/>
          <w:highlight w:val="none"/>
        </w:rPr>
        <w:t>根据</w:t>
      </w:r>
      <w:r>
        <w:rPr>
          <w:rFonts w:hint="eastAsia" w:cs="Times New Roman"/>
          <w:caps w:val="0"/>
          <w:snapToGrid/>
          <w:color w:val="auto"/>
          <w:spacing w:val="0"/>
          <w:w w:val="100"/>
          <w:kern w:val="0"/>
          <w:position w:val="0"/>
          <w:sz w:val="24"/>
          <w:szCs w:val="24"/>
          <w:highlight w:val="none"/>
          <w:lang w:val="en-US" w:eastAsia="zh-CN"/>
        </w:rPr>
        <w:t>“2.3.4土壤环境”章节土壤评价等级判定，</w:t>
      </w:r>
      <w:r>
        <w:rPr>
          <w:rFonts w:hint="default" w:ascii="Times New Roman" w:hAnsi="Times New Roman" w:eastAsia="宋体" w:cs="Times New Roman"/>
          <w:caps w:val="0"/>
          <w:snapToGrid/>
          <w:color w:val="auto"/>
          <w:spacing w:val="0"/>
          <w:w w:val="100"/>
          <w:kern w:val="21"/>
          <w:position w:val="0"/>
          <w:highlight w:val="none"/>
        </w:rPr>
        <w:t>确定本项目可不开展土壤环境影响评价工作</w:t>
      </w:r>
      <w:r>
        <w:rPr>
          <w:rFonts w:hint="eastAsia" w:cs="Times New Roman"/>
          <w:caps w:val="0"/>
          <w:snapToGrid/>
          <w:color w:val="auto"/>
          <w:spacing w:val="0"/>
          <w:w w:val="100"/>
          <w:kern w:val="21"/>
          <w:position w:val="0"/>
          <w:highlight w:val="none"/>
          <w:lang w:eastAsia="zh-CN"/>
        </w:rPr>
        <w:t>，</w:t>
      </w:r>
      <w:r>
        <w:rPr>
          <w:rFonts w:hint="eastAsia" w:ascii="Times New Roman" w:hAnsi="Times New Roman" w:eastAsia="宋体" w:cs="Times New Roman"/>
          <w:caps w:val="0"/>
          <w:snapToGrid/>
          <w:color w:val="auto"/>
          <w:spacing w:val="0"/>
          <w:w w:val="100"/>
          <w:kern w:val="21"/>
          <w:position w:val="0"/>
          <w:highlight w:val="none"/>
          <w:lang w:val="en-US" w:eastAsia="zh-CN"/>
        </w:rPr>
        <w:t>因此本次环评不再进行</w:t>
      </w:r>
      <w:r>
        <w:rPr>
          <w:rFonts w:hint="eastAsia" w:cs="Times New Roman"/>
          <w:caps w:val="0"/>
          <w:snapToGrid/>
          <w:color w:val="auto"/>
          <w:spacing w:val="0"/>
          <w:w w:val="100"/>
          <w:kern w:val="21"/>
          <w:position w:val="0"/>
          <w:highlight w:val="none"/>
          <w:lang w:val="en-US" w:eastAsia="zh-CN"/>
        </w:rPr>
        <w:t>土壤</w:t>
      </w:r>
      <w:r>
        <w:rPr>
          <w:rFonts w:hint="eastAsia" w:ascii="Times New Roman" w:hAnsi="Times New Roman" w:eastAsia="宋体" w:cs="Times New Roman"/>
          <w:caps w:val="0"/>
          <w:snapToGrid/>
          <w:color w:val="auto"/>
          <w:spacing w:val="0"/>
          <w:w w:val="100"/>
          <w:kern w:val="21"/>
          <w:position w:val="0"/>
          <w:highlight w:val="none"/>
          <w:lang w:val="en-US" w:eastAsia="zh-CN"/>
        </w:rPr>
        <w:t>环境影响</w:t>
      </w:r>
      <w:r>
        <w:rPr>
          <w:rFonts w:hint="eastAsia" w:cs="Times New Roman"/>
          <w:caps w:val="0"/>
          <w:snapToGrid/>
          <w:color w:val="auto"/>
          <w:spacing w:val="0"/>
          <w:w w:val="100"/>
          <w:kern w:val="21"/>
          <w:position w:val="0"/>
          <w:highlight w:val="none"/>
          <w:lang w:val="en-US" w:eastAsia="zh-CN"/>
        </w:rPr>
        <w:t>进行</w:t>
      </w:r>
      <w:r>
        <w:rPr>
          <w:rFonts w:hint="eastAsia" w:ascii="Times New Roman" w:hAnsi="Times New Roman" w:eastAsia="宋体" w:cs="Times New Roman"/>
          <w:caps w:val="0"/>
          <w:snapToGrid/>
          <w:color w:val="auto"/>
          <w:spacing w:val="0"/>
          <w:w w:val="100"/>
          <w:kern w:val="21"/>
          <w:position w:val="0"/>
          <w:highlight w:val="none"/>
          <w:lang w:val="en-US" w:eastAsia="zh-CN"/>
        </w:rPr>
        <w:t>评价。</w:t>
      </w:r>
    </w:p>
    <w:p w14:paraId="67069A94">
      <w:pPr>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pPr>
    </w:p>
    <w:p w14:paraId="54E9E1A8">
      <w:pPr>
        <w:keepNext w:val="0"/>
        <w:keepLines w:val="0"/>
        <w:pageBreakBefore w:val="0"/>
        <w:widowControl w:val="0"/>
        <w:kinsoku/>
        <w:wordWrap/>
        <w:overflowPunct/>
        <w:topLinePunct w:val="0"/>
        <w:autoSpaceDE/>
        <w:autoSpaceDN/>
        <w:bidi w:val="0"/>
        <w:adjustRightInd/>
        <w:snapToGrid/>
        <w:rPr>
          <w:rFonts w:hint="eastAsia"/>
          <w:color w:val="auto"/>
          <w:spacing w:val="0"/>
          <w:w w:val="100"/>
          <w:position w:val="0"/>
          <w:highlight w:val="none"/>
          <w:lang w:val="en-US" w:eastAsia="zh-CN"/>
        </w:rPr>
        <w:sectPr>
          <w:headerReference r:id="rId11" w:type="default"/>
          <w:footerReference r:id="rId12" w:type="default"/>
          <w:pgSz w:w="11906" w:h="16838"/>
          <w:pgMar w:top="1440" w:right="1800" w:bottom="1440" w:left="1800" w:header="851" w:footer="850" w:gutter="0"/>
          <w:pgBorders>
            <w:top w:val="none" w:sz="0" w:space="0"/>
            <w:left w:val="none" w:sz="0" w:space="0"/>
            <w:bottom w:val="none" w:sz="0" w:space="0"/>
            <w:right w:val="none" w:sz="0" w:space="0"/>
          </w:pgBorders>
          <w:pgNumType w:fmt="decimal"/>
          <w:cols w:space="425" w:num="1"/>
          <w:docGrid w:type="lines" w:linePitch="312" w:charSpace="0"/>
        </w:sectPr>
      </w:pPr>
    </w:p>
    <w:p w14:paraId="670FC54C">
      <w:pPr>
        <w:pStyle w:val="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bookmarkStart w:id="591" w:name="_Toc12946"/>
      <w:bookmarkStart w:id="592" w:name="_Toc30371"/>
      <w:bookmarkStart w:id="593" w:name="_Toc18243"/>
      <w:bookmarkStart w:id="594" w:name="_Toc2144"/>
      <w:bookmarkStart w:id="595" w:name="_Toc15362"/>
      <w:bookmarkStart w:id="596" w:name="_Toc1010"/>
      <w:bookmarkStart w:id="597" w:name="_Toc30245"/>
      <w:bookmarkStart w:id="598" w:name="_Toc29179"/>
      <w:r>
        <w:rPr>
          <w:rFonts w:hint="default"/>
          <w:color w:val="auto"/>
          <w:spacing w:val="0"/>
          <w:w w:val="100"/>
          <w:position w:val="0"/>
          <w:highlight w:val="none"/>
          <w:lang w:val="en-US" w:eastAsia="zh-CN"/>
        </w:rPr>
        <w:t>7</w:t>
      </w:r>
      <w:r>
        <w:rPr>
          <w:rFonts w:hint="default"/>
          <w:color w:val="auto"/>
          <w:spacing w:val="0"/>
          <w:w w:val="100"/>
          <w:position w:val="0"/>
          <w:highlight w:val="none"/>
        </w:rPr>
        <w:t>环境影响经济损益分析</w:t>
      </w:r>
      <w:bookmarkEnd w:id="591"/>
      <w:bookmarkEnd w:id="592"/>
      <w:bookmarkEnd w:id="593"/>
      <w:bookmarkEnd w:id="594"/>
      <w:bookmarkEnd w:id="595"/>
      <w:bookmarkEnd w:id="596"/>
      <w:bookmarkEnd w:id="597"/>
      <w:bookmarkEnd w:id="598"/>
    </w:p>
    <w:p w14:paraId="68FF79D6">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599" w:name="_Toc7953"/>
      <w:bookmarkStart w:id="600" w:name="_Toc24083"/>
      <w:bookmarkStart w:id="601" w:name="_Toc32001"/>
      <w:bookmarkStart w:id="602" w:name="_Toc9852"/>
      <w:r>
        <w:rPr>
          <w:rFonts w:hint="default"/>
          <w:color w:val="auto"/>
          <w:spacing w:val="0"/>
          <w:w w:val="100"/>
          <w:position w:val="0"/>
          <w:highlight w:val="none"/>
          <w:lang w:val="en-US" w:eastAsia="zh-CN"/>
        </w:rPr>
        <w:t>7.1目的</w:t>
      </w:r>
      <w:bookmarkEnd w:id="599"/>
      <w:bookmarkEnd w:id="600"/>
      <w:bookmarkEnd w:id="601"/>
      <w:bookmarkEnd w:id="602"/>
    </w:p>
    <w:p w14:paraId="57E8E0AC">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环境影响经济损益分析</w:t>
      </w:r>
      <w:r>
        <w:rPr>
          <w:rFonts w:hint="default" w:ascii="Times New Roman" w:hAnsi="Times New Roman" w:eastAsia="宋体" w:cs="Times New Roman"/>
          <w:caps w:val="0"/>
          <w:snapToGrid/>
          <w:color w:val="auto"/>
          <w:spacing w:val="0"/>
          <w:w w:val="100"/>
          <w:kern w:val="21"/>
          <w:position w:val="0"/>
          <w:highlight w:val="none"/>
          <w:lang w:eastAsia="zh-CN"/>
        </w:rPr>
        <w:t>即</w:t>
      </w:r>
      <w:r>
        <w:rPr>
          <w:rFonts w:hint="default" w:ascii="Times New Roman" w:hAnsi="Times New Roman" w:eastAsia="宋体" w:cs="Times New Roman"/>
          <w:caps w:val="0"/>
          <w:snapToGrid/>
          <w:color w:val="auto"/>
          <w:spacing w:val="0"/>
          <w:w w:val="100"/>
          <w:kern w:val="21"/>
          <w:position w:val="0"/>
          <w:highlight w:val="none"/>
        </w:rPr>
        <w:t>针对项目的性质和当地的具体情况，确定环境影响因子，从而对项目环境影响范围内的环境影响总体作出经济评价。根据理论发展和多年的实际经验，任何工程都不可能对全部环境影响因子作出经济评价，因此环境影响经济损益分析的重点是对工程的主要环境影响因子作出投资费用和经济损益的评价，即项目的环境保护措施投资估算和经济效益、环境效益、社会效益以及项目环境影响的费用</w:t>
      </w:r>
      <w:r>
        <w:rPr>
          <w:rFonts w:hint="default" w:ascii="Times New Roman" w:hAnsi="Times New Roman" w:eastAsia="宋体" w:cs="Times New Roman"/>
          <w:caps w:val="0"/>
          <w:snapToGrid/>
          <w:color w:val="auto"/>
          <w:spacing w:val="0"/>
          <w:w w:val="100"/>
          <w:kern w:val="21"/>
          <w:position w:val="0"/>
          <w:highlight w:val="none"/>
          <w:lang w:eastAsia="zh-CN"/>
        </w:rPr>
        <w:t>、</w:t>
      </w:r>
      <w:r>
        <w:rPr>
          <w:rFonts w:hint="default" w:ascii="Times New Roman" w:hAnsi="Times New Roman" w:eastAsia="宋体" w:cs="Times New Roman"/>
          <w:caps w:val="0"/>
          <w:snapToGrid/>
          <w:color w:val="auto"/>
          <w:spacing w:val="0"/>
          <w:w w:val="100"/>
          <w:kern w:val="21"/>
          <w:position w:val="0"/>
          <w:highlight w:val="none"/>
        </w:rPr>
        <w:t>效益总体分析评价</w:t>
      </w:r>
    </w:p>
    <w:p w14:paraId="30B201E4">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603" w:name="_Toc24114"/>
      <w:bookmarkStart w:id="604" w:name="_Toc12526"/>
      <w:bookmarkStart w:id="605" w:name="_Toc25914"/>
      <w:bookmarkStart w:id="606" w:name="_Toc776"/>
      <w:bookmarkStart w:id="607" w:name="_Toc6284"/>
      <w:bookmarkStart w:id="608" w:name="_Toc21566"/>
      <w:bookmarkStart w:id="609" w:name="_Toc13146"/>
      <w:bookmarkStart w:id="610" w:name="_Toc14737"/>
      <w:bookmarkStart w:id="611" w:name="_Toc30753"/>
      <w:bookmarkStart w:id="612" w:name="_Toc18351"/>
      <w:r>
        <w:rPr>
          <w:rFonts w:hint="default"/>
          <w:color w:val="auto"/>
          <w:spacing w:val="0"/>
          <w:w w:val="100"/>
          <w:position w:val="0"/>
          <w:highlight w:val="none"/>
          <w:lang w:val="en-US" w:eastAsia="zh-CN"/>
        </w:rPr>
        <w:t>7.2环境</w:t>
      </w:r>
      <w:bookmarkEnd w:id="603"/>
      <w:bookmarkEnd w:id="604"/>
      <w:r>
        <w:rPr>
          <w:rFonts w:hint="default"/>
          <w:color w:val="auto"/>
          <w:spacing w:val="0"/>
          <w:w w:val="100"/>
          <w:position w:val="0"/>
          <w:highlight w:val="none"/>
          <w:lang w:val="en-US" w:eastAsia="zh-CN"/>
        </w:rPr>
        <w:t>损益分析</w:t>
      </w:r>
      <w:bookmarkEnd w:id="605"/>
      <w:bookmarkEnd w:id="606"/>
      <w:bookmarkEnd w:id="607"/>
      <w:bookmarkEnd w:id="608"/>
      <w:bookmarkEnd w:id="609"/>
      <w:bookmarkEnd w:id="610"/>
      <w:bookmarkEnd w:id="611"/>
      <w:bookmarkEnd w:id="612"/>
    </w:p>
    <w:p w14:paraId="799939AF">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szCs w:val="24"/>
          <w:highlight w:val="none"/>
        </w:rPr>
      </w:pPr>
      <w:bookmarkStart w:id="613" w:name="_Toc150142640"/>
      <w:bookmarkStart w:id="614" w:name="_Toc387919261"/>
      <w:bookmarkStart w:id="615" w:name="_Toc137631522"/>
      <w:bookmarkStart w:id="616" w:name="_Toc137739027"/>
      <w:bookmarkStart w:id="617" w:name="_Toc137631452"/>
      <w:bookmarkStart w:id="618" w:name="_Toc389048678"/>
      <w:bookmarkStart w:id="619" w:name="_Toc283077139"/>
      <w:r>
        <w:rPr>
          <w:rStyle w:val="37"/>
          <w:rFonts w:hint="default"/>
          <w:color w:val="auto"/>
          <w:spacing w:val="0"/>
          <w:w w:val="100"/>
          <w:position w:val="0"/>
          <w:highlight w:val="none"/>
        </w:rPr>
        <w:t>本项目</w:t>
      </w:r>
      <w:bookmarkEnd w:id="613"/>
      <w:bookmarkEnd w:id="614"/>
      <w:bookmarkEnd w:id="615"/>
      <w:bookmarkEnd w:id="616"/>
      <w:bookmarkEnd w:id="617"/>
      <w:bookmarkEnd w:id="618"/>
      <w:bookmarkEnd w:id="619"/>
      <w:r>
        <w:rPr>
          <w:rStyle w:val="37"/>
          <w:rFonts w:hint="default"/>
          <w:color w:val="auto"/>
          <w:spacing w:val="0"/>
          <w:w w:val="100"/>
          <w:position w:val="0"/>
          <w:highlight w:val="none"/>
        </w:rPr>
        <w:t>总投资</w:t>
      </w:r>
      <w:r>
        <w:rPr>
          <w:rStyle w:val="37"/>
          <w:rFonts w:hint="eastAsia"/>
          <w:color w:val="auto"/>
          <w:spacing w:val="0"/>
          <w:w w:val="100"/>
          <w:position w:val="0"/>
          <w:highlight w:val="none"/>
          <w:lang w:val="en-US" w:eastAsia="zh-CN"/>
        </w:rPr>
        <w:t>1000万元</w:t>
      </w:r>
      <w:r>
        <w:rPr>
          <w:rStyle w:val="37"/>
          <w:rFonts w:hint="default"/>
          <w:color w:val="auto"/>
          <w:spacing w:val="0"/>
          <w:w w:val="100"/>
          <w:position w:val="0"/>
          <w:highlight w:val="none"/>
        </w:rPr>
        <w:t>，环保投资</w:t>
      </w:r>
      <w:r>
        <w:rPr>
          <w:rStyle w:val="37"/>
          <w:rFonts w:hint="eastAsia"/>
          <w:color w:val="auto"/>
          <w:spacing w:val="0"/>
          <w:w w:val="100"/>
          <w:position w:val="0"/>
          <w:highlight w:val="none"/>
          <w:lang w:val="en-US" w:eastAsia="zh-CN"/>
        </w:rPr>
        <w:t>53.8</w:t>
      </w:r>
      <w:r>
        <w:rPr>
          <w:rStyle w:val="37"/>
          <w:rFonts w:hint="default"/>
          <w:color w:val="auto"/>
          <w:spacing w:val="0"/>
          <w:w w:val="100"/>
          <w:position w:val="0"/>
          <w:highlight w:val="none"/>
        </w:rPr>
        <w:t>万元，约占工程总投资的</w:t>
      </w:r>
      <w:r>
        <w:rPr>
          <w:rStyle w:val="37"/>
          <w:rFonts w:hint="eastAsia"/>
          <w:color w:val="auto"/>
          <w:spacing w:val="0"/>
          <w:w w:val="100"/>
          <w:position w:val="0"/>
          <w:highlight w:val="none"/>
          <w:lang w:val="en-US" w:eastAsia="zh-CN"/>
        </w:rPr>
        <w:t>5.38</w:t>
      </w:r>
      <w:r>
        <w:rPr>
          <w:rStyle w:val="37"/>
          <w:rFonts w:hint="default"/>
          <w:color w:val="auto"/>
          <w:spacing w:val="0"/>
          <w:w w:val="100"/>
          <w:position w:val="0"/>
          <w:highlight w:val="none"/>
          <w:lang w:val="en-US" w:eastAsia="zh-CN"/>
        </w:rPr>
        <w:t>%</w:t>
      </w:r>
      <w:r>
        <w:rPr>
          <w:rStyle w:val="37"/>
          <w:rFonts w:hint="default"/>
          <w:color w:val="auto"/>
          <w:spacing w:val="0"/>
          <w:w w:val="100"/>
          <w:position w:val="0"/>
          <w:highlight w:val="none"/>
        </w:rPr>
        <w:t>。建设项目环境保护投资一览表见表</w:t>
      </w:r>
      <w:r>
        <w:rPr>
          <w:rFonts w:hint="default" w:ascii="Times New Roman" w:hAnsi="Times New Roman" w:eastAsia="宋体" w:cs="Times New Roman"/>
          <w:caps w:val="0"/>
          <w:snapToGrid/>
          <w:color w:val="auto"/>
          <w:spacing w:val="0"/>
          <w:w w:val="100"/>
          <w:kern w:val="21"/>
          <w:position w:val="0"/>
          <w:szCs w:val="24"/>
          <w:highlight w:val="none"/>
          <w:lang w:val="en-US" w:eastAsia="zh-CN"/>
        </w:rPr>
        <w:t>7</w:t>
      </w:r>
      <w:r>
        <w:rPr>
          <w:rFonts w:hint="default" w:ascii="Times New Roman" w:hAnsi="Times New Roman" w:eastAsia="宋体" w:cs="Times New Roman"/>
          <w:caps w:val="0"/>
          <w:snapToGrid/>
          <w:color w:val="auto"/>
          <w:spacing w:val="0"/>
          <w:w w:val="100"/>
          <w:kern w:val="21"/>
          <w:position w:val="0"/>
          <w:szCs w:val="24"/>
          <w:highlight w:val="none"/>
        </w:rPr>
        <w:t>.</w:t>
      </w:r>
      <w:r>
        <w:rPr>
          <w:rFonts w:hint="default" w:ascii="Times New Roman" w:hAnsi="Times New Roman" w:eastAsia="宋体" w:cs="Times New Roman"/>
          <w:caps w:val="0"/>
          <w:snapToGrid/>
          <w:color w:val="auto"/>
          <w:spacing w:val="0"/>
          <w:w w:val="100"/>
          <w:kern w:val="21"/>
          <w:position w:val="0"/>
          <w:szCs w:val="24"/>
          <w:highlight w:val="none"/>
          <w:lang w:val="en-US" w:eastAsia="zh-CN"/>
        </w:rPr>
        <w:t>2</w:t>
      </w:r>
      <w:r>
        <w:rPr>
          <w:rFonts w:hint="default" w:ascii="Times New Roman" w:hAnsi="Times New Roman" w:eastAsia="宋体" w:cs="Times New Roman"/>
          <w:caps w:val="0"/>
          <w:snapToGrid/>
          <w:color w:val="auto"/>
          <w:spacing w:val="0"/>
          <w:w w:val="100"/>
          <w:kern w:val="21"/>
          <w:position w:val="0"/>
          <w:szCs w:val="24"/>
          <w:highlight w:val="none"/>
        </w:rPr>
        <w:t>-1。</w:t>
      </w:r>
    </w:p>
    <w:p w14:paraId="7F04D70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caps w:val="0"/>
          <w:snapToGrid/>
          <w:color w:val="auto"/>
          <w:spacing w:val="0"/>
          <w:w w:val="100"/>
          <w:kern w:val="21"/>
          <w:position w:val="0"/>
          <w:sz w:val="21"/>
          <w:szCs w:val="21"/>
          <w:highlight w:val="none"/>
        </w:rPr>
      </w:pPr>
      <w:r>
        <w:rPr>
          <w:rFonts w:hint="default" w:ascii="Times New Roman" w:hAnsi="Times New Roman" w:eastAsia="宋体" w:cs="Times New Roman"/>
          <w:b/>
          <w:caps w:val="0"/>
          <w:snapToGrid/>
          <w:color w:val="auto"/>
          <w:spacing w:val="0"/>
          <w:w w:val="100"/>
          <w:kern w:val="21"/>
          <w:position w:val="0"/>
          <w:sz w:val="21"/>
          <w:szCs w:val="21"/>
          <w:highlight w:val="none"/>
        </w:rPr>
        <w:t>表</w:t>
      </w:r>
      <w:r>
        <w:rPr>
          <w:rFonts w:hint="default" w:ascii="Times New Roman" w:hAnsi="Times New Roman" w:eastAsia="宋体" w:cs="Times New Roman"/>
          <w:b/>
          <w:caps w:val="0"/>
          <w:snapToGrid/>
          <w:color w:val="auto"/>
          <w:spacing w:val="0"/>
          <w:w w:val="100"/>
          <w:kern w:val="21"/>
          <w:position w:val="0"/>
          <w:sz w:val="21"/>
          <w:szCs w:val="21"/>
          <w:highlight w:val="none"/>
          <w:lang w:val="en-US" w:eastAsia="zh-CN"/>
        </w:rPr>
        <w:t>7</w:t>
      </w:r>
      <w:r>
        <w:rPr>
          <w:rFonts w:hint="default" w:ascii="Times New Roman" w:hAnsi="Times New Roman" w:eastAsia="宋体" w:cs="Times New Roman"/>
          <w:b/>
          <w:caps w:val="0"/>
          <w:snapToGrid/>
          <w:color w:val="auto"/>
          <w:spacing w:val="0"/>
          <w:w w:val="100"/>
          <w:kern w:val="21"/>
          <w:position w:val="0"/>
          <w:sz w:val="21"/>
          <w:szCs w:val="21"/>
          <w:highlight w:val="none"/>
        </w:rPr>
        <w:t>.</w:t>
      </w:r>
      <w:r>
        <w:rPr>
          <w:rFonts w:hint="default" w:ascii="Times New Roman" w:hAnsi="Times New Roman" w:eastAsia="宋体" w:cs="Times New Roman"/>
          <w:b/>
          <w:caps w:val="0"/>
          <w:snapToGrid/>
          <w:color w:val="auto"/>
          <w:spacing w:val="0"/>
          <w:w w:val="100"/>
          <w:kern w:val="21"/>
          <w:position w:val="0"/>
          <w:sz w:val="21"/>
          <w:szCs w:val="21"/>
          <w:highlight w:val="none"/>
          <w:lang w:val="en-US" w:eastAsia="zh-CN"/>
        </w:rPr>
        <w:t>2</w:t>
      </w:r>
      <w:r>
        <w:rPr>
          <w:rFonts w:hint="default" w:ascii="Times New Roman" w:hAnsi="Times New Roman" w:eastAsia="宋体" w:cs="Times New Roman"/>
          <w:b/>
          <w:caps w:val="0"/>
          <w:snapToGrid/>
          <w:color w:val="auto"/>
          <w:spacing w:val="0"/>
          <w:w w:val="100"/>
          <w:kern w:val="21"/>
          <w:position w:val="0"/>
          <w:sz w:val="21"/>
          <w:szCs w:val="21"/>
          <w:highlight w:val="none"/>
        </w:rPr>
        <w:t>-1  建设项目环保投资估算一览表</w:t>
      </w:r>
    </w:p>
    <w:tbl>
      <w:tblPr>
        <w:tblStyle w:val="25"/>
        <w:tblW w:w="500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781"/>
        <w:gridCol w:w="1694"/>
        <w:gridCol w:w="1215"/>
        <w:gridCol w:w="4421"/>
        <w:gridCol w:w="850"/>
      </w:tblGrid>
      <w:tr w14:paraId="21E173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436" w:type="pct"/>
            <w:tcBorders>
              <w:tl2br w:val="nil"/>
              <w:tr2bl w:val="nil"/>
            </w:tcBorders>
            <w:noWrap w:val="0"/>
            <w:vAlign w:val="center"/>
          </w:tcPr>
          <w:p w14:paraId="76FD3081">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rPr>
            </w:pPr>
            <w:bookmarkStart w:id="620" w:name="_Toc18703"/>
            <w:bookmarkStart w:id="621" w:name="_Toc1179"/>
            <w:bookmarkStart w:id="622" w:name="_Toc9305"/>
            <w:bookmarkStart w:id="623" w:name="_Toc13135"/>
            <w:bookmarkStart w:id="624" w:name="_Toc28934"/>
            <w:bookmarkStart w:id="625" w:name="_Toc23279"/>
            <w:bookmarkStart w:id="626" w:name="_Toc536692052"/>
            <w:bookmarkStart w:id="627" w:name="_Toc30272"/>
            <w:bookmarkStart w:id="628" w:name="_Toc2525_WPSOffice_Level3"/>
            <w:r>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rPr>
              <w:t>时期</w:t>
            </w:r>
          </w:p>
        </w:tc>
        <w:tc>
          <w:tcPr>
            <w:tcW w:w="945" w:type="pct"/>
            <w:tcBorders>
              <w:tl2br w:val="nil"/>
              <w:tr2bl w:val="nil"/>
            </w:tcBorders>
            <w:noWrap w:val="0"/>
            <w:vAlign w:val="center"/>
          </w:tcPr>
          <w:p w14:paraId="4E957C5B">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类型</w:t>
            </w:r>
          </w:p>
        </w:tc>
        <w:tc>
          <w:tcPr>
            <w:tcW w:w="677" w:type="pct"/>
            <w:tcBorders>
              <w:tl2br w:val="nil"/>
              <w:tr2bl w:val="nil"/>
            </w:tcBorders>
            <w:noWrap w:val="0"/>
            <w:vAlign w:val="center"/>
          </w:tcPr>
          <w:p w14:paraId="25A16597">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污染工序</w:t>
            </w:r>
          </w:p>
        </w:tc>
        <w:tc>
          <w:tcPr>
            <w:tcW w:w="2466" w:type="pct"/>
            <w:tcBorders>
              <w:tl2br w:val="nil"/>
              <w:tr2bl w:val="nil"/>
            </w:tcBorders>
            <w:noWrap w:val="0"/>
            <w:vAlign w:val="center"/>
          </w:tcPr>
          <w:p w14:paraId="566454DC">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环保措施</w:t>
            </w:r>
          </w:p>
        </w:tc>
        <w:tc>
          <w:tcPr>
            <w:tcW w:w="474" w:type="pct"/>
            <w:tcBorders>
              <w:tl2br w:val="nil"/>
              <w:tr2bl w:val="nil"/>
            </w:tcBorders>
            <w:noWrap w:val="0"/>
            <w:vAlign w:val="center"/>
          </w:tcPr>
          <w:p w14:paraId="1C834075">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投资</w:t>
            </w:r>
          </w:p>
          <w:p w14:paraId="50FD5734">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lang w:eastAsia="zh-CN"/>
              </w:rPr>
              <w:t>（</w:t>
            </w:r>
            <w:r>
              <w:rPr>
                <w:rFonts w:hint="default" w:ascii="Times New Roman" w:hAnsi="Times New Roman" w:eastAsia="宋体" w:cs="Times New Roman"/>
                <w:b/>
                <w:bCs/>
                <w:caps w:val="0"/>
                <w:snapToGrid/>
                <w:color w:val="auto"/>
                <w:spacing w:val="0"/>
                <w:w w:val="100"/>
                <w:kern w:val="21"/>
                <w:position w:val="0"/>
                <w:sz w:val="21"/>
                <w:szCs w:val="21"/>
                <w:highlight w:val="none"/>
              </w:rPr>
              <w:t>万元</w:t>
            </w:r>
            <w:r>
              <w:rPr>
                <w:rFonts w:hint="default" w:ascii="Times New Roman" w:hAnsi="Times New Roman" w:eastAsia="宋体" w:cs="Times New Roman"/>
                <w:b/>
                <w:bCs/>
                <w:caps w:val="0"/>
                <w:snapToGrid/>
                <w:color w:val="auto"/>
                <w:spacing w:val="0"/>
                <w:w w:val="100"/>
                <w:kern w:val="21"/>
                <w:position w:val="0"/>
                <w:sz w:val="21"/>
                <w:szCs w:val="21"/>
                <w:highlight w:val="none"/>
                <w:lang w:eastAsia="zh-CN"/>
              </w:rPr>
              <w:t>）</w:t>
            </w:r>
          </w:p>
        </w:tc>
      </w:tr>
      <w:tr w14:paraId="4CF6CE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436" w:type="pct"/>
            <w:vMerge w:val="restart"/>
            <w:tcBorders>
              <w:tl2br w:val="nil"/>
              <w:tr2bl w:val="nil"/>
            </w:tcBorders>
            <w:noWrap w:val="0"/>
            <w:vAlign w:val="center"/>
          </w:tcPr>
          <w:p w14:paraId="76083CB5">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施工期</w:t>
            </w:r>
          </w:p>
        </w:tc>
        <w:tc>
          <w:tcPr>
            <w:tcW w:w="945" w:type="pct"/>
            <w:tcBorders>
              <w:tl2br w:val="nil"/>
              <w:tr2bl w:val="nil"/>
            </w:tcBorders>
            <w:noWrap w:val="0"/>
            <w:vAlign w:val="center"/>
          </w:tcPr>
          <w:p w14:paraId="593115FB">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废气</w:t>
            </w:r>
          </w:p>
        </w:tc>
        <w:tc>
          <w:tcPr>
            <w:tcW w:w="677" w:type="pct"/>
            <w:tcBorders>
              <w:tl2br w:val="nil"/>
              <w:tr2bl w:val="nil"/>
            </w:tcBorders>
            <w:noWrap w:val="0"/>
            <w:vAlign w:val="center"/>
          </w:tcPr>
          <w:p w14:paraId="58AC8FAD">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运输扬尘、施工机械废气</w:t>
            </w:r>
          </w:p>
        </w:tc>
        <w:tc>
          <w:tcPr>
            <w:tcW w:w="2466" w:type="pct"/>
            <w:tcBorders>
              <w:tl2br w:val="nil"/>
              <w:tr2bl w:val="nil"/>
            </w:tcBorders>
            <w:noWrap w:val="0"/>
            <w:vAlign w:val="center"/>
          </w:tcPr>
          <w:p w14:paraId="624600A4">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道路洒水降尘</w:t>
            </w:r>
            <w:r>
              <w:rPr>
                <w:rFonts w:hint="eastAsia" w:cs="Times New Roman"/>
                <w:caps w:val="0"/>
                <w:snapToGrid/>
                <w:color w:val="auto"/>
                <w:spacing w:val="0"/>
                <w:w w:val="100"/>
                <w:kern w:val="21"/>
                <w:position w:val="0"/>
                <w:sz w:val="21"/>
                <w:szCs w:val="21"/>
                <w:highlight w:val="none"/>
                <w:lang w:val="en-US" w:eastAsia="zh-CN"/>
              </w:rPr>
              <w:t>，施工围挡。</w:t>
            </w:r>
          </w:p>
        </w:tc>
        <w:tc>
          <w:tcPr>
            <w:tcW w:w="474" w:type="pct"/>
            <w:tcBorders>
              <w:tl2br w:val="nil"/>
              <w:tr2bl w:val="nil"/>
            </w:tcBorders>
            <w:noWrap w:val="0"/>
            <w:vAlign w:val="center"/>
          </w:tcPr>
          <w:p w14:paraId="3E4107C2">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1.0</w:t>
            </w:r>
          </w:p>
        </w:tc>
      </w:tr>
      <w:tr w14:paraId="46A655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436" w:type="pct"/>
            <w:vMerge w:val="continue"/>
            <w:tcBorders>
              <w:tl2br w:val="nil"/>
              <w:tr2bl w:val="nil"/>
            </w:tcBorders>
            <w:noWrap w:val="0"/>
            <w:vAlign w:val="center"/>
          </w:tcPr>
          <w:p w14:paraId="3855C2FC">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p>
        </w:tc>
        <w:tc>
          <w:tcPr>
            <w:tcW w:w="945" w:type="pct"/>
            <w:tcBorders>
              <w:tl2br w:val="nil"/>
              <w:tr2bl w:val="nil"/>
            </w:tcBorders>
            <w:noWrap w:val="0"/>
            <w:vAlign w:val="center"/>
          </w:tcPr>
          <w:p w14:paraId="275314AF">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噪声</w:t>
            </w:r>
          </w:p>
        </w:tc>
        <w:tc>
          <w:tcPr>
            <w:tcW w:w="677" w:type="pct"/>
            <w:tcBorders>
              <w:tl2br w:val="nil"/>
              <w:tr2bl w:val="nil"/>
            </w:tcBorders>
            <w:noWrap w:val="0"/>
            <w:vAlign w:val="center"/>
          </w:tcPr>
          <w:p w14:paraId="16AAA117">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设备噪声</w:t>
            </w:r>
          </w:p>
        </w:tc>
        <w:tc>
          <w:tcPr>
            <w:tcW w:w="2466" w:type="pct"/>
            <w:tcBorders>
              <w:tl2br w:val="nil"/>
              <w:tr2bl w:val="nil"/>
            </w:tcBorders>
            <w:noWrap w:val="0"/>
            <w:vAlign w:val="center"/>
          </w:tcPr>
          <w:p w14:paraId="44CF2AB1">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合理安排施工运输路线；合理安排强噪声施工机械工作频次；合理安排施工时间</w:t>
            </w:r>
            <w:r>
              <w:rPr>
                <w:rFonts w:hint="eastAsia" w:cs="Times New Roman"/>
                <w:caps w:val="0"/>
                <w:snapToGrid/>
                <w:color w:val="auto"/>
                <w:spacing w:val="0"/>
                <w:w w:val="100"/>
                <w:kern w:val="21"/>
                <w:position w:val="0"/>
                <w:sz w:val="21"/>
                <w:szCs w:val="21"/>
                <w:highlight w:val="none"/>
                <w:lang w:val="en-US" w:eastAsia="zh-CN"/>
              </w:rPr>
              <w:t>。</w:t>
            </w:r>
          </w:p>
        </w:tc>
        <w:tc>
          <w:tcPr>
            <w:tcW w:w="474" w:type="pct"/>
            <w:tcBorders>
              <w:tl2br w:val="nil"/>
              <w:tr2bl w:val="nil"/>
            </w:tcBorders>
            <w:noWrap w:val="0"/>
            <w:vAlign w:val="center"/>
          </w:tcPr>
          <w:p w14:paraId="2F3B103D">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1.0</w:t>
            </w:r>
          </w:p>
        </w:tc>
      </w:tr>
      <w:tr w14:paraId="0FB4B2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436" w:type="pct"/>
            <w:vMerge w:val="continue"/>
            <w:tcBorders>
              <w:tl2br w:val="nil"/>
              <w:tr2bl w:val="nil"/>
            </w:tcBorders>
            <w:noWrap w:val="0"/>
            <w:vAlign w:val="center"/>
          </w:tcPr>
          <w:p w14:paraId="409026D4">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p>
        </w:tc>
        <w:tc>
          <w:tcPr>
            <w:tcW w:w="945" w:type="pct"/>
            <w:vMerge w:val="restart"/>
            <w:tcBorders>
              <w:tl2br w:val="nil"/>
              <w:tr2bl w:val="nil"/>
            </w:tcBorders>
            <w:noWrap w:val="0"/>
            <w:vAlign w:val="center"/>
          </w:tcPr>
          <w:p w14:paraId="7BE48D24">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固废</w:t>
            </w:r>
          </w:p>
        </w:tc>
        <w:tc>
          <w:tcPr>
            <w:tcW w:w="677" w:type="pct"/>
            <w:tcBorders>
              <w:tl2br w:val="nil"/>
              <w:tr2bl w:val="nil"/>
            </w:tcBorders>
            <w:noWrap w:val="0"/>
            <w:vAlign w:val="center"/>
          </w:tcPr>
          <w:p w14:paraId="0EFFDD88">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生活垃圾</w:t>
            </w:r>
          </w:p>
        </w:tc>
        <w:tc>
          <w:tcPr>
            <w:tcW w:w="2466" w:type="pct"/>
            <w:tcBorders>
              <w:tl2br w:val="nil"/>
              <w:tr2bl w:val="nil"/>
            </w:tcBorders>
            <w:noWrap w:val="0"/>
            <w:vAlign w:val="center"/>
          </w:tcPr>
          <w:p w14:paraId="268F33B1">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垃圾箱集中收集后由环卫部门定期</w:t>
            </w:r>
            <w:r>
              <w:rPr>
                <w:rFonts w:hint="default" w:ascii="Times New Roman" w:hAnsi="Times New Roman" w:eastAsia="宋体" w:cs="Times New Roman"/>
                <w:caps w:val="0"/>
                <w:snapToGrid/>
                <w:color w:val="auto"/>
                <w:spacing w:val="0"/>
                <w:w w:val="100"/>
                <w:kern w:val="21"/>
                <w:position w:val="0"/>
                <w:sz w:val="21"/>
                <w:szCs w:val="21"/>
                <w:highlight w:val="none"/>
              </w:rPr>
              <w:t>清运</w:t>
            </w:r>
            <w:r>
              <w:rPr>
                <w:rFonts w:hint="eastAsia" w:cs="Times New Roman"/>
                <w:caps w:val="0"/>
                <w:snapToGrid/>
                <w:color w:val="auto"/>
                <w:spacing w:val="0"/>
                <w:w w:val="100"/>
                <w:kern w:val="21"/>
                <w:position w:val="0"/>
                <w:sz w:val="21"/>
                <w:szCs w:val="21"/>
                <w:highlight w:val="none"/>
                <w:lang w:eastAsia="zh-CN"/>
              </w:rPr>
              <w:t>。</w:t>
            </w:r>
          </w:p>
        </w:tc>
        <w:tc>
          <w:tcPr>
            <w:tcW w:w="474" w:type="pct"/>
            <w:tcBorders>
              <w:tl2br w:val="nil"/>
              <w:tr2bl w:val="nil"/>
            </w:tcBorders>
            <w:noWrap w:val="0"/>
            <w:vAlign w:val="center"/>
          </w:tcPr>
          <w:p w14:paraId="58AC385E">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0.3</w:t>
            </w:r>
          </w:p>
        </w:tc>
      </w:tr>
      <w:tr w14:paraId="3BB593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436" w:type="pct"/>
            <w:vMerge w:val="continue"/>
            <w:tcBorders>
              <w:tl2br w:val="nil"/>
              <w:tr2bl w:val="nil"/>
            </w:tcBorders>
            <w:noWrap w:val="0"/>
            <w:vAlign w:val="center"/>
          </w:tcPr>
          <w:p w14:paraId="31D32A89">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p>
        </w:tc>
        <w:tc>
          <w:tcPr>
            <w:tcW w:w="945" w:type="pct"/>
            <w:vMerge w:val="continue"/>
            <w:tcBorders>
              <w:tl2br w:val="nil"/>
              <w:tr2bl w:val="nil"/>
            </w:tcBorders>
            <w:noWrap w:val="0"/>
            <w:vAlign w:val="center"/>
          </w:tcPr>
          <w:p w14:paraId="7062A004">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p>
        </w:tc>
        <w:tc>
          <w:tcPr>
            <w:tcW w:w="677" w:type="pct"/>
            <w:tcBorders>
              <w:tl2br w:val="nil"/>
              <w:tr2bl w:val="nil"/>
            </w:tcBorders>
            <w:noWrap w:val="0"/>
            <w:vAlign w:val="center"/>
          </w:tcPr>
          <w:p w14:paraId="39CA4660">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建筑垃圾</w:t>
            </w:r>
          </w:p>
        </w:tc>
        <w:tc>
          <w:tcPr>
            <w:tcW w:w="2466" w:type="pct"/>
            <w:tcBorders>
              <w:tl2br w:val="nil"/>
              <w:tr2bl w:val="nil"/>
            </w:tcBorders>
            <w:noWrap w:val="0"/>
            <w:vAlign w:val="center"/>
          </w:tcPr>
          <w:p w14:paraId="499463E5">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按要求设置收集设施，充分利用回收，不可回收部分运往市政部门指定地点</w:t>
            </w:r>
          </w:p>
        </w:tc>
        <w:tc>
          <w:tcPr>
            <w:tcW w:w="474" w:type="pct"/>
            <w:tcBorders>
              <w:tl2br w:val="nil"/>
              <w:tr2bl w:val="nil"/>
            </w:tcBorders>
            <w:noWrap w:val="0"/>
            <w:vAlign w:val="center"/>
          </w:tcPr>
          <w:p w14:paraId="47B08CAA">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1.0</w:t>
            </w:r>
          </w:p>
        </w:tc>
      </w:tr>
      <w:tr w14:paraId="5E39F1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387" w:hRule="atLeast"/>
          <w:jc w:val="center"/>
        </w:trPr>
        <w:tc>
          <w:tcPr>
            <w:tcW w:w="436" w:type="pct"/>
            <w:vMerge w:val="restart"/>
            <w:tcBorders>
              <w:tl2br w:val="nil"/>
              <w:tr2bl w:val="nil"/>
            </w:tcBorders>
            <w:noWrap w:val="0"/>
            <w:vAlign w:val="center"/>
          </w:tcPr>
          <w:p w14:paraId="275464BB">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运营期</w:t>
            </w:r>
          </w:p>
        </w:tc>
        <w:tc>
          <w:tcPr>
            <w:tcW w:w="945" w:type="pct"/>
            <w:vMerge w:val="restart"/>
            <w:tcBorders>
              <w:tl2br w:val="nil"/>
              <w:tr2bl w:val="nil"/>
            </w:tcBorders>
            <w:noWrap w:val="0"/>
            <w:vAlign w:val="center"/>
          </w:tcPr>
          <w:p w14:paraId="3D8D9EBA">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21"/>
                <w:position w:val="0"/>
                <w:sz w:val="21"/>
                <w:szCs w:val="21"/>
                <w:highlight w:val="none"/>
                <w:lang w:eastAsia="zh"/>
              </w:rPr>
            </w:pPr>
            <w:r>
              <w:rPr>
                <w:rFonts w:hint="eastAsia" w:cs="Times New Roman"/>
                <w:caps w:val="0"/>
                <w:snapToGrid/>
                <w:color w:val="auto"/>
                <w:spacing w:val="0"/>
                <w:w w:val="100"/>
                <w:kern w:val="21"/>
                <w:position w:val="0"/>
                <w:sz w:val="21"/>
                <w:szCs w:val="21"/>
                <w:highlight w:val="none"/>
                <w:lang w:eastAsia="zh"/>
              </w:rPr>
              <w:t>废气</w:t>
            </w:r>
          </w:p>
        </w:tc>
        <w:tc>
          <w:tcPr>
            <w:tcW w:w="677" w:type="pct"/>
            <w:vMerge w:val="restart"/>
            <w:tcBorders>
              <w:tl2br w:val="nil"/>
              <w:tr2bl w:val="nil"/>
            </w:tcBorders>
            <w:noWrap w:val="0"/>
            <w:vAlign w:val="center"/>
          </w:tcPr>
          <w:p w14:paraId="4FDC556F">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eastAsia" w:cs="Times New Roman"/>
                <w:caps w:val="0"/>
                <w:snapToGrid/>
                <w:color w:val="auto"/>
                <w:spacing w:val="0"/>
                <w:w w:val="100"/>
                <w:kern w:val="21"/>
                <w:position w:val="0"/>
                <w:sz w:val="21"/>
                <w:szCs w:val="21"/>
                <w:highlight w:val="none"/>
                <w:lang w:val="en-US" w:eastAsia="zh-CN"/>
              </w:rPr>
              <w:t>铝塑复合板</w:t>
            </w: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rPr>
              <w:t>生产线</w:t>
            </w:r>
          </w:p>
        </w:tc>
        <w:tc>
          <w:tcPr>
            <w:tcW w:w="2466" w:type="pct"/>
            <w:tcBorders>
              <w:tl2br w:val="nil"/>
              <w:tr2bl w:val="nil"/>
            </w:tcBorders>
            <w:noWrap w:val="0"/>
            <w:vAlign w:val="center"/>
          </w:tcPr>
          <w:p w14:paraId="5FA21378">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颗粒物经布袋除尘器处理后由15m排气筒（DA001）排放</w:t>
            </w:r>
          </w:p>
        </w:tc>
        <w:tc>
          <w:tcPr>
            <w:tcW w:w="474" w:type="pct"/>
            <w:tcBorders>
              <w:tl2br w:val="nil"/>
              <w:tr2bl w:val="nil"/>
            </w:tcBorders>
            <w:noWrap w:val="0"/>
            <w:vAlign w:val="center"/>
          </w:tcPr>
          <w:p w14:paraId="5867A933">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10</w:t>
            </w:r>
          </w:p>
        </w:tc>
      </w:tr>
      <w:tr w14:paraId="088071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387" w:hRule="atLeast"/>
          <w:jc w:val="center"/>
        </w:trPr>
        <w:tc>
          <w:tcPr>
            <w:tcW w:w="436" w:type="pct"/>
            <w:vMerge w:val="continue"/>
            <w:tcBorders>
              <w:tl2br w:val="nil"/>
              <w:tr2bl w:val="nil"/>
            </w:tcBorders>
            <w:noWrap w:val="0"/>
            <w:vAlign w:val="center"/>
          </w:tcPr>
          <w:p w14:paraId="1CB14300">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c>
          <w:tcPr>
            <w:tcW w:w="945" w:type="pct"/>
            <w:vMerge w:val="continue"/>
            <w:tcBorders>
              <w:tl2br w:val="nil"/>
              <w:tr2bl w:val="nil"/>
            </w:tcBorders>
            <w:noWrap w:val="0"/>
            <w:vAlign w:val="center"/>
          </w:tcPr>
          <w:p w14:paraId="1255D542">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21"/>
                <w:position w:val="0"/>
                <w:sz w:val="21"/>
                <w:szCs w:val="21"/>
                <w:highlight w:val="none"/>
                <w:lang w:eastAsia="zh"/>
              </w:rPr>
            </w:pPr>
          </w:p>
        </w:tc>
        <w:tc>
          <w:tcPr>
            <w:tcW w:w="677" w:type="pct"/>
            <w:vMerge w:val="continue"/>
            <w:tcBorders>
              <w:tl2br w:val="nil"/>
              <w:tr2bl w:val="nil"/>
            </w:tcBorders>
            <w:shd w:val="clear" w:color="auto" w:fill="auto"/>
            <w:noWrap w:val="0"/>
            <w:vAlign w:val="center"/>
          </w:tcPr>
          <w:p w14:paraId="616EA19C">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p>
        </w:tc>
        <w:tc>
          <w:tcPr>
            <w:tcW w:w="2466" w:type="pct"/>
            <w:tcBorders>
              <w:tl2br w:val="nil"/>
              <w:tr2bl w:val="nil"/>
            </w:tcBorders>
            <w:shd w:val="clear" w:color="auto" w:fill="auto"/>
            <w:noWrap w:val="0"/>
            <w:vAlign w:val="center"/>
          </w:tcPr>
          <w:p w14:paraId="69AC97C4">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rPr>
              <w:t>有机废气经</w:t>
            </w:r>
            <w:r>
              <w:rPr>
                <w:rFonts w:hint="eastAsia" w:cs="Times New Roman"/>
                <w:caps w:val="0"/>
                <w:snapToGrid/>
                <w:color w:val="auto"/>
                <w:spacing w:val="0"/>
                <w:w w:val="100"/>
                <w:kern w:val="21"/>
                <w:position w:val="0"/>
                <w:sz w:val="21"/>
                <w:szCs w:val="21"/>
                <w:highlight w:val="none"/>
                <w:lang w:val="en-US" w:eastAsia="zh-CN"/>
              </w:rPr>
              <w:t>“</w:t>
            </w: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活性炭吸附脱附-催化燃烧装置</w:t>
            </w:r>
            <w:r>
              <w:rPr>
                <w:rFonts w:hint="eastAsia" w:cs="Times New Roman"/>
                <w:caps w:val="0"/>
                <w:snapToGrid/>
                <w:color w:val="auto"/>
                <w:spacing w:val="0"/>
                <w:w w:val="100"/>
                <w:kern w:val="21"/>
                <w:position w:val="0"/>
                <w:sz w:val="21"/>
                <w:szCs w:val="21"/>
                <w:highlight w:val="none"/>
                <w:lang w:val="en-US" w:eastAsia="zh-CN"/>
              </w:rPr>
              <w:t>”</w:t>
            </w: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rPr>
              <w:t>+</w:t>
            </w:r>
            <w:r>
              <w:rPr>
                <w:rFonts w:hint="eastAsia" w:cs="Times New Roman"/>
                <w:caps w:val="0"/>
                <w:snapToGrid/>
                <w:color w:val="auto"/>
                <w:spacing w:val="0"/>
                <w:w w:val="100"/>
                <w:kern w:val="21"/>
                <w:position w:val="0"/>
                <w:sz w:val="21"/>
                <w:szCs w:val="21"/>
                <w:highlight w:val="none"/>
                <w:lang w:val="en-US" w:eastAsia="zh-CN"/>
              </w:rPr>
              <w:t>10m排气筒</w:t>
            </w: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rPr>
              <w:t>（DA00</w:t>
            </w:r>
            <w:r>
              <w:rPr>
                <w:rFonts w:hint="eastAsia" w:cs="Times New Roman"/>
                <w:caps w:val="0"/>
                <w:snapToGrid/>
                <w:color w:val="auto"/>
                <w:spacing w:val="0"/>
                <w:w w:val="100"/>
                <w:kern w:val="21"/>
                <w:position w:val="0"/>
                <w:sz w:val="21"/>
                <w:szCs w:val="21"/>
                <w:highlight w:val="none"/>
                <w:lang w:val="en-US" w:eastAsia="zh-CN"/>
              </w:rPr>
              <w:t>2</w:t>
            </w: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rPr>
              <w:t>）排放</w:t>
            </w:r>
          </w:p>
        </w:tc>
        <w:tc>
          <w:tcPr>
            <w:tcW w:w="474" w:type="pct"/>
            <w:tcBorders>
              <w:tl2br w:val="nil"/>
              <w:tr2bl w:val="nil"/>
            </w:tcBorders>
            <w:shd w:val="clear" w:color="auto" w:fill="auto"/>
            <w:noWrap w:val="0"/>
            <w:vAlign w:val="center"/>
          </w:tcPr>
          <w:p w14:paraId="37FF7BBB">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eastAsia" w:cs="Times New Roman"/>
                <w:caps w:val="0"/>
                <w:snapToGrid/>
                <w:color w:val="auto"/>
                <w:spacing w:val="0"/>
                <w:w w:val="100"/>
                <w:kern w:val="21"/>
                <w:position w:val="0"/>
                <w:sz w:val="21"/>
                <w:szCs w:val="21"/>
                <w:highlight w:val="none"/>
                <w:lang w:val="en-US" w:eastAsia="zh-CN"/>
              </w:rPr>
              <w:t>25</w:t>
            </w:r>
          </w:p>
        </w:tc>
      </w:tr>
      <w:tr w14:paraId="05F3D8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387" w:hRule="atLeast"/>
          <w:jc w:val="center"/>
        </w:trPr>
        <w:tc>
          <w:tcPr>
            <w:tcW w:w="436" w:type="pct"/>
            <w:vMerge w:val="continue"/>
            <w:tcBorders>
              <w:tl2br w:val="nil"/>
              <w:tr2bl w:val="nil"/>
            </w:tcBorders>
            <w:noWrap w:val="0"/>
            <w:vAlign w:val="center"/>
          </w:tcPr>
          <w:p w14:paraId="78DF14F7">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c>
          <w:tcPr>
            <w:tcW w:w="945" w:type="pct"/>
            <w:tcBorders>
              <w:tl2br w:val="nil"/>
              <w:tr2bl w:val="nil"/>
            </w:tcBorders>
            <w:shd w:val="clear" w:color="auto" w:fill="auto"/>
            <w:noWrap w:val="0"/>
            <w:vAlign w:val="center"/>
          </w:tcPr>
          <w:p w14:paraId="78041CC3">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rPr>
              <w:t>噪声</w:t>
            </w:r>
          </w:p>
        </w:tc>
        <w:tc>
          <w:tcPr>
            <w:tcW w:w="677" w:type="pct"/>
            <w:tcBorders>
              <w:tl2br w:val="nil"/>
              <w:tr2bl w:val="nil"/>
            </w:tcBorders>
            <w:shd w:val="clear" w:color="auto" w:fill="auto"/>
            <w:noWrap w:val="0"/>
            <w:vAlign w:val="center"/>
          </w:tcPr>
          <w:p w14:paraId="7D5EBB26">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rPr>
              <w:t>设备噪声</w:t>
            </w:r>
          </w:p>
        </w:tc>
        <w:tc>
          <w:tcPr>
            <w:tcW w:w="2466" w:type="pct"/>
            <w:tcBorders>
              <w:tl2br w:val="nil"/>
              <w:tr2bl w:val="nil"/>
            </w:tcBorders>
            <w:shd w:val="clear" w:color="auto" w:fill="auto"/>
            <w:noWrap w:val="0"/>
            <w:vAlign w:val="center"/>
          </w:tcPr>
          <w:p w14:paraId="25A3C091">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选用低噪声设备、基础减振、厂房隔声</w:t>
            </w:r>
          </w:p>
        </w:tc>
        <w:tc>
          <w:tcPr>
            <w:tcW w:w="474" w:type="pct"/>
            <w:tcBorders>
              <w:tl2br w:val="nil"/>
              <w:tr2bl w:val="nil"/>
            </w:tcBorders>
            <w:shd w:val="clear" w:color="auto" w:fill="auto"/>
            <w:noWrap w:val="0"/>
            <w:vAlign w:val="center"/>
          </w:tcPr>
          <w:p w14:paraId="08A3B16B">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21"/>
                <w:position w:val="0"/>
                <w:sz w:val="21"/>
                <w:szCs w:val="21"/>
                <w:highlight w:val="none"/>
                <w:lang w:val="en-US" w:eastAsia="zh" w:bidi="ar-SA"/>
              </w:rPr>
            </w:pPr>
            <w:r>
              <w:rPr>
                <w:rFonts w:hint="eastAsia" w:cs="Times New Roman"/>
                <w:caps w:val="0"/>
                <w:snapToGrid/>
                <w:color w:val="auto"/>
                <w:spacing w:val="0"/>
                <w:w w:val="100"/>
                <w:kern w:val="21"/>
                <w:position w:val="0"/>
                <w:sz w:val="21"/>
                <w:szCs w:val="21"/>
                <w:highlight w:val="none"/>
                <w:lang w:val="en-US" w:eastAsia="zh-CN"/>
              </w:rPr>
              <w:t>5</w:t>
            </w:r>
          </w:p>
        </w:tc>
      </w:tr>
      <w:tr w14:paraId="391B0B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387" w:hRule="atLeast"/>
          <w:jc w:val="center"/>
        </w:trPr>
        <w:tc>
          <w:tcPr>
            <w:tcW w:w="436" w:type="pct"/>
            <w:vMerge w:val="continue"/>
            <w:tcBorders>
              <w:tl2br w:val="nil"/>
              <w:tr2bl w:val="nil"/>
            </w:tcBorders>
            <w:noWrap w:val="0"/>
            <w:vAlign w:val="center"/>
          </w:tcPr>
          <w:p w14:paraId="7ECD1889">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c>
          <w:tcPr>
            <w:tcW w:w="945" w:type="pct"/>
            <w:tcBorders>
              <w:tl2br w:val="nil"/>
              <w:tr2bl w:val="nil"/>
            </w:tcBorders>
            <w:shd w:val="clear" w:color="auto" w:fill="auto"/>
            <w:noWrap w:val="0"/>
            <w:vAlign w:val="center"/>
          </w:tcPr>
          <w:p w14:paraId="6080778D">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rPr>
              <w:t>废水</w:t>
            </w:r>
          </w:p>
        </w:tc>
        <w:tc>
          <w:tcPr>
            <w:tcW w:w="677" w:type="pct"/>
            <w:tcBorders>
              <w:tl2br w:val="nil"/>
              <w:tr2bl w:val="nil"/>
            </w:tcBorders>
            <w:shd w:val="clear" w:color="auto" w:fill="auto"/>
            <w:noWrap w:val="0"/>
            <w:vAlign w:val="center"/>
          </w:tcPr>
          <w:p w14:paraId="01B42877">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rPr>
              <w:t>生活污水</w:t>
            </w:r>
          </w:p>
        </w:tc>
        <w:tc>
          <w:tcPr>
            <w:tcW w:w="2466" w:type="pct"/>
            <w:tcBorders>
              <w:tl2br w:val="nil"/>
              <w:tr2bl w:val="nil"/>
            </w:tcBorders>
            <w:shd w:val="clear" w:color="auto" w:fill="auto"/>
            <w:noWrap w:val="0"/>
            <w:vAlign w:val="center"/>
          </w:tcPr>
          <w:p w14:paraId="658355D2">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eastAsia" w:ascii="Times New Roman" w:hAnsi="Times New Roman" w:cs="Times New Roman"/>
                <w:caps w:val="0"/>
                <w:snapToGrid/>
                <w:color w:val="auto"/>
                <w:spacing w:val="0"/>
                <w:w w:val="100"/>
                <w:kern w:val="21"/>
                <w:position w:val="0"/>
                <w:sz w:val="21"/>
                <w:szCs w:val="21"/>
                <w:highlight w:val="none"/>
                <w:lang w:val="en-US" w:eastAsia="zh-CN"/>
              </w:rPr>
              <w:t>排入园区管网，纳入</w:t>
            </w:r>
            <w:r>
              <w:rPr>
                <w:rFonts w:hint="eastAsia" w:cs="Times New Roman"/>
                <w:caps w:val="0"/>
                <w:snapToGrid/>
                <w:color w:val="auto"/>
                <w:spacing w:val="0"/>
                <w:w w:val="100"/>
                <w:kern w:val="21"/>
                <w:position w:val="0"/>
                <w:sz w:val="21"/>
                <w:szCs w:val="21"/>
                <w:highlight w:val="none"/>
                <w:lang w:val="en-US" w:eastAsia="zh-CN"/>
              </w:rPr>
              <w:t>阜西区污水处理厂</w:t>
            </w:r>
            <w:r>
              <w:rPr>
                <w:rFonts w:hint="eastAsia" w:ascii="Times New Roman" w:hAnsi="Times New Roman" w:cs="Times New Roman"/>
                <w:caps w:val="0"/>
                <w:snapToGrid/>
                <w:color w:val="auto"/>
                <w:spacing w:val="0"/>
                <w:w w:val="100"/>
                <w:kern w:val="21"/>
                <w:position w:val="0"/>
                <w:sz w:val="21"/>
                <w:szCs w:val="21"/>
                <w:highlight w:val="none"/>
                <w:lang w:val="en-US" w:eastAsia="zh-CN"/>
              </w:rPr>
              <w:t>处理</w:t>
            </w:r>
          </w:p>
        </w:tc>
        <w:tc>
          <w:tcPr>
            <w:tcW w:w="474" w:type="pct"/>
            <w:tcBorders>
              <w:tl2br w:val="nil"/>
              <w:tr2bl w:val="nil"/>
            </w:tcBorders>
            <w:shd w:val="clear" w:color="auto" w:fill="auto"/>
            <w:noWrap w:val="0"/>
            <w:vAlign w:val="center"/>
          </w:tcPr>
          <w:p w14:paraId="12AF4FB5">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eastAsia" w:cs="Times New Roman"/>
                <w:caps w:val="0"/>
                <w:snapToGrid/>
                <w:color w:val="auto"/>
                <w:spacing w:val="0"/>
                <w:w w:val="100"/>
                <w:kern w:val="21"/>
                <w:position w:val="0"/>
                <w:sz w:val="21"/>
                <w:szCs w:val="21"/>
                <w:highlight w:val="none"/>
                <w:lang w:val="en-US" w:eastAsia="zh-CN"/>
              </w:rPr>
              <w:t>0.5</w:t>
            </w:r>
          </w:p>
        </w:tc>
      </w:tr>
      <w:tr w14:paraId="38C6B8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387" w:hRule="atLeast"/>
          <w:jc w:val="center"/>
        </w:trPr>
        <w:tc>
          <w:tcPr>
            <w:tcW w:w="436" w:type="pct"/>
            <w:vMerge w:val="continue"/>
            <w:tcBorders>
              <w:tl2br w:val="nil"/>
              <w:tr2bl w:val="nil"/>
            </w:tcBorders>
            <w:noWrap w:val="0"/>
            <w:vAlign w:val="center"/>
          </w:tcPr>
          <w:p w14:paraId="3893BA4B">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c>
          <w:tcPr>
            <w:tcW w:w="945" w:type="pct"/>
            <w:vMerge w:val="restart"/>
            <w:tcBorders>
              <w:tl2br w:val="nil"/>
              <w:tr2bl w:val="nil"/>
            </w:tcBorders>
            <w:shd w:val="clear" w:color="auto" w:fill="auto"/>
            <w:noWrap w:val="0"/>
            <w:vAlign w:val="center"/>
          </w:tcPr>
          <w:p w14:paraId="2CC934C0">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rPr>
              <w:t>固废</w:t>
            </w:r>
          </w:p>
        </w:tc>
        <w:tc>
          <w:tcPr>
            <w:tcW w:w="677" w:type="pct"/>
            <w:tcBorders>
              <w:tl2br w:val="nil"/>
              <w:tr2bl w:val="nil"/>
            </w:tcBorders>
            <w:shd w:val="clear" w:color="auto" w:fill="auto"/>
            <w:noWrap w:val="0"/>
            <w:vAlign w:val="center"/>
          </w:tcPr>
          <w:p w14:paraId="77F71BAA">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rPr>
              <w:t>危险废物</w:t>
            </w:r>
          </w:p>
        </w:tc>
        <w:tc>
          <w:tcPr>
            <w:tcW w:w="2466" w:type="pct"/>
            <w:tcBorders>
              <w:tl2br w:val="nil"/>
              <w:tr2bl w:val="nil"/>
            </w:tcBorders>
            <w:shd w:val="clear" w:color="auto" w:fill="auto"/>
            <w:noWrap w:val="0"/>
            <w:vAlign w:val="center"/>
          </w:tcPr>
          <w:p w14:paraId="1967A6F2">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eastAsia" w:cs="Times New Roman"/>
                <w:caps w:val="0"/>
                <w:snapToGrid/>
                <w:color w:val="auto"/>
                <w:spacing w:val="0"/>
                <w:w w:val="100"/>
                <w:kern w:val="21"/>
                <w:position w:val="0"/>
                <w:sz w:val="21"/>
                <w:szCs w:val="21"/>
                <w:highlight w:val="none"/>
                <w:lang w:val="en-US" w:eastAsia="zh-CN"/>
              </w:rPr>
              <w:t>新建</w:t>
            </w: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1座危废贮存库，危险废物</w:t>
            </w:r>
            <w:r>
              <w:rPr>
                <w:rFonts w:hint="default" w:ascii="Times New Roman" w:hAnsi="Times New Roman" w:eastAsia="宋体" w:cs="Times New Roman"/>
                <w:caps w:val="0"/>
                <w:snapToGrid/>
                <w:color w:val="auto"/>
                <w:spacing w:val="0"/>
                <w:w w:val="100"/>
                <w:kern w:val="21"/>
                <w:position w:val="0"/>
                <w:sz w:val="21"/>
                <w:szCs w:val="21"/>
                <w:highlight w:val="none"/>
              </w:rPr>
              <w:t>暂存于</w:t>
            </w:r>
            <w:r>
              <w:rPr>
                <w:rFonts w:hint="default" w:ascii="Times New Roman" w:hAnsi="Times New Roman" w:eastAsia="宋体" w:cs="Times New Roman"/>
                <w:caps w:val="0"/>
                <w:snapToGrid/>
                <w:color w:val="auto"/>
                <w:spacing w:val="0"/>
                <w:w w:val="100"/>
                <w:kern w:val="21"/>
                <w:position w:val="0"/>
                <w:sz w:val="21"/>
                <w:szCs w:val="21"/>
                <w:highlight w:val="none"/>
                <w:lang w:eastAsia="zh-CN"/>
              </w:rPr>
              <w:t>危废贮存库</w:t>
            </w:r>
            <w:r>
              <w:rPr>
                <w:rFonts w:hint="default" w:ascii="Times New Roman" w:hAnsi="Times New Roman" w:eastAsia="宋体" w:cs="Times New Roman"/>
                <w:caps w:val="0"/>
                <w:snapToGrid/>
                <w:color w:val="auto"/>
                <w:spacing w:val="0"/>
                <w:w w:val="100"/>
                <w:kern w:val="21"/>
                <w:position w:val="0"/>
                <w:sz w:val="21"/>
                <w:szCs w:val="21"/>
                <w:highlight w:val="none"/>
              </w:rPr>
              <w:t>内，定期交</w:t>
            </w:r>
            <w:r>
              <w:rPr>
                <w:rFonts w:hint="eastAsia" w:cs="Times New Roman"/>
                <w:caps w:val="0"/>
                <w:snapToGrid/>
                <w:color w:val="auto"/>
                <w:spacing w:val="0"/>
                <w:w w:val="100"/>
                <w:kern w:val="21"/>
                <w:position w:val="0"/>
                <w:sz w:val="21"/>
                <w:szCs w:val="21"/>
                <w:highlight w:val="none"/>
                <w:lang w:val="en-US" w:eastAsia="zh-CN"/>
              </w:rPr>
              <w:t>由</w:t>
            </w:r>
            <w:r>
              <w:rPr>
                <w:rFonts w:hint="default" w:ascii="Times New Roman" w:hAnsi="Times New Roman" w:eastAsia="宋体" w:cs="Times New Roman"/>
                <w:caps w:val="0"/>
                <w:snapToGrid/>
                <w:color w:val="auto"/>
                <w:spacing w:val="0"/>
                <w:w w:val="100"/>
                <w:kern w:val="21"/>
                <w:position w:val="0"/>
                <w:sz w:val="21"/>
                <w:szCs w:val="21"/>
                <w:highlight w:val="none"/>
              </w:rPr>
              <w:t>有资质单位处置；</w:t>
            </w: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危废贮存库</w:t>
            </w:r>
            <w:r>
              <w:rPr>
                <w:rFonts w:hint="default" w:ascii="Times New Roman" w:hAnsi="Times New Roman" w:eastAsia="宋体" w:cs="Times New Roman"/>
                <w:caps w:val="0"/>
                <w:snapToGrid/>
                <w:color w:val="auto"/>
                <w:spacing w:val="0"/>
                <w:w w:val="100"/>
                <w:kern w:val="21"/>
                <w:position w:val="0"/>
                <w:sz w:val="21"/>
                <w:szCs w:val="21"/>
                <w:highlight w:val="none"/>
              </w:rPr>
              <w:t>地面、墙壁防腐防渗</w:t>
            </w:r>
          </w:p>
        </w:tc>
        <w:tc>
          <w:tcPr>
            <w:tcW w:w="474" w:type="pct"/>
            <w:tcBorders>
              <w:tl2br w:val="nil"/>
              <w:tr2bl w:val="nil"/>
            </w:tcBorders>
            <w:shd w:val="clear" w:color="auto" w:fill="auto"/>
            <w:noWrap w:val="0"/>
            <w:vAlign w:val="center"/>
          </w:tcPr>
          <w:p w14:paraId="21326B3D">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eastAsia" w:cs="Times New Roman"/>
                <w:caps w:val="0"/>
                <w:snapToGrid/>
                <w:color w:val="auto"/>
                <w:spacing w:val="0"/>
                <w:w w:val="100"/>
                <w:kern w:val="21"/>
                <w:position w:val="0"/>
                <w:sz w:val="21"/>
                <w:szCs w:val="21"/>
                <w:highlight w:val="none"/>
                <w:lang w:val="en-US" w:eastAsia="zh-CN"/>
              </w:rPr>
              <w:t>8</w:t>
            </w:r>
          </w:p>
        </w:tc>
      </w:tr>
      <w:tr w14:paraId="2D4D51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387" w:hRule="atLeast"/>
          <w:jc w:val="center"/>
        </w:trPr>
        <w:tc>
          <w:tcPr>
            <w:tcW w:w="436" w:type="pct"/>
            <w:vMerge w:val="continue"/>
            <w:tcBorders>
              <w:tl2br w:val="nil"/>
              <w:tr2bl w:val="nil"/>
            </w:tcBorders>
            <w:noWrap w:val="0"/>
            <w:vAlign w:val="center"/>
          </w:tcPr>
          <w:p w14:paraId="4F678527">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c>
          <w:tcPr>
            <w:tcW w:w="945" w:type="pct"/>
            <w:vMerge w:val="continue"/>
            <w:tcBorders>
              <w:tl2br w:val="nil"/>
              <w:tr2bl w:val="nil"/>
            </w:tcBorders>
            <w:shd w:val="clear" w:color="auto" w:fill="auto"/>
            <w:noWrap w:val="0"/>
            <w:vAlign w:val="center"/>
          </w:tcPr>
          <w:p w14:paraId="66FEE5D3">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21"/>
                <w:position w:val="0"/>
                <w:sz w:val="21"/>
                <w:szCs w:val="21"/>
                <w:highlight w:val="none"/>
                <w:lang w:val="en-US" w:eastAsia="zh-CN"/>
              </w:rPr>
            </w:pPr>
          </w:p>
        </w:tc>
        <w:tc>
          <w:tcPr>
            <w:tcW w:w="677" w:type="pct"/>
            <w:tcBorders>
              <w:tl2br w:val="nil"/>
              <w:tr2bl w:val="nil"/>
            </w:tcBorders>
            <w:shd w:val="clear" w:color="auto" w:fill="auto"/>
            <w:noWrap w:val="0"/>
            <w:vAlign w:val="center"/>
          </w:tcPr>
          <w:p w14:paraId="273BFD48">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rPr>
              <w:t>一般固废</w:t>
            </w:r>
          </w:p>
        </w:tc>
        <w:tc>
          <w:tcPr>
            <w:tcW w:w="2466" w:type="pct"/>
            <w:tcBorders>
              <w:tl2br w:val="nil"/>
              <w:tr2bl w:val="nil"/>
            </w:tcBorders>
            <w:shd w:val="clear" w:color="auto" w:fill="auto"/>
            <w:noWrap w:val="0"/>
            <w:vAlign w:val="center"/>
          </w:tcPr>
          <w:p w14:paraId="5E1B22DD">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设置一般固废存储区，</w:t>
            </w:r>
            <w:r>
              <w:rPr>
                <w:rFonts w:hint="default" w:ascii="Times New Roman" w:hAnsi="Times New Roman" w:eastAsia="宋体" w:cs="Times New Roman"/>
                <w:caps w:val="0"/>
                <w:snapToGrid/>
                <w:color w:val="auto"/>
                <w:spacing w:val="0"/>
                <w:w w:val="100"/>
                <w:kern w:val="21"/>
                <w:position w:val="0"/>
                <w:sz w:val="21"/>
                <w:szCs w:val="21"/>
                <w:highlight w:val="none"/>
              </w:rPr>
              <w:t>分类收集暂存后外售</w:t>
            </w:r>
          </w:p>
        </w:tc>
        <w:tc>
          <w:tcPr>
            <w:tcW w:w="474" w:type="pct"/>
            <w:tcBorders>
              <w:tl2br w:val="nil"/>
              <w:tr2bl w:val="nil"/>
            </w:tcBorders>
            <w:shd w:val="clear" w:color="auto" w:fill="auto"/>
            <w:noWrap w:val="0"/>
            <w:vAlign w:val="center"/>
          </w:tcPr>
          <w:p w14:paraId="21411BB6">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eastAsia" w:cs="Times New Roman"/>
                <w:caps w:val="0"/>
                <w:snapToGrid/>
                <w:color w:val="auto"/>
                <w:spacing w:val="0"/>
                <w:w w:val="100"/>
                <w:kern w:val="21"/>
                <w:position w:val="0"/>
                <w:sz w:val="21"/>
                <w:szCs w:val="21"/>
                <w:highlight w:val="none"/>
                <w:lang w:val="en-US" w:eastAsia="zh-CN"/>
              </w:rPr>
              <w:t>1.5</w:t>
            </w:r>
          </w:p>
        </w:tc>
      </w:tr>
      <w:tr w14:paraId="4BF6D1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436" w:type="pct"/>
            <w:vMerge w:val="continue"/>
            <w:tcBorders>
              <w:tl2br w:val="nil"/>
              <w:tr2bl w:val="nil"/>
            </w:tcBorders>
            <w:noWrap w:val="0"/>
            <w:vAlign w:val="center"/>
          </w:tcPr>
          <w:p w14:paraId="45138379">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p>
        </w:tc>
        <w:tc>
          <w:tcPr>
            <w:tcW w:w="1623" w:type="pct"/>
            <w:gridSpan w:val="2"/>
            <w:tcBorders>
              <w:tl2br w:val="nil"/>
              <w:tr2bl w:val="nil"/>
            </w:tcBorders>
            <w:noWrap w:val="0"/>
            <w:vAlign w:val="center"/>
          </w:tcPr>
          <w:p w14:paraId="7A0C1CE2">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其他</w:t>
            </w:r>
          </w:p>
        </w:tc>
        <w:tc>
          <w:tcPr>
            <w:tcW w:w="2466" w:type="pct"/>
            <w:tcBorders>
              <w:tl2br w:val="nil"/>
              <w:tr2bl w:val="nil"/>
            </w:tcBorders>
            <w:noWrap w:val="0"/>
            <w:vAlign w:val="center"/>
          </w:tcPr>
          <w:p w14:paraId="05BC0F15">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分区防渗，重点防渗区防渗层为至少1m厚粘土层（渗透系数≤10</w:t>
            </w:r>
            <w:r>
              <w:rPr>
                <w:rFonts w:hint="default" w:ascii="Times New Roman" w:hAnsi="Times New Roman" w:eastAsia="宋体" w:cs="Times New Roman"/>
                <w:caps w:val="0"/>
                <w:snapToGrid/>
                <w:color w:val="auto"/>
                <w:spacing w:val="0"/>
                <w:w w:val="100"/>
                <w:kern w:val="21"/>
                <w:position w:val="0"/>
                <w:sz w:val="21"/>
                <w:szCs w:val="21"/>
                <w:highlight w:val="none"/>
                <w:vertAlign w:val="superscript"/>
                <w:lang w:val="en-US" w:eastAsia="zh-CN"/>
              </w:rPr>
              <w:t>-7</w:t>
            </w: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cm/s）或2mm厚高密度聚乙烯，或至少2mm厚的其他人工材料，渗透系数≤10</w:t>
            </w:r>
            <w:r>
              <w:rPr>
                <w:rFonts w:hint="default" w:ascii="Times New Roman" w:hAnsi="Times New Roman" w:eastAsia="宋体" w:cs="Times New Roman"/>
                <w:caps w:val="0"/>
                <w:snapToGrid/>
                <w:color w:val="auto"/>
                <w:spacing w:val="0"/>
                <w:w w:val="100"/>
                <w:kern w:val="21"/>
                <w:position w:val="0"/>
                <w:sz w:val="21"/>
                <w:szCs w:val="21"/>
                <w:highlight w:val="none"/>
                <w:vertAlign w:val="superscript"/>
                <w:lang w:val="en-US" w:eastAsia="zh-CN"/>
              </w:rPr>
              <w:t>-10</w:t>
            </w: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cm/s；一般防渗区等效黏土防渗层渗透系数≤1×10</w:t>
            </w:r>
            <w:r>
              <w:rPr>
                <w:rFonts w:hint="default" w:ascii="Times New Roman" w:hAnsi="Times New Roman" w:eastAsia="宋体" w:cs="Times New Roman"/>
                <w:caps w:val="0"/>
                <w:snapToGrid/>
                <w:color w:val="auto"/>
                <w:spacing w:val="0"/>
                <w:w w:val="100"/>
                <w:kern w:val="21"/>
                <w:position w:val="0"/>
                <w:sz w:val="21"/>
                <w:szCs w:val="21"/>
                <w:highlight w:val="none"/>
                <w:vertAlign w:val="superscript"/>
                <w:lang w:val="en-US" w:eastAsia="zh-CN"/>
              </w:rPr>
              <w:t>-7</w:t>
            </w: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cm/s；简单防渗区采取普通混凝土地坪</w:t>
            </w:r>
          </w:p>
        </w:tc>
        <w:tc>
          <w:tcPr>
            <w:tcW w:w="474" w:type="pct"/>
            <w:tcBorders>
              <w:tl2br w:val="nil"/>
              <w:tr2bl w:val="nil"/>
            </w:tcBorders>
            <w:noWrap w:val="0"/>
            <w:vAlign w:val="center"/>
          </w:tcPr>
          <w:p w14:paraId="1FB69D88">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0.5</w:t>
            </w:r>
          </w:p>
        </w:tc>
      </w:tr>
      <w:tr w14:paraId="08140B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4525" w:type="pct"/>
            <w:gridSpan w:val="4"/>
            <w:tcBorders>
              <w:tl2br w:val="nil"/>
              <w:tr2bl w:val="nil"/>
            </w:tcBorders>
            <w:noWrap w:val="0"/>
            <w:vAlign w:val="center"/>
          </w:tcPr>
          <w:p w14:paraId="3D747FB8">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合计</w:t>
            </w:r>
          </w:p>
        </w:tc>
        <w:tc>
          <w:tcPr>
            <w:tcW w:w="474" w:type="pct"/>
            <w:tcBorders>
              <w:tl2br w:val="nil"/>
              <w:tr2bl w:val="nil"/>
            </w:tcBorders>
            <w:noWrap w:val="0"/>
            <w:vAlign w:val="center"/>
          </w:tcPr>
          <w:p w14:paraId="3DA89D91">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53.8</w:t>
            </w:r>
          </w:p>
        </w:tc>
      </w:tr>
    </w:tbl>
    <w:p w14:paraId="029C8C85">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629" w:name="_Toc31704"/>
      <w:bookmarkStart w:id="630" w:name="_Toc22566"/>
      <w:bookmarkStart w:id="631" w:name="_Toc6332"/>
      <w:r>
        <w:rPr>
          <w:rFonts w:hint="default"/>
          <w:color w:val="auto"/>
          <w:spacing w:val="0"/>
          <w:w w:val="100"/>
          <w:position w:val="0"/>
          <w:highlight w:val="none"/>
          <w:lang w:val="en-US" w:eastAsia="zh-CN"/>
        </w:rPr>
        <w:t>7.3环境经济效益分析</w:t>
      </w:r>
      <w:bookmarkEnd w:id="620"/>
      <w:bookmarkEnd w:id="621"/>
      <w:bookmarkEnd w:id="622"/>
      <w:bookmarkEnd w:id="623"/>
      <w:bookmarkEnd w:id="624"/>
      <w:bookmarkEnd w:id="625"/>
      <w:bookmarkEnd w:id="626"/>
      <w:bookmarkEnd w:id="627"/>
      <w:bookmarkEnd w:id="628"/>
      <w:bookmarkEnd w:id="629"/>
      <w:bookmarkEnd w:id="630"/>
      <w:bookmarkEnd w:id="631"/>
    </w:p>
    <w:p w14:paraId="1520DB0A">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通过投入上述环保投资，采取各种环保措施对废气、废水、噪声、固体废物污染进</w:t>
      </w:r>
      <w:r>
        <w:rPr>
          <w:rFonts w:hint="default" w:ascii="Times New Roman" w:hAnsi="Times New Roman" w:eastAsia="宋体" w:cs="Times New Roman"/>
          <w:caps w:val="0"/>
          <w:snapToGrid/>
          <w:color w:val="auto"/>
          <w:spacing w:val="0"/>
          <w:w w:val="100"/>
          <w:kern w:val="21"/>
          <w:position w:val="0"/>
          <w:highlight w:val="none"/>
          <w:lang w:eastAsia="zh-CN"/>
        </w:rPr>
        <w:t>行控</w:t>
      </w:r>
      <w:r>
        <w:rPr>
          <w:rFonts w:hint="default" w:ascii="Times New Roman" w:hAnsi="Times New Roman" w:eastAsia="宋体" w:cs="Times New Roman"/>
          <w:caps w:val="0"/>
          <w:snapToGrid/>
          <w:color w:val="auto"/>
          <w:spacing w:val="0"/>
          <w:w w:val="100"/>
          <w:kern w:val="21"/>
          <w:position w:val="0"/>
          <w:highlight w:val="none"/>
        </w:rPr>
        <w:t>制，实现了废物资源化利用，同时减少了项目对环境造成的污染，达到了削减污染物排放量，保护环境的目的。</w:t>
      </w:r>
    </w:p>
    <w:p w14:paraId="0E9F73D4">
      <w:pPr>
        <w:keepNext w:val="0"/>
        <w:keepLines w:val="0"/>
        <w:pageBreakBefore w:val="0"/>
        <w:widowControl w:val="0"/>
        <w:numPr>
          <w:ilvl w:val="0"/>
          <w:numId w:val="0"/>
        </w:numPr>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sz w:val="24"/>
          <w:szCs w:val="21"/>
          <w:highlight w:val="none"/>
          <w:lang w:val="en-US" w:eastAsia="zh-CN" w:bidi="ar-SA"/>
        </w:rPr>
        <w:t>（1）</w:t>
      </w:r>
      <w:r>
        <w:rPr>
          <w:rFonts w:hint="default" w:ascii="Times New Roman" w:hAnsi="Times New Roman" w:eastAsia="宋体" w:cs="Times New Roman"/>
          <w:caps w:val="0"/>
          <w:snapToGrid/>
          <w:color w:val="auto"/>
          <w:spacing w:val="0"/>
          <w:w w:val="100"/>
          <w:kern w:val="21"/>
          <w:position w:val="0"/>
          <w:highlight w:val="none"/>
        </w:rPr>
        <w:t>本项目工艺废气（颗粒物、有机废气）经处理后达标排放，对项目周围地区的环境空气质量影响较小。</w:t>
      </w:r>
    </w:p>
    <w:p w14:paraId="206A0114">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w:t>
      </w:r>
      <w:r>
        <w:rPr>
          <w:rFonts w:hint="eastAsia" w:cs="Times New Roman"/>
          <w:caps w:val="0"/>
          <w:snapToGrid/>
          <w:color w:val="auto"/>
          <w:spacing w:val="0"/>
          <w:w w:val="100"/>
          <w:kern w:val="21"/>
          <w:position w:val="0"/>
          <w:highlight w:val="none"/>
          <w:lang w:val="en-US" w:eastAsia="zh-CN"/>
        </w:rPr>
        <w:t>2</w:t>
      </w:r>
      <w:r>
        <w:rPr>
          <w:rFonts w:hint="default" w:ascii="Times New Roman" w:hAnsi="Times New Roman" w:eastAsia="宋体" w:cs="Times New Roman"/>
          <w:caps w:val="0"/>
          <w:snapToGrid/>
          <w:color w:val="auto"/>
          <w:spacing w:val="0"/>
          <w:w w:val="100"/>
          <w:kern w:val="21"/>
          <w:position w:val="0"/>
          <w:highlight w:val="none"/>
        </w:rPr>
        <w:t>）项目噪声源经采取选用低噪声设备、基础减振，厂房隔</w:t>
      </w:r>
      <w:r>
        <w:rPr>
          <w:rFonts w:hint="default" w:ascii="Times New Roman" w:hAnsi="Times New Roman" w:eastAsia="宋体" w:cs="Times New Roman"/>
          <w:caps w:val="0"/>
          <w:snapToGrid/>
          <w:color w:val="auto"/>
          <w:spacing w:val="0"/>
          <w:w w:val="100"/>
          <w:kern w:val="21"/>
          <w:position w:val="0"/>
          <w:highlight w:val="none"/>
          <w:lang w:eastAsia="zh-CN"/>
        </w:rPr>
        <w:t>声</w:t>
      </w:r>
      <w:r>
        <w:rPr>
          <w:rFonts w:hint="default" w:ascii="Times New Roman" w:hAnsi="Times New Roman" w:eastAsia="宋体" w:cs="Times New Roman"/>
          <w:caps w:val="0"/>
          <w:snapToGrid/>
          <w:color w:val="auto"/>
          <w:spacing w:val="0"/>
          <w:w w:val="100"/>
          <w:kern w:val="21"/>
          <w:position w:val="0"/>
          <w:highlight w:val="none"/>
        </w:rPr>
        <w:t>等处理措施后，厂界噪声能达到相关的标准要求，对外环境的影响较小。</w:t>
      </w:r>
    </w:p>
    <w:p w14:paraId="48B44E27">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szCs w:val="24"/>
          <w:highlight w:val="none"/>
        </w:rPr>
      </w:pPr>
      <w:r>
        <w:rPr>
          <w:rFonts w:hint="default" w:ascii="Times New Roman" w:hAnsi="Times New Roman" w:eastAsia="宋体" w:cs="Times New Roman"/>
          <w:caps w:val="0"/>
          <w:snapToGrid/>
          <w:color w:val="auto"/>
          <w:spacing w:val="0"/>
          <w:w w:val="100"/>
          <w:kern w:val="21"/>
          <w:position w:val="0"/>
          <w:szCs w:val="24"/>
          <w:highlight w:val="none"/>
        </w:rPr>
        <w:t>（</w:t>
      </w:r>
      <w:r>
        <w:rPr>
          <w:rFonts w:hint="eastAsia" w:cs="Times New Roman"/>
          <w:caps w:val="0"/>
          <w:snapToGrid/>
          <w:color w:val="auto"/>
          <w:spacing w:val="0"/>
          <w:w w:val="100"/>
          <w:kern w:val="21"/>
          <w:position w:val="0"/>
          <w:szCs w:val="24"/>
          <w:highlight w:val="none"/>
          <w:lang w:val="en-US" w:eastAsia="zh-CN"/>
        </w:rPr>
        <w:t>3</w:t>
      </w:r>
      <w:r>
        <w:rPr>
          <w:rFonts w:hint="default" w:ascii="Times New Roman" w:hAnsi="Times New Roman" w:eastAsia="宋体" w:cs="Times New Roman"/>
          <w:caps w:val="0"/>
          <w:snapToGrid/>
          <w:color w:val="auto"/>
          <w:spacing w:val="0"/>
          <w:w w:val="100"/>
          <w:kern w:val="21"/>
          <w:position w:val="0"/>
          <w:szCs w:val="24"/>
          <w:highlight w:val="none"/>
        </w:rPr>
        <w:t>）固体废物均得到合理处置，对环境影响较小。</w:t>
      </w:r>
    </w:p>
    <w:p w14:paraId="59D4B12B">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环保设施的经济效益不仅表现在其创造了多少产值，还表现在它的间接经济效益即环保设施的有效运行保证了人类良好的生活条件、生存环境和生产活动的可持续发展以及由此创造的可观经济效益。从该意义上讲，项目环保设施的间接经济效益是非常明显的。</w:t>
      </w:r>
    </w:p>
    <w:p w14:paraId="1E6E438A">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632" w:name="_Toc13824"/>
      <w:bookmarkStart w:id="633" w:name="_Toc24989"/>
      <w:bookmarkStart w:id="634" w:name="_Toc18630"/>
      <w:bookmarkStart w:id="635" w:name="_Toc29090"/>
      <w:bookmarkStart w:id="636" w:name="_Toc10061"/>
      <w:bookmarkStart w:id="637" w:name="_Toc13584"/>
      <w:bookmarkStart w:id="638" w:name="_Toc32606"/>
      <w:bookmarkStart w:id="639" w:name="_Toc18263"/>
      <w:bookmarkStart w:id="640" w:name="_Toc12585"/>
      <w:bookmarkStart w:id="641" w:name="_Toc24715"/>
      <w:bookmarkStart w:id="642" w:name="_Toc22896"/>
      <w:bookmarkStart w:id="643" w:name="_Toc536692053"/>
      <w:bookmarkStart w:id="644" w:name="_Toc18106"/>
      <w:bookmarkStart w:id="645" w:name="_Toc10025"/>
      <w:bookmarkStart w:id="646" w:name="_Toc3248"/>
      <w:bookmarkStart w:id="647" w:name="_Toc689"/>
      <w:bookmarkStart w:id="648" w:name="_Toc26510"/>
      <w:r>
        <w:rPr>
          <w:rFonts w:hint="default"/>
          <w:color w:val="auto"/>
          <w:spacing w:val="0"/>
          <w:w w:val="100"/>
          <w:position w:val="0"/>
          <w:highlight w:val="none"/>
          <w:lang w:val="en-US" w:eastAsia="zh-CN"/>
        </w:rPr>
        <w:t>7.</w:t>
      </w:r>
      <w:bookmarkEnd w:id="632"/>
      <w:bookmarkEnd w:id="633"/>
      <w:bookmarkEnd w:id="634"/>
      <w:bookmarkEnd w:id="635"/>
      <w:bookmarkEnd w:id="636"/>
      <w:bookmarkEnd w:id="637"/>
      <w:bookmarkEnd w:id="638"/>
      <w:bookmarkStart w:id="649" w:name="_Toc12336"/>
      <w:bookmarkStart w:id="650" w:name="_Toc25325"/>
      <w:bookmarkStart w:id="651" w:name="_Toc8108"/>
      <w:bookmarkStart w:id="652" w:name="_Toc17851"/>
      <w:bookmarkStart w:id="653" w:name="_Toc407"/>
      <w:bookmarkStart w:id="654" w:name="_Toc231"/>
      <w:r>
        <w:rPr>
          <w:rFonts w:hint="default"/>
          <w:color w:val="auto"/>
          <w:spacing w:val="0"/>
          <w:w w:val="100"/>
          <w:position w:val="0"/>
          <w:highlight w:val="none"/>
          <w:lang w:val="en-US" w:eastAsia="zh-CN"/>
        </w:rPr>
        <w:t>4社会效益</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14:paraId="38AE9DDE">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bookmarkStart w:id="655" w:name="_Toc17513"/>
      <w:bookmarkStart w:id="656" w:name="_Toc31948"/>
      <w:bookmarkStart w:id="657" w:name="_Toc26590"/>
      <w:bookmarkStart w:id="658" w:name="_Toc30078"/>
      <w:bookmarkStart w:id="659" w:name="_Toc31887"/>
      <w:bookmarkStart w:id="660" w:name="_Toc18873"/>
      <w:bookmarkStart w:id="661" w:name="_Toc399666140"/>
      <w:r>
        <w:rPr>
          <w:rFonts w:hint="default" w:ascii="Times New Roman" w:hAnsi="Times New Roman" w:eastAsia="宋体" w:cs="Times New Roman"/>
          <w:caps w:val="0"/>
          <w:snapToGrid/>
          <w:color w:val="auto"/>
          <w:spacing w:val="0"/>
          <w:w w:val="100"/>
          <w:kern w:val="21"/>
          <w:position w:val="0"/>
          <w:highlight w:val="none"/>
        </w:rPr>
        <w:t>本工程的社会效益主要体现在：</w:t>
      </w:r>
    </w:p>
    <w:p w14:paraId="52181C4D">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（1）本项目的建设符合国家产业政策，采用先进的设备、工艺和污染物防治措施，有助于提高产品的质量和产量，同时可以降低污染物的产生与排放。</w:t>
      </w:r>
    </w:p>
    <w:p w14:paraId="5A9AA532">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（2）根据建设单位提供的资料，项目具有较好的经济效益和抗风险能力，</w:t>
      </w:r>
      <w:r>
        <w:rPr>
          <w:rFonts w:hint="default" w:ascii="Times New Roman" w:hAnsi="Times New Roman" w:eastAsia="宋体" w:cs="Times New Roman"/>
          <w:caps w:val="0"/>
          <w:snapToGrid/>
          <w:color w:val="auto"/>
          <w:spacing w:val="0"/>
          <w:w w:val="100"/>
          <w:kern w:val="21"/>
          <w:position w:val="0"/>
          <w:highlight w:val="none"/>
          <w:lang w:eastAsia="zh-CN"/>
        </w:rPr>
        <w:t>而且</w:t>
      </w:r>
      <w:r>
        <w:rPr>
          <w:rFonts w:hint="default" w:ascii="Times New Roman" w:hAnsi="Times New Roman" w:eastAsia="宋体" w:cs="Times New Roman"/>
          <w:caps w:val="0"/>
          <w:snapToGrid/>
          <w:color w:val="auto"/>
          <w:spacing w:val="0"/>
          <w:w w:val="100"/>
          <w:kern w:val="21"/>
          <w:position w:val="0"/>
          <w:highlight w:val="none"/>
        </w:rPr>
        <w:t>为国家和地方财政收入做出一定贡献。</w:t>
      </w:r>
    </w:p>
    <w:p w14:paraId="0D4B0009">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（3）项目建</w:t>
      </w:r>
      <w:r>
        <w:rPr>
          <w:rFonts w:hint="eastAsia" w:cs="Times New Roman"/>
          <w:caps w:val="0"/>
          <w:snapToGrid/>
          <w:color w:val="auto"/>
          <w:spacing w:val="0"/>
          <w:w w:val="100"/>
          <w:kern w:val="21"/>
          <w:position w:val="0"/>
          <w:highlight w:val="none"/>
          <w:lang w:eastAsia="zh-CN"/>
        </w:rPr>
        <w:t>成后</w:t>
      </w:r>
      <w:r>
        <w:rPr>
          <w:rFonts w:hint="default" w:ascii="Times New Roman" w:hAnsi="Times New Roman" w:eastAsia="宋体" w:cs="Times New Roman"/>
          <w:caps w:val="0"/>
          <w:snapToGrid/>
          <w:color w:val="auto"/>
          <w:spacing w:val="0"/>
          <w:w w:val="100"/>
          <w:kern w:val="21"/>
          <w:position w:val="0"/>
          <w:highlight w:val="none"/>
        </w:rPr>
        <w:t>能够增加国家和地方财政收入，带动地方经济发展，工程建成达产后，在为公司创造经济效益的同时，可增加地方财政收入，带动当地经济发展。</w:t>
      </w:r>
    </w:p>
    <w:p w14:paraId="794C4DE5">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综上所述，本项目建设具有较好的社会效益。</w:t>
      </w:r>
    </w:p>
    <w:p w14:paraId="0790D9EA">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662" w:name="_Toc25370"/>
      <w:bookmarkStart w:id="663" w:name="_Toc7957"/>
      <w:bookmarkStart w:id="664" w:name="_Toc31773"/>
      <w:bookmarkStart w:id="665" w:name="_Toc1572"/>
      <w:r>
        <w:rPr>
          <w:rFonts w:hint="default"/>
          <w:color w:val="auto"/>
          <w:spacing w:val="0"/>
          <w:w w:val="100"/>
          <w:position w:val="0"/>
          <w:highlight w:val="none"/>
          <w:lang w:val="en-US" w:eastAsia="zh-CN"/>
        </w:rPr>
        <w:t>7.</w:t>
      </w:r>
      <w:bookmarkEnd w:id="655"/>
      <w:bookmarkEnd w:id="656"/>
      <w:r>
        <w:rPr>
          <w:rFonts w:hint="default"/>
          <w:color w:val="auto"/>
          <w:spacing w:val="0"/>
          <w:w w:val="100"/>
          <w:position w:val="0"/>
          <w:highlight w:val="none"/>
          <w:lang w:val="en-US" w:eastAsia="zh-CN"/>
        </w:rPr>
        <w:t>5环境影响经济损益分析</w:t>
      </w:r>
      <w:bookmarkEnd w:id="657"/>
      <w:bookmarkEnd w:id="658"/>
      <w:bookmarkEnd w:id="659"/>
      <w:bookmarkEnd w:id="660"/>
      <w:bookmarkEnd w:id="662"/>
      <w:bookmarkEnd w:id="663"/>
      <w:bookmarkEnd w:id="664"/>
      <w:bookmarkEnd w:id="665"/>
    </w:p>
    <w:p w14:paraId="5702140F">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本项目运行过程中，通过污染物治理每年可产生一定的经济效益。部分收益可用于环保设施的维护等，以保证各类污染防治设施稳定、完好运行，确保各类污染物均能够长期稳定达标排放。剩余的收益可用于环保设施升级改进、污染防治技术开发、周围环境美化等，以最大限度</w:t>
      </w:r>
      <w:r>
        <w:rPr>
          <w:rFonts w:hint="default" w:ascii="Times New Roman" w:hAnsi="Times New Roman" w:eastAsia="宋体" w:cs="Times New Roman"/>
          <w:caps w:val="0"/>
          <w:snapToGrid/>
          <w:color w:val="auto"/>
          <w:spacing w:val="0"/>
          <w:w w:val="100"/>
          <w:kern w:val="21"/>
          <w:position w:val="0"/>
          <w:highlight w:val="none"/>
          <w:lang w:eastAsia="zh-CN"/>
        </w:rPr>
        <w:t>地减少</w:t>
      </w:r>
      <w:r>
        <w:rPr>
          <w:rFonts w:hint="default" w:ascii="Times New Roman" w:hAnsi="Times New Roman" w:eastAsia="宋体" w:cs="Times New Roman"/>
          <w:caps w:val="0"/>
          <w:snapToGrid/>
          <w:color w:val="auto"/>
          <w:spacing w:val="0"/>
          <w:w w:val="100"/>
          <w:kern w:val="21"/>
          <w:position w:val="0"/>
          <w:highlight w:val="none"/>
        </w:rPr>
        <w:t>本项目各类污染物的排放量，减轻对环境的影响。并通过周围环境的绿化，改善当地的环境。同时，本项目的建成实施，对当地的经济和社会发展均会起到一定的推动作用。</w:t>
      </w:r>
    </w:p>
    <w:p w14:paraId="6B4AB28E">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综上所述，本项目如认真落实环评提出的各项环境保护措施，保证项目的环境可行性，将具有较为良好的经济效益及环境效益。项目的建设运行，有利于增强地方经济实力、财力</w:t>
      </w:r>
      <w:r>
        <w:rPr>
          <w:rFonts w:hint="eastAsia" w:cs="Times New Roman"/>
          <w:caps w:val="0"/>
          <w:snapToGrid/>
          <w:color w:val="auto"/>
          <w:spacing w:val="0"/>
          <w:w w:val="100"/>
          <w:kern w:val="21"/>
          <w:position w:val="0"/>
          <w:highlight w:val="none"/>
          <w:lang w:eastAsia="zh-CN"/>
        </w:rPr>
        <w:t>。</w:t>
      </w:r>
      <w:r>
        <w:rPr>
          <w:rFonts w:hint="default" w:ascii="Times New Roman" w:hAnsi="Times New Roman" w:eastAsia="宋体" w:cs="Times New Roman"/>
          <w:caps w:val="0"/>
          <w:snapToGrid/>
          <w:color w:val="auto"/>
          <w:spacing w:val="0"/>
          <w:w w:val="100"/>
          <w:kern w:val="21"/>
          <w:position w:val="0"/>
          <w:highlight w:val="none"/>
        </w:rPr>
        <w:t>增强企业的盈利能力和资源综合利用水平；有利于地方产业结构的调整；大大改善了环境资源的利用效率。因此，在经济效益和环境效益方面都是可行的。此外，应当注意在生产过程中加强设备的管理、职工培训、严格操作规程，保证生产设备和环保设施的正常运行，确保环境保护要求的防治措施得到实施。这样，本项目的环境经济效益才能达到预期的效果。</w:t>
      </w:r>
    </w:p>
    <w:p w14:paraId="78078014">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666" w:name="_Toc32009"/>
      <w:bookmarkStart w:id="667" w:name="_Toc30613"/>
      <w:bookmarkStart w:id="668" w:name="_Toc23048"/>
      <w:bookmarkStart w:id="669" w:name="_Toc15018"/>
      <w:bookmarkStart w:id="670" w:name="_Toc31413"/>
      <w:bookmarkStart w:id="671" w:name="_Toc28805"/>
      <w:bookmarkStart w:id="672" w:name="_Toc15226"/>
      <w:bookmarkStart w:id="673" w:name="_Toc17228"/>
      <w:bookmarkStart w:id="674" w:name="_Toc14284"/>
      <w:r>
        <w:rPr>
          <w:rFonts w:hint="default"/>
          <w:color w:val="auto"/>
          <w:spacing w:val="0"/>
          <w:w w:val="100"/>
          <w:position w:val="0"/>
          <w:highlight w:val="none"/>
          <w:lang w:val="en-US" w:eastAsia="zh-CN"/>
        </w:rPr>
        <w:t>7.6小结</w:t>
      </w:r>
      <w:bookmarkEnd w:id="666"/>
      <w:bookmarkEnd w:id="667"/>
      <w:bookmarkEnd w:id="668"/>
      <w:bookmarkEnd w:id="669"/>
      <w:bookmarkEnd w:id="670"/>
      <w:bookmarkEnd w:id="671"/>
      <w:bookmarkEnd w:id="672"/>
      <w:bookmarkEnd w:id="673"/>
      <w:bookmarkEnd w:id="674"/>
    </w:p>
    <w:p w14:paraId="779B1F05">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在环境效益方面，本项目的建设和运营会对周围环境产生一定的影响，但在工程建设中，只要严格执行有关的法律法规，环保措施执行</w:t>
      </w:r>
      <w:r>
        <w:rPr>
          <w:rFonts w:hint="default" w:ascii="Times New Roman" w:hAnsi="Times New Roman" w:eastAsia="宋体" w:cs="Times New Roman"/>
          <w:caps w:val="0"/>
          <w:snapToGrid/>
          <w:color w:val="auto"/>
          <w:spacing w:val="0"/>
          <w:w w:val="100"/>
          <w:kern w:val="21"/>
          <w:position w:val="0"/>
          <w:highlight w:val="none"/>
          <w:lang w:eastAsia="zh-CN"/>
        </w:rPr>
        <w:t>“</w:t>
      </w:r>
      <w:r>
        <w:rPr>
          <w:rFonts w:hint="default" w:ascii="Times New Roman" w:hAnsi="Times New Roman" w:eastAsia="宋体" w:cs="Times New Roman"/>
          <w:caps w:val="0"/>
          <w:snapToGrid/>
          <w:color w:val="auto"/>
          <w:spacing w:val="0"/>
          <w:w w:val="100"/>
          <w:kern w:val="21"/>
          <w:position w:val="0"/>
          <w:highlight w:val="none"/>
        </w:rPr>
        <w:t>三同时</w:t>
      </w:r>
      <w:r>
        <w:rPr>
          <w:rFonts w:hint="default" w:ascii="Times New Roman" w:hAnsi="Times New Roman" w:eastAsia="宋体" w:cs="Times New Roman"/>
          <w:caps w:val="0"/>
          <w:snapToGrid/>
          <w:color w:val="auto"/>
          <w:spacing w:val="0"/>
          <w:w w:val="100"/>
          <w:kern w:val="21"/>
          <w:position w:val="0"/>
          <w:highlight w:val="none"/>
          <w:lang w:eastAsia="zh-CN"/>
        </w:rPr>
        <w:t>”</w:t>
      </w:r>
      <w:r>
        <w:rPr>
          <w:rFonts w:hint="default" w:ascii="Times New Roman" w:hAnsi="Times New Roman" w:eastAsia="宋体" w:cs="Times New Roman"/>
          <w:caps w:val="0"/>
          <w:snapToGrid/>
          <w:color w:val="auto"/>
          <w:spacing w:val="0"/>
          <w:w w:val="100"/>
          <w:kern w:val="21"/>
          <w:position w:val="0"/>
          <w:highlight w:val="none"/>
        </w:rPr>
        <w:t>制度，</w:t>
      </w:r>
      <w:r>
        <w:rPr>
          <w:rFonts w:hint="eastAsia" w:cs="Times New Roman"/>
          <w:caps w:val="0"/>
          <w:snapToGrid/>
          <w:color w:val="auto"/>
          <w:spacing w:val="0"/>
          <w:w w:val="100"/>
          <w:kern w:val="21"/>
          <w:position w:val="0"/>
          <w:highlight w:val="none"/>
          <w:lang w:eastAsia="zh-CN"/>
        </w:rPr>
        <w:t>可以</w:t>
      </w:r>
      <w:r>
        <w:rPr>
          <w:rFonts w:hint="default" w:ascii="Times New Roman" w:hAnsi="Times New Roman" w:eastAsia="宋体" w:cs="Times New Roman"/>
          <w:caps w:val="0"/>
          <w:snapToGrid/>
          <w:color w:val="auto"/>
          <w:spacing w:val="0"/>
          <w:w w:val="100"/>
          <w:kern w:val="21"/>
          <w:position w:val="0"/>
          <w:highlight w:val="none"/>
        </w:rPr>
        <w:t>保证对环境的影响控制在允许范围内。以上三方面的分析结果表明，本项目的实施将有助于当地社会效益、经济效益、环境效益的统一协调发展，对环境的影响损失较小。从环境经济效益角度分析，工程建设是可行的。</w:t>
      </w:r>
    </w:p>
    <w:p w14:paraId="2BD00861">
      <w:pPr>
        <w:keepNext w:val="0"/>
        <w:keepLines w:val="0"/>
        <w:pageBreakBefore w:val="0"/>
        <w:widowControl w:val="0"/>
        <w:kinsoku/>
        <w:wordWrap/>
        <w:overflowPunct/>
        <w:topLinePunct w:val="0"/>
        <w:autoSpaceDE/>
        <w:autoSpaceDN/>
        <w:bidi w:val="0"/>
        <w:adjustRightInd/>
        <w:snapToGrid/>
        <w:ind w:left="0" w:leftChars="0" w:right="0" w:rightChars="0"/>
        <w:outlineLvl w:val="9"/>
        <w:rPr>
          <w:rFonts w:hint="default" w:ascii="Times New Roman" w:hAnsi="Times New Roman" w:eastAsia="宋体" w:cs="Times New Roman"/>
          <w:caps w:val="0"/>
          <w:snapToGrid/>
          <w:color w:val="auto"/>
          <w:spacing w:val="0"/>
          <w:w w:val="100"/>
          <w:kern w:val="21"/>
          <w:position w:val="0"/>
          <w:highlight w:val="none"/>
        </w:rPr>
      </w:pPr>
    </w:p>
    <w:p w14:paraId="5C6B1FBB">
      <w:pPr>
        <w:keepNext w:val="0"/>
        <w:keepLines w:val="0"/>
        <w:pageBreakBefore w:val="0"/>
        <w:widowControl w:val="0"/>
        <w:kinsoku/>
        <w:wordWrap/>
        <w:overflowPunct/>
        <w:topLinePunct w:val="0"/>
        <w:autoSpaceDE/>
        <w:autoSpaceDN/>
        <w:bidi w:val="0"/>
        <w:adjustRightInd/>
        <w:snapToGrid/>
        <w:ind w:left="0" w:leftChars="0" w:right="0" w:rightChars="0"/>
        <w:outlineLvl w:val="9"/>
        <w:rPr>
          <w:rFonts w:hint="default" w:ascii="Times New Roman" w:hAnsi="Times New Roman" w:eastAsia="宋体" w:cs="Times New Roman"/>
          <w:caps w:val="0"/>
          <w:snapToGrid/>
          <w:color w:val="auto"/>
          <w:spacing w:val="0"/>
          <w:w w:val="100"/>
          <w:kern w:val="21"/>
          <w:position w:val="0"/>
          <w:highlight w:val="none"/>
        </w:rPr>
      </w:pPr>
    </w:p>
    <w:p w14:paraId="4C65F71D">
      <w:pPr>
        <w:keepNext w:val="0"/>
        <w:keepLines w:val="0"/>
        <w:pageBreakBefore w:val="0"/>
        <w:widowControl w:val="0"/>
        <w:kinsoku/>
        <w:wordWrap/>
        <w:overflowPunct/>
        <w:topLinePunct w:val="0"/>
        <w:autoSpaceDE/>
        <w:autoSpaceDN/>
        <w:bidi w:val="0"/>
        <w:adjustRightInd/>
        <w:snapToGrid/>
        <w:ind w:left="0" w:leftChars="0" w:right="0" w:rightChars="0"/>
        <w:outlineLvl w:val="9"/>
        <w:rPr>
          <w:rFonts w:hint="default" w:ascii="Times New Roman" w:hAnsi="Times New Roman" w:eastAsia="宋体" w:cs="Times New Roman"/>
          <w:caps w:val="0"/>
          <w:snapToGrid/>
          <w:color w:val="auto"/>
          <w:spacing w:val="0"/>
          <w:w w:val="100"/>
          <w:kern w:val="21"/>
          <w:position w:val="0"/>
          <w:highlight w:val="none"/>
        </w:rPr>
        <w:sectPr>
          <w:pgSz w:w="11905" w:h="16838"/>
          <w:pgMar w:top="1531" w:right="1531" w:bottom="1531" w:left="1531" w:header="850" w:footer="850" w:gutter="0"/>
          <w:pgBorders>
            <w:top w:val="none" w:sz="0" w:space="0"/>
            <w:left w:val="none" w:sz="0" w:space="0"/>
            <w:bottom w:val="none" w:sz="0" w:space="0"/>
            <w:right w:val="none" w:sz="0" w:space="0"/>
          </w:pgBorders>
          <w:pgNumType w:fmt="decimal"/>
          <w:cols w:space="0" w:num="1"/>
          <w:rtlGutter w:val="0"/>
          <w:docGrid w:linePitch="329" w:charSpace="0"/>
        </w:sectPr>
      </w:pPr>
    </w:p>
    <w:p w14:paraId="2CFE7B5D">
      <w:pPr>
        <w:pStyle w:val="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bookmarkStart w:id="675" w:name="_Toc25450"/>
      <w:bookmarkStart w:id="676" w:name="_Toc27070"/>
      <w:bookmarkStart w:id="677" w:name="_Toc27100"/>
      <w:bookmarkStart w:id="678" w:name="_Toc17695"/>
      <w:bookmarkStart w:id="679" w:name="_Toc28398"/>
      <w:bookmarkStart w:id="680" w:name="_Toc11493"/>
      <w:bookmarkStart w:id="681" w:name="_Toc23832"/>
      <w:bookmarkStart w:id="682" w:name="_Toc11242"/>
      <w:bookmarkStart w:id="683" w:name="_Toc7074"/>
      <w:bookmarkStart w:id="684" w:name="_Toc7110"/>
      <w:r>
        <w:rPr>
          <w:rFonts w:hint="default"/>
          <w:color w:val="auto"/>
          <w:spacing w:val="0"/>
          <w:w w:val="100"/>
          <w:position w:val="0"/>
          <w:highlight w:val="none"/>
          <w:lang w:val="en-US" w:eastAsia="zh-CN"/>
        </w:rPr>
        <w:t>8</w:t>
      </w:r>
      <w:r>
        <w:rPr>
          <w:rFonts w:hint="default"/>
          <w:color w:val="auto"/>
          <w:spacing w:val="0"/>
          <w:w w:val="100"/>
          <w:position w:val="0"/>
          <w:highlight w:val="none"/>
        </w:rPr>
        <w:t>环境</w:t>
      </w:r>
      <w:bookmarkStart w:id="685" w:name="_Toc389048679"/>
      <w:bookmarkStart w:id="686" w:name="_Toc387919264"/>
      <w:bookmarkStart w:id="687" w:name="_Toc283077133"/>
      <w:bookmarkStart w:id="688" w:name="_Toc150142634"/>
      <w:r>
        <w:rPr>
          <w:rFonts w:hint="default"/>
          <w:color w:val="auto"/>
          <w:spacing w:val="0"/>
          <w:w w:val="100"/>
          <w:position w:val="0"/>
          <w:highlight w:val="none"/>
        </w:rPr>
        <w:t>管理与监测计划</w:t>
      </w:r>
      <w:bookmarkEnd w:id="661"/>
      <w:bookmarkEnd w:id="675"/>
      <w:bookmarkEnd w:id="676"/>
      <w:bookmarkEnd w:id="677"/>
      <w:bookmarkEnd w:id="678"/>
      <w:bookmarkEnd w:id="679"/>
      <w:bookmarkEnd w:id="680"/>
      <w:bookmarkEnd w:id="681"/>
      <w:bookmarkEnd w:id="682"/>
      <w:bookmarkEnd w:id="683"/>
      <w:bookmarkEnd w:id="684"/>
    </w:p>
    <w:p w14:paraId="08E85A0E">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rPr>
      </w:pPr>
      <w:r>
        <w:rPr>
          <w:rFonts w:hint="default" w:ascii="Times New Roman" w:hAnsi="Times New Roman" w:eastAsia="宋体" w:cs="Times New Roman"/>
          <w:caps w:val="0"/>
          <w:snapToGrid/>
          <w:color w:val="auto"/>
          <w:spacing w:val="0"/>
          <w:w w:val="100"/>
          <w:kern w:val="21"/>
          <w:position w:val="0"/>
          <w:szCs w:val="24"/>
          <w:highlight w:val="none"/>
        </w:rPr>
        <w:t>在项目的施工和运营过程中，将对周围环境产生一定的污染影响，环境管理和监测计划的实行将监督和评价项目实施过程中的污染控制水平，随时对污染控制措施的实施提出要求，确保生态环境保护目标的实现。</w:t>
      </w:r>
    </w:p>
    <w:p w14:paraId="1004CD69">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689" w:name="_Toc32607"/>
      <w:bookmarkStart w:id="690" w:name="_Toc14189"/>
      <w:bookmarkStart w:id="691" w:name="_Toc399666141"/>
      <w:bookmarkStart w:id="692" w:name="_Toc17563"/>
      <w:bookmarkStart w:id="693" w:name="_Toc11773"/>
      <w:bookmarkStart w:id="694" w:name="_Toc30208"/>
      <w:bookmarkStart w:id="695" w:name="_Toc18909"/>
      <w:bookmarkStart w:id="696" w:name="_Toc23721"/>
      <w:bookmarkStart w:id="697" w:name="_Toc1374"/>
      <w:bookmarkStart w:id="698" w:name="_Toc12503"/>
      <w:bookmarkStart w:id="699" w:name="_Toc14947"/>
      <w:r>
        <w:rPr>
          <w:rFonts w:hint="default"/>
          <w:color w:val="auto"/>
          <w:spacing w:val="0"/>
          <w:w w:val="100"/>
          <w:position w:val="0"/>
          <w:highlight w:val="none"/>
          <w:lang w:val="en-US" w:eastAsia="zh-CN"/>
        </w:rPr>
        <w:t>8.1</w:t>
      </w:r>
      <w:bookmarkEnd w:id="685"/>
      <w:bookmarkEnd w:id="686"/>
      <w:r>
        <w:rPr>
          <w:rFonts w:hint="default"/>
          <w:color w:val="auto"/>
          <w:spacing w:val="0"/>
          <w:w w:val="100"/>
          <w:position w:val="0"/>
          <w:highlight w:val="none"/>
          <w:lang w:val="en-US" w:eastAsia="zh-CN"/>
        </w:rPr>
        <w:t>环</w:t>
      </w:r>
      <w:bookmarkEnd w:id="687"/>
      <w:bookmarkEnd w:id="688"/>
      <w:bookmarkStart w:id="700" w:name="_Toc387919265"/>
      <w:bookmarkStart w:id="701" w:name="_Toc389048680"/>
      <w:r>
        <w:rPr>
          <w:rFonts w:hint="default"/>
          <w:color w:val="auto"/>
          <w:spacing w:val="0"/>
          <w:w w:val="100"/>
          <w:position w:val="0"/>
          <w:highlight w:val="none"/>
          <w:lang w:val="en-US" w:eastAsia="zh-CN"/>
        </w:rPr>
        <w:t>境</w:t>
      </w:r>
      <w:bookmarkStart w:id="702" w:name="_Toc137739022"/>
      <w:bookmarkStart w:id="703" w:name="_Toc150142635"/>
      <w:bookmarkStart w:id="704" w:name="_Toc283077134"/>
      <w:bookmarkStart w:id="705" w:name="_Toc137631517"/>
      <w:bookmarkStart w:id="706" w:name="_Toc137631447"/>
      <w:r>
        <w:rPr>
          <w:rFonts w:hint="default"/>
          <w:color w:val="auto"/>
          <w:spacing w:val="0"/>
          <w:w w:val="100"/>
          <w:position w:val="0"/>
          <w:highlight w:val="none"/>
          <w:lang w:val="en-US" w:eastAsia="zh-CN"/>
        </w:rPr>
        <w:t>管理</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Start w:id="707" w:name="_Toc18329"/>
      <w:bookmarkStart w:id="708" w:name="_Toc11909"/>
      <w:bookmarkStart w:id="709" w:name="_Toc23880"/>
      <w:bookmarkStart w:id="710" w:name="_Toc1510"/>
      <w:bookmarkStart w:id="711" w:name="_Toc6382"/>
      <w:bookmarkStart w:id="712" w:name="_Toc16048"/>
    </w:p>
    <w:p w14:paraId="02335105">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713" w:name="_Toc31771"/>
      <w:bookmarkStart w:id="714" w:name="_Toc536692057"/>
      <w:bookmarkStart w:id="715" w:name="_Toc16613"/>
      <w:bookmarkStart w:id="716" w:name="_Toc11241"/>
      <w:bookmarkStart w:id="717" w:name="_Toc28503"/>
      <w:bookmarkStart w:id="718" w:name="_Toc12037"/>
      <w:bookmarkStart w:id="719" w:name="_Toc13620"/>
      <w:bookmarkStart w:id="720" w:name="_Toc19346"/>
      <w:bookmarkStart w:id="721" w:name="_Toc17653"/>
      <w:bookmarkStart w:id="722" w:name="_Toc27054"/>
      <w:bookmarkStart w:id="723" w:name="_Toc25056"/>
      <w:bookmarkStart w:id="724" w:name="_Toc26478"/>
      <w:r>
        <w:rPr>
          <w:rFonts w:hint="default"/>
          <w:color w:val="auto"/>
          <w:spacing w:val="0"/>
          <w:w w:val="100"/>
          <w:position w:val="0"/>
          <w:highlight w:val="none"/>
          <w:lang w:val="en-US" w:eastAsia="zh-CN"/>
        </w:rPr>
        <w:t>8.1.1</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r>
        <w:rPr>
          <w:rFonts w:hint="default"/>
          <w:color w:val="auto"/>
          <w:spacing w:val="0"/>
          <w:w w:val="100"/>
          <w:position w:val="0"/>
          <w:highlight w:val="none"/>
          <w:lang w:val="en-US" w:eastAsia="zh-CN"/>
        </w:rPr>
        <w:t>环境管理基本任务</w:t>
      </w:r>
      <w:bookmarkEnd w:id="721"/>
      <w:bookmarkEnd w:id="722"/>
      <w:bookmarkEnd w:id="723"/>
      <w:bookmarkEnd w:id="724"/>
    </w:p>
    <w:p w14:paraId="6B6661A7">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环境管理的基本任务是控制污染物排放量，避免污染物对区域环境质量的损害。</w:t>
      </w:r>
    </w:p>
    <w:p w14:paraId="0D5FE254">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为了控制污染物的排放，需要加强计划、生产、技术、质量、设备、劳动、财务等方面的管理，把环境管理渗透到整个企业管理中，将环境管理融合在一起，以减少从生产过程中各环节排出的污染物。</w:t>
      </w:r>
    </w:p>
    <w:p w14:paraId="6F21AF01">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建设单位应将环境管理作为企业管理的重要组成部分，建立环境污染管理系统、制度、规划等，协调发展生产和保护生态环境之间的关系，使生产目标与环境目标统一起来，经济效益与环境效益统一起来</w:t>
      </w:r>
      <w:r>
        <w:rPr>
          <w:rFonts w:hint="default" w:ascii="Times New Roman" w:hAnsi="Times New Roman" w:eastAsia="宋体" w:cs="Times New Roman"/>
          <w:caps w:val="0"/>
          <w:snapToGrid/>
          <w:color w:val="auto"/>
          <w:spacing w:val="0"/>
          <w:w w:val="100"/>
          <w:kern w:val="21"/>
          <w:position w:val="0"/>
          <w:highlight w:val="none"/>
        </w:rPr>
        <w:t>。</w:t>
      </w:r>
    </w:p>
    <w:p w14:paraId="27F7AAC7">
      <w:pPr>
        <w:pStyle w:val="4"/>
        <w:keepNext w:val="0"/>
        <w:keepLines w:val="0"/>
        <w:pageBreakBefore w:val="0"/>
        <w:widowControl w:val="0"/>
        <w:kinsoku/>
        <w:wordWrap/>
        <w:overflowPunct/>
        <w:topLinePunct w:val="0"/>
        <w:autoSpaceDE/>
        <w:autoSpaceDN/>
        <w:bidi w:val="0"/>
        <w:rPr>
          <w:rFonts w:hint="default"/>
          <w:color w:val="auto"/>
          <w:spacing w:val="0"/>
          <w:w w:val="100"/>
          <w:position w:val="0"/>
          <w:lang w:val="en-US" w:eastAsia="zh-CN"/>
        </w:rPr>
      </w:pPr>
      <w:r>
        <w:rPr>
          <w:rFonts w:hint="eastAsia"/>
          <w:color w:val="auto"/>
          <w:spacing w:val="0"/>
          <w:w w:val="100"/>
          <w:position w:val="0"/>
          <w:lang w:val="en-US" w:eastAsia="zh-CN"/>
        </w:rPr>
        <w:t>8.1.2环境管理体系</w:t>
      </w:r>
    </w:p>
    <w:p w14:paraId="554B5A45">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环境管理体系是企业管理体系的重要组成部分，通过制定环境方针、环境目标和指标，采用系统化的管理方法，强化企业内部环境管理，在企业环境管理的各个环节中控制环境因素，减少环境影响。在环境管理体系建立、运行和改进的过程中，贯彻污染预防、清洁生产的思想和方法，持续改进企业的环境绩效。</w:t>
      </w:r>
    </w:p>
    <w:p w14:paraId="0F77026C">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环境污染问题是由自然、社会、经济和技术等多种因素引起的，情况十分复杂，因此必须对损害和破坏环境的活动施加影响，以达到控制、保护和改善环境的目的。要达到这个目的，则需要在环境容量允许的前提下，本着“以防为主、综合治理、以管促治、管治结合”的原则，以环境科学的理论为基础，用技术的、经济的、教育的和行政的手段，对项目经营活动进行科学管理，协调社会经济发展和保护环境的关系，从而达到经济效益、社会效益和环境效益的统一。</w:t>
      </w:r>
    </w:p>
    <w:p w14:paraId="24FBBC91">
      <w:pPr>
        <w:keepNext w:val="0"/>
        <w:keepLines w:val="0"/>
        <w:pageBreakBefore w:val="0"/>
        <w:widowControl w:val="0"/>
        <w:kinsoku/>
        <w:wordWrap/>
        <w:overflowPunct/>
        <w:topLinePunct w:val="0"/>
        <w:autoSpaceDE/>
        <w:autoSpaceDN/>
        <w:bidi w:val="0"/>
        <w:rPr>
          <w:rFonts w:hint="default"/>
          <w:color w:val="auto"/>
          <w:spacing w:val="0"/>
          <w:w w:val="100"/>
          <w:position w:val="0"/>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建设单位计划配备专（兼）职生态环境保护人员数名，负责本公司的环境监督管理工作，管理机构隶属于生产部门，负责对公司的生态环境保护工作进行全面管理，特别是对各污染源的控制与污染治理设施进行监督检查。</w:t>
      </w:r>
    </w:p>
    <w:p w14:paraId="2BD0F739">
      <w:pPr>
        <w:pStyle w:val="4"/>
        <w:keepNext w:val="0"/>
        <w:keepLines w:val="0"/>
        <w:pageBreakBefore w:val="0"/>
        <w:widowControl w:val="0"/>
        <w:kinsoku/>
        <w:wordWrap/>
        <w:overflowPunct/>
        <w:topLinePunct w:val="0"/>
        <w:autoSpaceDE/>
        <w:autoSpaceDN/>
        <w:bidi w:val="0"/>
        <w:rPr>
          <w:rFonts w:hint="default"/>
          <w:color w:val="auto"/>
          <w:spacing w:val="0"/>
          <w:w w:val="100"/>
          <w:position w:val="0"/>
          <w:lang w:val="en-US" w:eastAsia="zh-CN"/>
        </w:rPr>
      </w:pPr>
      <w:bookmarkStart w:id="725" w:name="_Toc21662"/>
      <w:bookmarkStart w:id="726" w:name="_Toc536692058"/>
      <w:bookmarkStart w:id="727" w:name="_Toc6680"/>
      <w:bookmarkStart w:id="728" w:name="_Toc9013"/>
      <w:bookmarkStart w:id="729" w:name="_Toc28098"/>
      <w:bookmarkStart w:id="730" w:name="_Toc15663"/>
      <w:bookmarkStart w:id="731" w:name="_Toc30607"/>
      <w:bookmarkStart w:id="732" w:name="_Toc2916"/>
      <w:bookmarkStart w:id="733" w:name="_Toc21255"/>
      <w:bookmarkStart w:id="734" w:name="_Toc6002"/>
      <w:bookmarkStart w:id="735" w:name="_Toc5307"/>
      <w:bookmarkStart w:id="736" w:name="_Toc2744"/>
      <w:bookmarkStart w:id="737" w:name="_Toc7765"/>
      <w:bookmarkStart w:id="738" w:name="_Toc17439"/>
      <w:bookmarkStart w:id="739" w:name="_Toc12507"/>
      <w:bookmarkStart w:id="740" w:name="_Toc31553"/>
      <w:bookmarkStart w:id="741" w:name="_Toc200"/>
      <w:bookmarkStart w:id="742" w:name="_Toc885"/>
      <w:r>
        <w:rPr>
          <w:rFonts w:hint="default"/>
          <w:color w:val="auto"/>
          <w:spacing w:val="0"/>
          <w:w w:val="100"/>
          <w:position w:val="0"/>
          <w:lang w:val="en-US" w:eastAsia="zh-CN"/>
        </w:rPr>
        <w:t>8.1.</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r>
        <w:rPr>
          <w:rFonts w:hint="eastAsia"/>
          <w:color w:val="auto"/>
          <w:spacing w:val="0"/>
          <w:w w:val="100"/>
          <w:position w:val="0"/>
          <w:lang w:val="en-US" w:eastAsia="zh-CN"/>
        </w:rPr>
        <w:t>3</w:t>
      </w:r>
      <w:r>
        <w:rPr>
          <w:rFonts w:hint="default"/>
          <w:color w:val="auto"/>
          <w:spacing w:val="0"/>
          <w:w w:val="100"/>
          <w:position w:val="0"/>
          <w:lang w:val="en-US" w:eastAsia="zh-CN"/>
        </w:rPr>
        <w:t>环境管理</w:t>
      </w:r>
      <w:bookmarkEnd w:id="739"/>
      <w:bookmarkEnd w:id="740"/>
      <w:bookmarkEnd w:id="741"/>
      <w:r>
        <w:rPr>
          <w:rFonts w:hint="eastAsia"/>
          <w:color w:val="auto"/>
          <w:spacing w:val="0"/>
          <w:w w:val="100"/>
          <w:position w:val="0"/>
          <w:lang w:val="en-US" w:eastAsia="zh-CN"/>
        </w:rPr>
        <w:t>机构设置</w:t>
      </w:r>
      <w:bookmarkEnd w:id="742"/>
    </w:p>
    <w:p w14:paraId="112F336C">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bookmarkStart w:id="743" w:name="_Toc441671768"/>
      <w:bookmarkStart w:id="744" w:name="_Toc397607924"/>
      <w:bookmarkStart w:id="745" w:name="_Toc56473655"/>
      <w:bookmarkStart w:id="746" w:name="_Toc60132058"/>
      <w:bookmarkStart w:id="747" w:name="_Toc39813763"/>
      <w:bookmarkStart w:id="748" w:name="_Toc52963742"/>
      <w:bookmarkStart w:id="749" w:name="_Toc49650114"/>
      <w:bookmarkStart w:id="750" w:name="_Toc46721336"/>
      <w:bookmarkStart w:id="751" w:name="_Toc53041799"/>
      <w:bookmarkStart w:id="752" w:name="_Toc38100167"/>
      <w:bookmarkStart w:id="753" w:name="_Toc53041660"/>
      <w:bookmarkStart w:id="754" w:name="_Toc38155529"/>
      <w:bookmarkStart w:id="755" w:name="_Toc149306182"/>
      <w:bookmarkStart w:id="756" w:name="_Toc48526162"/>
      <w:bookmarkStart w:id="757" w:name="_Toc56853280"/>
      <w:bookmarkStart w:id="758" w:name="_Toc16059339"/>
      <w:bookmarkStart w:id="759" w:name="_Toc46468657"/>
      <w:bookmarkStart w:id="760" w:name="_Toc48548439"/>
      <w:bookmarkStart w:id="761" w:name="_Toc56853336"/>
      <w:bookmarkStart w:id="762" w:name="_Toc48038851"/>
      <w:bookmarkStart w:id="763" w:name="_Toc41298067"/>
      <w:bookmarkStart w:id="764" w:name="_Toc52612977"/>
      <w:bookmarkStart w:id="765" w:name="_Toc37850290"/>
      <w:bookmarkStart w:id="766" w:name="_Toc38155610"/>
      <w:bookmarkStart w:id="767" w:name="_Toc39907118"/>
      <w:bookmarkStart w:id="768" w:name="_Toc39473634"/>
      <w:bookmarkStart w:id="769" w:name="_Toc47772599"/>
      <w:bookmarkStart w:id="770" w:name="_Toc46828721"/>
      <w:bookmarkStart w:id="771" w:name="_Toc149012438"/>
      <w:bookmarkStart w:id="772" w:name="_Toc41556516"/>
      <w:bookmarkStart w:id="773" w:name="_Toc38094727"/>
      <w:bookmarkStart w:id="774" w:name="_Toc59868352"/>
      <w:bookmarkStart w:id="775" w:name="_Toc50712532"/>
      <w:bookmarkStart w:id="776" w:name="_Toc50974786"/>
      <w:bookmarkStart w:id="777" w:name="_Toc58289263"/>
      <w:bookmarkStart w:id="778" w:name="_Toc57598591"/>
      <w:bookmarkStart w:id="779" w:name="_Toc46736538"/>
      <w:bookmarkStart w:id="780" w:name="_Toc58824822"/>
      <w:bookmarkStart w:id="781" w:name="_Toc21276"/>
      <w:bookmarkStart w:id="782" w:name="_Toc9183"/>
      <w:bookmarkStart w:id="783" w:name="_Toc28715"/>
      <w:bookmarkStart w:id="784" w:name="_Toc5040"/>
      <w:bookmarkStart w:id="785" w:name="_Toc536692060"/>
      <w:bookmarkStart w:id="786" w:name="_Toc18259"/>
      <w:bookmarkStart w:id="787" w:name="_Toc4938"/>
      <w:bookmarkStart w:id="788" w:name="_Toc10798"/>
      <w:bookmarkStart w:id="789" w:name="_Toc8342"/>
      <w:bookmarkStart w:id="790" w:name="_Toc24893"/>
      <w:bookmarkStart w:id="791" w:name="_Toc14010_WPSOffice_Level3"/>
      <w:bookmarkStart w:id="792" w:name="_Toc29299"/>
      <w:bookmarkStart w:id="793" w:name="_Toc1548"/>
      <w:bookmarkStart w:id="794" w:name="_Toc31416"/>
      <w:bookmarkStart w:id="795" w:name="_Toc8013"/>
      <w:r>
        <w:rPr>
          <w:rFonts w:hint="default"/>
          <w:color w:val="auto"/>
          <w:spacing w:val="0"/>
          <w:w w:val="100"/>
          <w:position w:val="0"/>
          <w:highlight w:val="none"/>
        </w:rPr>
        <w:t>根据对同类项目的调查发现，本项目主要污染为生产废气，因此拟建项目建成后，必须设置专门从事环境管理的机构，配备专职环保人员1-2名，负责环境监督管理工作，同时要加强对管理人员的环保培训，不断提高管理水平。</w:t>
      </w:r>
    </w:p>
    <w:p w14:paraId="4473B63A">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r>
        <w:rPr>
          <w:rFonts w:hint="default"/>
          <w:color w:val="auto"/>
          <w:spacing w:val="0"/>
          <w:w w:val="100"/>
          <w:position w:val="0"/>
          <w:highlight w:val="none"/>
        </w:rPr>
        <w:t>环境管理机构主要职能是研究决策本公司环保工作的重大事宜，并负责公司环境保护的规划和管理以及环境保护治理设施管理、维修、操作，负责公司的环境监测，是环境管理工作的具体执行部门。其主要职责如下：</w:t>
      </w:r>
    </w:p>
    <w:p w14:paraId="767E6738">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（1）环境管理机构除负责公司内部有关生态环境保护工作外，还应接受生态环境行政主管部门的检查与监督；</w:t>
      </w:r>
    </w:p>
    <w:p w14:paraId="241EC31B">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（2）贯彻执行各项生态环境法规和各项标准；</w:t>
      </w:r>
    </w:p>
    <w:p w14:paraId="45439058">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（3）组织制定和修改企业的生态环境保护管理体制及规章制度，并监督执行；</w:t>
      </w:r>
    </w:p>
    <w:p w14:paraId="4C669253">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（4）制定并组织实施生态环境保护规划和标准；</w:t>
      </w:r>
    </w:p>
    <w:p w14:paraId="6A76E00E">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（5）检查企业生态环境保护规划和计划；</w:t>
      </w:r>
    </w:p>
    <w:p w14:paraId="5430770E">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（6）建立资料库，管理污染源监测数据及资料的收集与存档；</w:t>
      </w:r>
    </w:p>
    <w:p w14:paraId="318B492A">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（7）加强对污染治理设施的监督管理，安排专人负责污染治理设施的具体操作，确保污染治理设施正常运行，保证污染物达标排放；</w:t>
      </w:r>
    </w:p>
    <w:p w14:paraId="2D4D9A0A">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（8）防范风险事故的发生，协助生态环境行政主管部门、企业内部应急反应中心或生产安全部门处理各种事故；</w:t>
      </w:r>
    </w:p>
    <w:p w14:paraId="25F17D32">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（9）开展生态环境保护知识教育，组织开展本企业的生态环境保护技术培训，提高员工的素质水平，组织和协调本企业的环境监测工作。</w:t>
      </w:r>
    </w:p>
    <w:p w14:paraId="2B9D271A">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796" w:name="_Toc29831"/>
      <w:bookmarkStart w:id="797" w:name="_Toc16129"/>
      <w:bookmarkStart w:id="798" w:name="_Toc25999"/>
      <w:bookmarkStart w:id="799" w:name="_Toc3149"/>
      <w:r>
        <w:rPr>
          <w:rFonts w:hint="default"/>
          <w:color w:val="auto"/>
          <w:spacing w:val="0"/>
          <w:w w:val="100"/>
          <w:position w:val="0"/>
          <w:highlight w:val="none"/>
          <w:lang w:val="en-US" w:eastAsia="zh-CN"/>
        </w:rPr>
        <w:t>8.1.4环境管理措施</w:t>
      </w:r>
      <w:bookmarkEnd w:id="796"/>
      <w:bookmarkEnd w:id="797"/>
      <w:bookmarkEnd w:id="798"/>
      <w:bookmarkEnd w:id="799"/>
    </w:p>
    <w:p w14:paraId="6771518B">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800" w:name="_Toc3490"/>
      <w:bookmarkStart w:id="801" w:name="_Toc28958"/>
      <w:r>
        <w:rPr>
          <w:rFonts w:hint="default"/>
          <w:color w:val="auto"/>
          <w:spacing w:val="0"/>
          <w:w w:val="100"/>
          <w:position w:val="0"/>
          <w:highlight w:val="none"/>
          <w:lang w:val="en-US" w:eastAsia="zh-CN"/>
        </w:rPr>
        <w:t>8.1.4.1建立健全企业环境管理台账和资料</w:t>
      </w:r>
      <w:bookmarkEnd w:id="800"/>
      <w:bookmarkEnd w:id="801"/>
    </w:p>
    <w:p w14:paraId="52B7BA96">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建设单位应建立完善的环境管理台账制度，设置专职人员开展台账记录、整理、维护等管理工作，并对台账记录结果的真实性、准确性、完整性负责，台账内容包括：</w:t>
      </w:r>
    </w:p>
    <w:p w14:paraId="7B75A41B">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1）档案记录：根据《挥发性有机物治理突出问题排查整治工作要求》中的相关要求，“采用催化燃烧工艺的企业应使用合格的催化剂并足额添加，催化剂床层的设计空速宜大于10000h，但不应高于40000h。采用非连续吸脱附治理工艺的，应按设计要求及时解吸吸附的非甲烷总烃，解吸气体应保证采用高效处理工艺处理后达标排放。蓄热式燃烧装置燃烧温度一般不低于760℃，催化燃烧装置燃烧温度一般不低于300℃，相关温度参数应自动记录存储。”</w:t>
      </w:r>
    </w:p>
    <w:p w14:paraId="27D62F52">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制定适用于本企业的生态环境</w:t>
      </w:r>
      <w:r>
        <w:rPr>
          <w:rFonts w:hint="eastAsia" w:cs="Times New Roman"/>
          <w:caps w:val="0"/>
          <w:snapToGrid/>
          <w:color w:val="auto"/>
          <w:spacing w:val="0"/>
          <w:w w:val="100"/>
          <w:kern w:val="21"/>
          <w:position w:val="0"/>
          <w:sz w:val="24"/>
          <w:szCs w:val="24"/>
          <w:highlight w:val="none"/>
          <w:lang w:val="en-US" w:eastAsia="zh-CN" w:bidi="ar-SA"/>
        </w:rPr>
        <w:t>法律法规</w:t>
      </w: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规章制度及相关政策性文件，建设项目环境影响评价文件和“三同时”验收资料，企业生态环境保护职责和管理制度，企业污染物排放总量控制指标和排污申报，污染治理设施检修停运申请报告，固体废物贮存、处置和利用设施的运行管理情况，危险废物安全处置单据，防范环境风险的措施和突发环境事件应急预案、应急演练组织实施方案和记录，突发环境事件总结材料，安全防护和消防设施日常维护保养记录，企业环境管理工作人员专业技术培训登记情况；环境影响评价文件中规定的环境监控监测记录，企业总平面布置图和污水管网线路图（总平面布置图应包括废水、废气污染源和排放口位置等）。</w:t>
      </w:r>
    </w:p>
    <w:p w14:paraId="7640A056">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（2）生产运行：生产装置、设施、公用单元和全厂运行情况，重点记录排污许可证中相关信息的实际情况</w:t>
      </w:r>
      <w:r>
        <w:rPr>
          <w:rFonts w:hint="eastAsia" w:cs="Times New Roman"/>
          <w:caps w:val="0"/>
          <w:snapToGrid/>
          <w:color w:val="auto"/>
          <w:spacing w:val="0"/>
          <w:w w:val="100"/>
          <w:kern w:val="21"/>
          <w:position w:val="0"/>
          <w:sz w:val="24"/>
          <w:szCs w:val="24"/>
          <w:highlight w:val="none"/>
          <w:lang w:val="en-US" w:eastAsia="zh-CN" w:bidi="ar-SA"/>
        </w:rPr>
        <w:t>及与</w:t>
      </w: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污染物治理、排放相关的主要运行参数，如生产设施运行时间、原辅料及能源使用情况，全厂原料、辅料、能源使用量等，记录与污染治理设施和污染物治理、排放相关的内容。</w:t>
      </w:r>
    </w:p>
    <w:p w14:paraId="1D938864">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（3）污染治理设施运行情况：废水、废气、噪声等污染物治理设施运行时间、运行参数；无组织废气排放控制措施执行情况，包括设备的维护、保养、检查等运行管理情况；固体废物的产生量、处置量等。</w:t>
      </w:r>
    </w:p>
    <w:p w14:paraId="179A1E74">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4）自行监测：手工监测记录信息，包括手工监测日期、采样及测定方法、监测结果等；自动监测运维记录，包括自动监测及辅助设备的运行状况，系统校准、校验记录、定期比对监测记录、维护保养记录、是否故障、故障维护记录、巡检日期等。</w:t>
      </w:r>
    </w:p>
    <w:p w14:paraId="4628BBF5">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企业环境管理档案分类分年度装订，资料和台账完善整齐，装订规范，排污许可证齐全，污染治理设施日常运行状况和监测记录连续、完整，指标符合环境管理要求。</w:t>
      </w:r>
    </w:p>
    <w:p w14:paraId="0F1BBD7E">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环境管理档案有固定场所存放，资料保存应在3年以上，台账应按照电子化储存和纸质储存两种形式同步管理，确保生态环境行政主管部门执法人员随时调阅检查。</w:t>
      </w:r>
    </w:p>
    <w:p w14:paraId="25E17885">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802" w:name="_Toc18648"/>
      <w:bookmarkStart w:id="803" w:name="_Toc17393"/>
      <w:r>
        <w:rPr>
          <w:rFonts w:hint="default"/>
          <w:color w:val="auto"/>
          <w:spacing w:val="0"/>
          <w:w w:val="100"/>
          <w:position w:val="0"/>
          <w:highlight w:val="none"/>
          <w:lang w:val="en-US" w:eastAsia="zh-CN"/>
        </w:rPr>
        <w:t>8.1.4.2建立企业内部环境管理制度</w:t>
      </w:r>
      <w:bookmarkEnd w:id="802"/>
      <w:bookmarkEnd w:id="803"/>
    </w:p>
    <w:p w14:paraId="4E11004C">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建设单位应建立完善的环境管理制度，主要包括：</w:t>
      </w:r>
    </w:p>
    <w:p w14:paraId="2FFF4081">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（1）企业环境综合管理制度</w:t>
      </w:r>
    </w:p>
    <w:p w14:paraId="23C01E7A">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包括企业生态环境保护规划与计划，企业污染减排计划，企业各部门生态环境保护职责分工，环境报告制度，环境监测制度，环境管理制度，危险废物环境管理制度，生态环境保护宣传教育和培训制度等。</w:t>
      </w:r>
    </w:p>
    <w:p w14:paraId="0C9473C5">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（2）企业污染治理设施设备运行管理制度</w:t>
      </w:r>
    </w:p>
    <w:p w14:paraId="68962A2F">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包括企业污染治理设施设备操作规程，交接班制度，台账制度，污染治理设施设备维护保养管理制度等。</w:t>
      </w:r>
    </w:p>
    <w:p w14:paraId="25352969">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（3）企业环境应急管理制度</w:t>
      </w:r>
    </w:p>
    <w:p w14:paraId="291AA31D">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包括环境风险管理制度，突发环境事件应急报告制度，综合环境应急预案和有关专项环境应急预案等。</w:t>
      </w:r>
    </w:p>
    <w:p w14:paraId="732FA398">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（4）企业环境监督员管理制度</w:t>
      </w:r>
    </w:p>
    <w:p w14:paraId="0A3B41C4">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包括企业环境管理负责人和企业环境监督员工作职责、工作规范等。</w:t>
      </w:r>
    </w:p>
    <w:p w14:paraId="71FB9A70">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（5）企业内部环境监督管理制度</w:t>
      </w:r>
    </w:p>
    <w:p w14:paraId="42DD7217">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包括污染治理设施设备运转巡查制度等。</w:t>
      </w:r>
    </w:p>
    <w:p w14:paraId="537331D2">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（6）危险化学品和危险废物管理制度</w:t>
      </w:r>
    </w:p>
    <w:p w14:paraId="7F9D81A6">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包括危险化学品保管和贮存管理制度，危险废物环境管理制度等。</w:t>
      </w:r>
    </w:p>
    <w:p w14:paraId="179C8B95">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环境管理制度以企业内部文件形式下发到各车间</w:t>
      </w:r>
      <w:r>
        <w:rPr>
          <w:rFonts w:hint="eastAsia" w:cs="Times New Roman"/>
          <w:caps w:val="0"/>
          <w:snapToGrid/>
          <w:color w:val="auto"/>
          <w:spacing w:val="0"/>
          <w:w w:val="100"/>
          <w:kern w:val="21"/>
          <w:position w:val="0"/>
          <w:sz w:val="24"/>
          <w:szCs w:val="24"/>
          <w:highlight w:val="none"/>
          <w:lang w:val="en-US" w:eastAsia="zh-CN" w:bidi="ar-SA"/>
        </w:rPr>
        <w:t>、各</w:t>
      </w: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部门。</w:t>
      </w:r>
    </w:p>
    <w:p w14:paraId="42F2FE69">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804" w:name="_Toc23708"/>
      <w:bookmarkStart w:id="805" w:name="_Toc868"/>
      <w:r>
        <w:rPr>
          <w:rFonts w:hint="default"/>
          <w:color w:val="auto"/>
          <w:spacing w:val="0"/>
          <w:w w:val="100"/>
          <w:position w:val="0"/>
          <w:highlight w:val="none"/>
          <w:lang w:val="en-US" w:eastAsia="zh-CN"/>
        </w:rPr>
        <w:t>8.1.4.3环境管理措施</w:t>
      </w:r>
      <w:bookmarkEnd w:id="804"/>
      <w:bookmarkEnd w:id="805"/>
    </w:p>
    <w:p w14:paraId="26107096">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建设单位应采取科学规范的环境管理措施，主要包括以下几个方面：</w:t>
      </w:r>
    </w:p>
    <w:p w14:paraId="0119A8AC">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（1）建立ISO14001环境管理体系，建议同时进行QHSE（质量、健康、安全、环保）审核。</w:t>
      </w:r>
    </w:p>
    <w:p w14:paraId="41927F04">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（2）在生产期间，应严格按工艺操作规程进行生产，加强管理，保证生产的正常进行。</w:t>
      </w:r>
    </w:p>
    <w:p w14:paraId="21BB0B51">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（3）应落实好各项配套污染治理设施，加强装置的日常环境管理，避免出现“跑、冒、滴、漏”现象。</w:t>
      </w:r>
    </w:p>
    <w:p w14:paraId="08DEDBAC">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（4）制订生态环境保护岗位目标责任制，将环境管理纳入生产管理体系，环境评估与经济效益评估相结合，建立严格的奖惩机制。</w:t>
      </w:r>
    </w:p>
    <w:p w14:paraId="38ED8083">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（5）加强生态环境保护宣传教育工作，进行岗位培训，使全体职工能够意识到生态环境保护的重要意义，包括与企业生产、生存和发展的关系，全公司应有危机感和责任感，把生态环境保护工作</w:t>
      </w:r>
      <w:r>
        <w:rPr>
          <w:rFonts w:hint="eastAsia" w:cs="Times New Roman"/>
          <w:caps w:val="0"/>
          <w:snapToGrid/>
          <w:color w:val="auto"/>
          <w:spacing w:val="0"/>
          <w:w w:val="100"/>
          <w:kern w:val="21"/>
          <w:position w:val="0"/>
          <w:sz w:val="24"/>
          <w:szCs w:val="24"/>
          <w:highlight w:val="none"/>
          <w:lang w:val="en-US" w:eastAsia="zh-CN" w:bidi="ar-SA"/>
        </w:rPr>
        <w:t>落到实处</w:t>
      </w: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，落实到每一位员工。</w:t>
      </w:r>
    </w:p>
    <w:p w14:paraId="5B07DDCF">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（6）加强环境监测数据的统计工作，建立全厂完善的污染源及物料流失档案，严格控制污染物排放总量，确保污染物排放指标达到设计要求。</w:t>
      </w:r>
    </w:p>
    <w:p w14:paraId="11D6030A">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7）强化对污染治理设施的运行监督、管理的职能，建立全厂完善的污染治理设施运行、维护、维修等技术档案；加强对污染治理设施操作人员的技术培训，确保污染治理设施处于正常运行情况，污染物排放连续达标。</w:t>
      </w:r>
    </w:p>
    <w:p w14:paraId="13B51490">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b w:val="0"/>
          <w:bCs w:val="0"/>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（8）对突发环境事件应急预案进行定期演练并对存在的问题进行及时的补充和完善。</w:t>
      </w:r>
    </w:p>
    <w:p w14:paraId="180B7554">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806" w:name="_Toc19011"/>
      <w:bookmarkStart w:id="807" w:name="_Toc30063"/>
      <w:bookmarkStart w:id="808" w:name="_Toc10948"/>
      <w:bookmarkStart w:id="809" w:name="_Toc12710"/>
      <w:r>
        <w:rPr>
          <w:rFonts w:hint="default"/>
          <w:color w:val="auto"/>
          <w:spacing w:val="0"/>
          <w:w w:val="100"/>
          <w:position w:val="0"/>
          <w:highlight w:val="none"/>
          <w:lang w:val="en-US" w:eastAsia="zh-CN"/>
        </w:rPr>
        <w:t>8.1.5各阶段的环境管理要求</w:t>
      </w:r>
      <w:bookmarkEnd w:id="806"/>
      <w:bookmarkEnd w:id="807"/>
      <w:bookmarkEnd w:id="808"/>
      <w:bookmarkEnd w:id="809"/>
    </w:p>
    <w:p w14:paraId="4B1D54F0">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810" w:name="_Toc22925"/>
      <w:bookmarkStart w:id="811" w:name="_Toc6922"/>
      <w:r>
        <w:rPr>
          <w:rFonts w:hint="default"/>
          <w:color w:val="auto"/>
          <w:spacing w:val="0"/>
          <w:w w:val="100"/>
          <w:position w:val="0"/>
          <w:highlight w:val="none"/>
          <w:lang w:val="en-US" w:eastAsia="zh-CN"/>
        </w:rPr>
        <w:t>8.1.5.1项目审批阶段</w:t>
      </w:r>
      <w:bookmarkEnd w:id="810"/>
      <w:bookmarkEnd w:id="811"/>
    </w:p>
    <w:p w14:paraId="76579DA6">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项目环境影响评价文件要按照生态环境部发布的《建设项目环境影响评价分类管理名录</w:t>
      </w:r>
      <w:r>
        <w:rPr>
          <w:color w:val="auto"/>
          <w:spacing w:val="0"/>
          <w:w w:val="100"/>
          <w:kern w:val="21"/>
          <w:position w:val="0"/>
        </w:rPr>
        <w:t>（2021年版）</w:t>
      </w:r>
      <w:r>
        <w:rPr>
          <w:rFonts w:hint="default" w:ascii="Times New Roman" w:hAnsi="Times New Roman" w:eastAsia="宋体" w:cs="Times New Roman"/>
          <w:caps w:val="0"/>
          <w:snapToGrid/>
          <w:color w:val="auto"/>
          <w:spacing w:val="0"/>
          <w:w w:val="100"/>
          <w:kern w:val="21"/>
          <w:position w:val="0"/>
          <w:szCs w:val="24"/>
          <w:highlight w:val="none"/>
          <w:lang w:val="en-US" w:eastAsia="zh-CN"/>
        </w:rPr>
        <w:t>》规定，确定环境影响评价文件的类别，委托相应机构编制环境影响评价文件。</w:t>
      </w:r>
    </w:p>
    <w:p w14:paraId="454C0D34">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企业在委托环评文件编制后应积极配合环评编制单位查勘现场，及时提供环评文件编写所需的各类资料。</w:t>
      </w:r>
    </w:p>
    <w:p w14:paraId="7BE10F5F">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在环境影响报告书的编制和生态环境主管部门审批或者重新审核环境影响报告书的过程中，应该按规定公开有关环境影响评价的信息，征求公众意见。</w:t>
      </w:r>
    </w:p>
    <w:p w14:paraId="13107D10">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企业有权要求环评文件编制及审批等单位和个人为其保守商业、技术等秘密。</w:t>
      </w:r>
    </w:p>
    <w:p w14:paraId="02A1F6B8">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环境影响评价文件由建设单位报有审批权的生态环境行政主管部门审批，环境影响评价文件未经批准，不得开工建设，自批准之日起超过5年方决定该项目开工建设的，其环境影响评价文件应当报原审批部门重新审批。</w:t>
      </w:r>
    </w:p>
    <w:p w14:paraId="136433BE">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812" w:name="_Toc3848"/>
      <w:bookmarkStart w:id="813" w:name="_Toc20929"/>
      <w:r>
        <w:rPr>
          <w:rFonts w:hint="default"/>
          <w:color w:val="auto"/>
          <w:spacing w:val="0"/>
          <w:w w:val="100"/>
          <w:position w:val="0"/>
          <w:highlight w:val="none"/>
          <w:lang w:val="en-US" w:eastAsia="zh-CN"/>
        </w:rPr>
        <w:t>8.1.5.2建设施工阶段</w:t>
      </w:r>
      <w:bookmarkEnd w:id="812"/>
      <w:bookmarkEnd w:id="813"/>
    </w:p>
    <w:p w14:paraId="2484B848">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r>
        <w:rPr>
          <w:rFonts w:hint="default"/>
          <w:color w:val="auto"/>
          <w:spacing w:val="0"/>
          <w:w w:val="100"/>
          <w:position w:val="0"/>
          <w:highlight w:val="none"/>
          <w:lang w:val="en-US" w:eastAsia="zh-CN"/>
        </w:rPr>
        <w:t>项目施工过程中会产生粉尘、噪声、建筑垃圾等。尽管项目施工期环境影响只存在于施工短期时间内，但如不注意也会产生不良后果，因此，加强施工期的环境管理也是一项重要内容。</w:t>
      </w:r>
    </w:p>
    <w:p w14:paraId="46467F21">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r>
        <w:rPr>
          <w:rFonts w:hint="default"/>
          <w:color w:val="auto"/>
          <w:spacing w:val="0"/>
          <w:w w:val="100"/>
          <w:position w:val="0"/>
          <w:highlight w:val="none"/>
          <w:lang w:val="en-US" w:eastAsia="zh-CN"/>
        </w:rPr>
        <w:t>为了加强施工期的环境管理力度，建设单位应当与工程中标承包商签订《建设工程施工期的保护环境协议》，协议内容要求承包商遵守国家和地方制定的环境法律、法规，对其提出环境保护工作的任务、要求和目标，运用经济、法律、行政等手段，做好施工期的污染防治工作，保证施工期项目周围的环境质量。厂区环境管理部门应将相关施工期可能产生的环境问题和预防措施向工程承包商详细讲解，使其能够充分理解、接受，同时要求他们在施工前制定施工现场环境管理计划，明确环境责任，并落实于工程建设过程中。</w:t>
      </w:r>
    </w:p>
    <w:p w14:paraId="7B4E30FD">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r>
        <w:rPr>
          <w:rFonts w:hint="default"/>
          <w:color w:val="auto"/>
          <w:spacing w:val="0"/>
          <w:w w:val="100"/>
          <w:position w:val="0"/>
          <w:highlight w:val="none"/>
          <w:lang w:val="en-US" w:eastAsia="zh-CN"/>
        </w:rPr>
        <w:t>建设单位应专门聘请监理工程师，在对项目施工进行全过程监理时，有责任对施工中环境保护措施的执行情况进行监督；建设单位有责任落实环境影响缓解措施，减轻工程建设可能造成的不利影响。</w:t>
      </w:r>
    </w:p>
    <w:p w14:paraId="72E3ED89">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（1）管理目标</w:t>
      </w:r>
    </w:p>
    <w:p w14:paraId="501936BB">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①以适当的环境保护投资充分发挥本工程潜在的效益。</w:t>
      </w:r>
    </w:p>
    <w:p w14:paraId="394BA687">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②对项目产生不利的环境影响得到缓解或消除。</w:t>
      </w:r>
    </w:p>
    <w:p w14:paraId="19768D21">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③落实招标文件中环境保护条款及与环境有关的合同条款。</w:t>
      </w:r>
    </w:p>
    <w:p w14:paraId="1F5386E7">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④保护人群健康，避免施工区内传染病暴发和流行。</w:t>
      </w:r>
    </w:p>
    <w:p w14:paraId="74615A83">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⑤实现工程建设的环境、社会与经济效益的统一。</w:t>
      </w:r>
    </w:p>
    <w:p w14:paraId="742CC746">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（2）安全、文明施工管理的主要要求</w:t>
      </w:r>
    </w:p>
    <w:p w14:paraId="2A62E85D">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①审核施工单位资质及项目安全管理第一责任人、直接责任人和消防责任人任职书及其资质是否符合要求；核查施工项目经理、安全员、质检员和管理人员及特种施工人员资质、上岗证及其落实情况，监督施工单位按建质</w:t>
      </w:r>
      <w:r>
        <w:rPr>
          <w:rFonts w:hint="eastAsia"/>
          <w:color w:val="auto"/>
          <w:spacing w:val="0"/>
          <w:w w:val="100"/>
          <w:position w:val="0"/>
          <w:highlight w:val="none"/>
          <w:lang w:val="en-US" w:eastAsia="zh-CN"/>
        </w:rPr>
        <w:t>〔2004〕213号</w:t>
      </w:r>
      <w:r>
        <w:rPr>
          <w:rFonts w:hint="default"/>
          <w:color w:val="auto"/>
          <w:spacing w:val="0"/>
          <w:w w:val="100"/>
          <w:position w:val="0"/>
          <w:highlight w:val="none"/>
          <w:lang w:val="en-US" w:eastAsia="zh-CN"/>
        </w:rPr>
        <w:t>文要求健全项目安全生产管理机构和配置专职安全生产管理人员，并具备其个人资质和到位情况。</w:t>
      </w:r>
    </w:p>
    <w:p w14:paraId="5D9D1D46">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②审查和督促施工项目部建立和健全安全管理体系和各项目管理制度。</w:t>
      </w:r>
    </w:p>
    <w:p w14:paraId="47A694C5">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③审核施工组织设计、专项作业安全施工方案和措施：审核施工单位编报的环境保护规章制度和环境保护责任制；审核施工单位的环境保护培训计划，并监督承包人对其工作人员进行环境保护知识培训。</w:t>
      </w:r>
    </w:p>
    <w:p w14:paraId="6BF10042">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④根据现场检查和环境监测单位提供的环境监测报告，对存在的环境影响问题及时要求承包人采取措施，必要时应要求承包人进行整改。</w:t>
      </w:r>
    </w:p>
    <w:p w14:paraId="5665FF8E">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⑤主持环境保护专题会议，协调施工活动与环境保护之间的冲突，参与工程建设中的重大环境问题的分析研究与处理。</w:t>
      </w:r>
    </w:p>
    <w:p w14:paraId="07EBE005">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⑥进行环境保护监理的文件档案管理。</w:t>
      </w:r>
    </w:p>
    <w:p w14:paraId="11EFBDE2">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（3）施工现场环境管理要求</w:t>
      </w:r>
    </w:p>
    <w:p w14:paraId="69455314">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1）施工场地</w:t>
      </w:r>
    </w:p>
    <w:p w14:paraId="1BAF6103">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①施工废水经隔油沉淀预处理后全部回用，禁止直接外排。</w:t>
      </w:r>
    </w:p>
    <w:p w14:paraId="61FF77FC">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②施工场地应设垃圾桶，集中收集施工人员生活垃圾。</w:t>
      </w:r>
    </w:p>
    <w:p w14:paraId="6CB958F5">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③施工区大气污染主要来源于车间改造和地面平整产生的扬尘，要求设置细目滞尘网和加强洒水。施工单位是否按照《防治城市扬尘污染技术规范》（HJ/T393-2007）要求，对施工过程中产生的扬尘进行合理、有效的治理或处置。</w:t>
      </w:r>
    </w:p>
    <w:p w14:paraId="223793C3">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④施工期噪声应当符合国家规定的《建筑施工噪声排放标准》（GB12523-2025）。施工场界噪声限值为昼间70dB(A)，夜间55dB(A)。施工过程中使用的各类机械设备要求控制噪声污染，合理安排施工作业，防止施工噪声对区域声环境造成影响。</w:t>
      </w:r>
    </w:p>
    <w:p w14:paraId="3E0A9168">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⑤当装修工程竣工时，承包人应从现场清除运走废料、垃圾，拆除和清理不再需要的临时工程，保持移交工程及工程所在现场清洁整齐。保证处置和清运率达到100%要求。</w:t>
      </w:r>
    </w:p>
    <w:p w14:paraId="446C5FBA">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⑥建筑垃圾和施工弃土处置须按照《城市建筑垃圾管理规定》等的要求加强管理。</w:t>
      </w:r>
    </w:p>
    <w:p w14:paraId="2A6C6494">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2）其它工程环境管理要点</w:t>
      </w:r>
    </w:p>
    <w:p w14:paraId="46303E7D">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①建设规划实施过程中，应当采取措施，控制扬尘、噪声、废水、固体废弃物等污染，防止或者减轻施工对环境空气、地表水、景观等的破坏，改善、恢复施工场地周围的环境。</w:t>
      </w:r>
    </w:p>
    <w:p w14:paraId="5F31B62C">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②将建筑垃圾收集至指定地点堆放，并采取防护措施，避免其流入水体。</w:t>
      </w:r>
    </w:p>
    <w:p w14:paraId="4B33F12A">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③除抢修、抢险作业外，禁止夜间进行产生噪声污染、影响居民休息的建筑施工作业。确需连续作业的，应报当地生态环境主管部门批准，并公告居民。</w:t>
      </w:r>
    </w:p>
    <w:p w14:paraId="2533BE4B">
      <w:pPr>
        <w:pStyle w:val="3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④项目建设期间，应根据国家环境保护的规定和要求，重点检查工程进展情况是否符合“三同时”原则，项目的污染防治措施是否按计划与主体工程同时施工，质量是否符合要求。</w:t>
      </w:r>
    </w:p>
    <w:p w14:paraId="57DB0F56">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814" w:name="_Toc15149"/>
      <w:bookmarkStart w:id="815" w:name="_Toc21807"/>
      <w:r>
        <w:rPr>
          <w:rFonts w:hint="default"/>
          <w:color w:val="auto"/>
          <w:spacing w:val="0"/>
          <w:w w:val="100"/>
          <w:position w:val="0"/>
          <w:highlight w:val="none"/>
          <w:lang w:val="en-US" w:eastAsia="zh-CN"/>
        </w:rPr>
        <w:t>8.1.5.3竣工环境保护验收阶段</w:t>
      </w:r>
      <w:bookmarkEnd w:id="814"/>
      <w:bookmarkEnd w:id="815"/>
    </w:p>
    <w:p w14:paraId="1C595332">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根据《建设项目竣工环境保护验收暂行办法》的相关要求，建设项目竣工后建设单位自主开展竣工环境保护验收及相关监督管理。</w:t>
      </w:r>
    </w:p>
    <w:p w14:paraId="745BFD47">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（1）建设项目竣工后，建设单位应当如实查验、监测、记录建设项目污染治理设施的建设和调试情况，编制验收监测（调查）报告。</w:t>
      </w:r>
    </w:p>
    <w:p w14:paraId="306842E5">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2）需要对建设项目配套建设的污染治理设施进行调试的，应当确保调试期间污染物排放符合国家和地方有关污染物排放标准和排污许可等相关管理规定。污染治理设施未与主体工程同时建成的，或者应当取得排污许可证但未取得的，建设单位不得对该建设项目污染治理设施进行调试。</w:t>
      </w:r>
    </w:p>
    <w:p w14:paraId="2FBBE1C9">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3）验收监测（调查）报告编制完成后，建设单位应当根据验收监测（调查）报告结论，逐一检查是否存在验收不合格的情形，提出验收意见。存在问题的，建设单位应当进行整改，整改完成后方可提出验收意见。建设项目配套建设的污染治理设施经验收合格后，其主体工程方可投入生产或使用；未经验收</w:t>
      </w:r>
      <w:r>
        <w:rPr>
          <w:rFonts w:hint="eastAsia" w:cs="Times New Roman"/>
          <w:caps w:val="0"/>
          <w:snapToGrid/>
          <w:color w:val="auto"/>
          <w:spacing w:val="0"/>
          <w:w w:val="100"/>
          <w:kern w:val="21"/>
          <w:position w:val="0"/>
          <w:szCs w:val="24"/>
          <w:highlight w:val="none"/>
          <w:lang w:val="en-US" w:eastAsia="zh-CN"/>
        </w:rPr>
        <w:t>或</w:t>
      </w:r>
      <w:r>
        <w:rPr>
          <w:rFonts w:hint="default" w:ascii="Times New Roman" w:hAnsi="Times New Roman" w:eastAsia="宋体" w:cs="Times New Roman"/>
          <w:caps w:val="0"/>
          <w:snapToGrid/>
          <w:color w:val="auto"/>
          <w:spacing w:val="0"/>
          <w:w w:val="100"/>
          <w:kern w:val="21"/>
          <w:position w:val="0"/>
          <w:szCs w:val="24"/>
          <w:highlight w:val="none"/>
          <w:lang w:val="en-US" w:eastAsia="zh-CN"/>
        </w:rPr>
        <w:t>验收不合格的，不得投入生产或使用。</w:t>
      </w:r>
    </w:p>
    <w:p w14:paraId="66DD3A99">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（4）存在以下情形之一的，建设单位不得提出验收合格的意见：</w:t>
      </w:r>
    </w:p>
    <w:p w14:paraId="1F368C74">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①未按环境影响报告书及其审批部门审批决定要求建成污染治理设施，或者污染治理设施不能与主体工程同时投产或使用的；</w:t>
      </w:r>
    </w:p>
    <w:p w14:paraId="7E8E272B">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②污染物排放不符合国家和地方相关标准、环境影响报告书及其审批部门审批决定或者重点污染物排放总量控制指标要求的；</w:t>
      </w:r>
    </w:p>
    <w:p w14:paraId="2A09CF1C">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③环境影响报告书经批准后，该建设项目的性质、规模、地点、采用的生产工艺或者防治污染、防止生态破坏的措施发生重大变动，建设单位未重新报批环境影响报告书（表）或者环境影响报告书（表）未经批准的；</w:t>
      </w:r>
    </w:p>
    <w:p w14:paraId="64F11365">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rPr>
        <w:t>④建设过程中造成重大环境污染未治理完成，或者造成重大生态破坏未恢复的；</w:t>
      </w:r>
    </w:p>
    <w:p w14:paraId="6C99B4E9">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⑤纳入排污许可管理的建设项目，无证排污或者不按证排污的；</w:t>
      </w:r>
    </w:p>
    <w:p w14:paraId="335BF1D7">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⑥分期建设、分期投入生产或者适用依法应当分期验收的建设项目，其分期建设、分期投入生产或者使用的污染治理设施防治环境污染和生态破坏的能力不能满足其相应主体工程需要的；</w:t>
      </w:r>
    </w:p>
    <w:p w14:paraId="1B442F3C">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⑦建设单位因该建设项目违反国家和地方环境保护法律法规受到处罚，被责令改正，尚未改正完成的；</w:t>
      </w:r>
    </w:p>
    <w:p w14:paraId="2152D7E4">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⑧验收报告的基础资料数据明显不实，内容存在重大缺项、遗漏，或者验收结论不明确、不合理的；</w:t>
      </w:r>
    </w:p>
    <w:p w14:paraId="715CDDBF">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⑨其他环境保护法律法规规章等规定不得通过环境保护验收的。</w:t>
      </w:r>
    </w:p>
    <w:p w14:paraId="38864FDC">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5）建设单位应当通过网站或其他便于公众知晓的方式，在验收报告编制完成后5个工作日内，向社会公开项目环境信息，公示的期限不得少于20个工作日。公开信息的同时，应当向所在地生态环境主管部门报送相关信息，并接受监督检查。</w:t>
      </w:r>
    </w:p>
    <w:p w14:paraId="326AF422">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6）验收报告公示期满后5个工作日内，建设单位应当在全国建设项目竣工环境保护验收信息平台填报建设项目基本信息、污染治理设施验收情况等相关信息。建设单位应当将验收报告以及其他档案资料存档备查。</w:t>
      </w:r>
    </w:p>
    <w:p w14:paraId="40822710">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7）纳入排污许可管理的建设项目，排污单位应当在项目产生实际污染物排放之前，按照国家排污许可有关管理规定要求申请排污许可证，不得无证排污或不按证排污。建设项目验收报告中与污染物排放相关的内容应当纳入该项目验收完成当年排污许可执行年报。</w:t>
      </w:r>
    </w:p>
    <w:p w14:paraId="182261D4">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816" w:name="_Toc16507"/>
      <w:bookmarkStart w:id="817" w:name="_Toc25093"/>
      <w:r>
        <w:rPr>
          <w:rFonts w:hint="default"/>
          <w:color w:val="auto"/>
          <w:spacing w:val="0"/>
          <w:w w:val="100"/>
          <w:position w:val="0"/>
          <w:highlight w:val="none"/>
          <w:lang w:val="en-US" w:eastAsia="zh-CN"/>
        </w:rPr>
        <w:t>8.1.5.4项目运营期环境管理</w:t>
      </w:r>
      <w:bookmarkEnd w:id="816"/>
      <w:bookmarkEnd w:id="817"/>
    </w:p>
    <w:p w14:paraId="69D9CEF9">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（1）废气</w:t>
      </w:r>
    </w:p>
    <w:p w14:paraId="7922CE95">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项目配套的废气污染治理设施应按照国家和地方规范进行设计。建设单位应根据相关法律法规、标准和技术规范等要求保证大气污染防治设施与生产设施同步正常运行，排放的废气污染物符合相关国家或地方污染物排放标准规定。由于事故或设备维修等原因造成污染治理设施停止运行时，应立即报告当地生态环境主管部门。污染治理设施应在满足设计工况的条件下运行，并根据工艺要求，定期对设备、电气、自控仪表及构筑物进行检查维护，确保污染治理设施可靠运行。对于项目排放的无组织废气，应采取如下管理措施：</w:t>
      </w:r>
    </w:p>
    <w:p w14:paraId="29C81951">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①对项目区废气无组织排放源，应采用全空间或局部空间密闭措施，减少无组织废气排放的产生。</w:t>
      </w:r>
    </w:p>
    <w:p w14:paraId="036BC7F5">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②按需订购原辅料，及时清理和处置固体废弃物，避免原料、固体废物等在厂内长时间堆存。</w:t>
      </w:r>
    </w:p>
    <w:p w14:paraId="7AA54D46">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③存在挥发性有机物无组织排放的单元，其生产工艺中涉及非甲烷总烃排放、企</w:t>
      </w:r>
      <w:r>
        <w:rPr>
          <w:rFonts w:hint="default" w:ascii="Times New Roman" w:hAnsi="Times New Roman" w:eastAsia="宋体" w:cs="Times New Roman"/>
          <w:caps w:val="0"/>
          <w:snapToGrid/>
          <w:color w:val="auto"/>
          <w:spacing w:val="0"/>
          <w:w w:val="100"/>
          <w:kern w:val="21"/>
          <w:position w:val="0"/>
          <w:sz w:val="24"/>
          <w:szCs w:val="24"/>
          <w:highlight w:val="none"/>
          <w:lang w:val="en-US" w:eastAsia="zh-CN"/>
        </w:rPr>
        <w:t>业厂区等应当按照《挥发性有机物无组织排放控制标准》（GB37822-2019）附录A表A.1中特别排放限值执行</w:t>
      </w:r>
      <w:r>
        <w:rPr>
          <w:rFonts w:hint="default" w:ascii="Times New Roman" w:hAnsi="Times New Roman" w:eastAsia="宋体" w:cs="Times New Roman"/>
          <w:caps w:val="0"/>
          <w:snapToGrid/>
          <w:color w:val="auto"/>
          <w:spacing w:val="0"/>
          <w:w w:val="100"/>
          <w:kern w:val="21"/>
          <w:position w:val="0"/>
          <w:szCs w:val="24"/>
          <w:highlight w:val="none"/>
          <w:lang w:val="en-US" w:eastAsia="zh-CN"/>
        </w:rPr>
        <w:t>。</w:t>
      </w:r>
    </w:p>
    <w:p w14:paraId="6B34F886">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（2）工业固体废物</w:t>
      </w:r>
    </w:p>
    <w:p w14:paraId="7E3236BE">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①加强固体废物收集、转运、贮存、利用、处置等各环节的运行管理，确保固体废物管理全过程可控。</w:t>
      </w:r>
    </w:p>
    <w:p w14:paraId="34919F54">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②生产过程中产生的各类固体废物应尽可能进行综合利用，自行综合利用时应采取有效措施防止二次污染。</w:t>
      </w:r>
    </w:p>
    <w:p w14:paraId="140D72FC">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③规范固体废物产生环节、产生量、特性、去向（贮存、综合利用、自行处置、委托处置）及相应数量记录。</w:t>
      </w:r>
    </w:p>
    <w:p w14:paraId="0859C110">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④一般固废暂存应严格落实《排污许可证申请与核发技术规范 工业固体废物（试行）》（HJ1200-2021）</w:t>
      </w:r>
      <w:r>
        <w:rPr>
          <w:rFonts w:hint="eastAsia" w:cs="Times New Roman"/>
          <w:caps w:val="0"/>
          <w:snapToGrid/>
          <w:color w:val="auto"/>
          <w:spacing w:val="0"/>
          <w:w w:val="100"/>
          <w:kern w:val="21"/>
          <w:position w:val="0"/>
          <w:szCs w:val="24"/>
          <w:highlight w:val="none"/>
          <w:lang w:val="en-US" w:eastAsia="zh-CN"/>
        </w:rPr>
        <w:t>与</w:t>
      </w:r>
      <w:r>
        <w:rPr>
          <w:rFonts w:hint="default" w:ascii="Times New Roman" w:hAnsi="Times New Roman" w:eastAsia="宋体" w:cs="Times New Roman"/>
          <w:caps w:val="0"/>
          <w:snapToGrid/>
          <w:color w:val="auto"/>
          <w:spacing w:val="0"/>
          <w:w w:val="100"/>
          <w:kern w:val="21"/>
          <w:position w:val="0"/>
          <w:szCs w:val="24"/>
          <w:highlight w:val="none"/>
          <w:lang w:val="en-US" w:eastAsia="zh-CN"/>
        </w:rPr>
        <w:t>《一般工业固体废物贮存和填埋污染控制标准》（GB18599-2020）相关要求。</w:t>
      </w:r>
    </w:p>
    <w:p w14:paraId="3CA4064C">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⑤危险废物产生、收集、贮存、利用、处置过程应满足危险废物有关法律法规、标准规范相关规定要求，并通过全国固体废物管理信息系统报送危险废物产生、贮存、转移、利用和处置等情况。</w:t>
      </w:r>
    </w:p>
    <w:p w14:paraId="56239A65">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eastAsia" w:cs="Times New Roman"/>
          <w:caps w:val="0"/>
          <w:snapToGrid/>
          <w:color w:val="auto"/>
          <w:spacing w:val="0"/>
          <w:w w:val="100"/>
          <w:kern w:val="21"/>
          <w:position w:val="0"/>
          <w:szCs w:val="24"/>
          <w:highlight w:val="none"/>
          <w:lang w:val="en-US" w:eastAsia="zh-CN"/>
        </w:rPr>
        <w:t>（3）危险废物</w:t>
      </w:r>
    </w:p>
    <w:p w14:paraId="2C7A56EA">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eastAsia" w:ascii="Times New Roman" w:hAnsi="Times New Roman" w:eastAsia="宋体" w:cs="Times New Roman"/>
          <w:caps w:val="0"/>
          <w:snapToGrid/>
          <w:color w:val="auto"/>
          <w:spacing w:val="0"/>
          <w:w w:val="100"/>
          <w:kern w:val="21"/>
          <w:position w:val="0"/>
          <w:szCs w:val="24"/>
          <w:highlight w:val="none"/>
          <w:lang w:val="en-US" w:eastAsia="zh-CN"/>
        </w:rPr>
        <w:t>①</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危险废物应按照《危险废物贮存污染控制标准》（GB18597-2023）、《危险废物收集 贮存 运输技术规范》（HJ2025-2012）等相关要求进行收集、周转、贮存和管理，委托有相应危险废物处理资质的处理单位处理。</w:t>
      </w:r>
    </w:p>
    <w:p w14:paraId="3FD8023E">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eastAsia" w:ascii="Times New Roman" w:hAnsi="Times New Roman" w:eastAsia="宋体" w:cs="Times New Roman"/>
          <w:caps w:val="0"/>
          <w:snapToGrid/>
          <w:color w:val="auto"/>
          <w:spacing w:val="0"/>
          <w:w w:val="100"/>
          <w:kern w:val="21"/>
          <w:position w:val="0"/>
          <w:szCs w:val="24"/>
          <w:highlight w:val="none"/>
          <w:lang w:val="en-US" w:eastAsia="zh-CN"/>
        </w:rPr>
        <w:t>②</w:t>
      </w:r>
      <w:r>
        <w:rPr>
          <w:rFonts w:hint="default" w:ascii="Times New Roman" w:hAnsi="Times New Roman" w:eastAsia="宋体" w:cs="Times New Roman"/>
          <w:caps w:val="0"/>
          <w:snapToGrid/>
          <w:color w:val="auto"/>
          <w:spacing w:val="0"/>
          <w:w w:val="100"/>
          <w:kern w:val="21"/>
          <w:position w:val="0"/>
          <w:szCs w:val="24"/>
          <w:highlight w:val="none"/>
          <w:lang w:val="en-US" w:eastAsia="zh-CN"/>
        </w:rPr>
        <w:t>危险废物产生、收集、贮存、利用、处置过程应满足危险废物有关法律法规、标准规范相关规定要求，并通过全国固体废物管理信息系统报送危险废物产生、贮存、转移、利用和处置等情况。</w:t>
      </w:r>
    </w:p>
    <w:p w14:paraId="27AC2C07">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eastAsia" w:cs="Times New Roman"/>
          <w:caps w:val="0"/>
          <w:snapToGrid/>
          <w:color w:val="auto"/>
          <w:spacing w:val="0"/>
          <w:w w:val="100"/>
          <w:kern w:val="21"/>
          <w:position w:val="0"/>
          <w:szCs w:val="24"/>
          <w:highlight w:val="none"/>
          <w:lang w:val="en-US" w:eastAsia="zh-CN"/>
        </w:rPr>
        <w:t>③</w:t>
      </w:r>
      <w:r>
        <w:rPr>
          <w:rFonts w:hint="eastAsia" w:ascii="Times New Roman" w:hAnsi="Times New Roman" w:eastAsia="宋体" w:cs="Times New Roman"/>
          <w:caps w:val="0"/>
          <w:snapToGrid/>
          <w:color w:val="auto"/>
          <w:spacing w:val="0"/>
          <w:w w:val="100"/>
          <w:kern w:val="0"/>
          <w:position w:val="0"/>
          <w:highlight w:val="none"/>
          <w:shd w:val="clear" w:color="auto" w:fill="auto"/>
          <w:lang w:val="en-US" w:eastAsia="zh-CN"/>
        </w:rPr>
        <w:t>贮存设施应根据危险废物的形态、物理化学性质、包装形式和污染物迁移途径，采取必要的防风、防晒、防雨、防漏、防渗、防腐以及其他环境污染防治措施，不应露天堆放危险废物</w:t>
      </w:r>
    </w:p>
    <w:p w14:paraId="1B3F11EE">
      <w:pPr>
        <w:pStyle w:val="32"/>
        <w:keepNext w:val="0"/>
        <w:keepLines w:val="0"/>
        <w:pageBreakBefore w:val="0"/>
        <w:widowControl w:val="0"/>
        <w:kinsoku/>
        <w:wordWrap/>
        <w:overflowPunct/>
        <w:topLinePunct w:val="0"/>
        <w:autoSpaceDE/>
        <w:autoSpaceDN/>
        <w:bidi w:val="0"/>
        <w:rPr>
          <w:rFonts w:hint="default"/>
          <w:color w:val="auto"/>
          <w:spacing w:val="0"/>
          <w:w w:val="100"/>
          <w:position w:val="0"/>
          <w:lang w:val="en-US" w:eastAsia="zh-CN"/>
        </w:rPr>
      </w:pPr>
      <w:r>
        <w:rPr>
          <w:rFonts w:hint="eastAsia" w:ascii="Times New Roman" w:hAnsi="Times New Roman" w:eastAsia="宋体" w:cs="Times New Roman"/>
          <w:caps w:val="0"/>
          <w:snapToGrid/>
          <w:color w:val="auto"/>
          <w:spacing w:val="0"/>
          <w:w w:val="100"/>
          <w:kern w:val="0"/>
          <w:position w:val="0"/>
          <w:highlight w:val="none"/>
          <w:shd w:val="clear" w:color="auto" w:fill="auto"/>
          <w:lang w:val="en-US" w:eastAsia="zh-CN"/>
        </w:rPr>
        <w:t>④</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根据《危险废物转移管理办法》</w:t>
      </w:r>
      <w:r>
        <w:rPr>
          <w:rFonts w:hint="eastAsia" w:cs="Times New Roman"/>
          <w:caps w:val="0"/>
          <w:snapToGrid/>
          <w:color w:val="auto"/>
          <w:spacing w:val="0"/>
          <w:w w:val="100"/>
          <w:kern w:val="0"/>
          <w:position w:val="0"/>
          <w:highlight w:val="none"/>
          <w:shd w:val="clear" w:color="auto" w:fill="auto"/>
          <w:lang w:val="en-US" w:eastAsia="zh-CN"/>
        </w:rPr>
        <w:t>、《危险废物产生单位管理计划制定指南》的要求</w:t>
      </w:r>
      <w:r>
        <w:rPr>
          <w:rFonts w:hint="default" w:ascii="Times New Roman" w:hAnsi="Times New Roman" w:eastAsia="宋体" w:cs="Times New Roman"/>
          <w:caps w:val="0"/>
          <w:snapToGrid/>
          <w:color w:val="auto"/>
          <w:spacing w:val="0"/>
          <w:w w:val="100"/>
          <w:kern w:val="0"/>
          <w:position w:val="0"/>
          <w:highlight w:val="none"/>
          <w:shd w:val="clear" w:color="auto" w:fill="auto"/>
          <w:lang w:val="en-US" w:eastAsia="zh-CN"/>
        </w:rPr>
        <w:t>，对项目产生的危险废物的转运</w:t>
      </w:r>
      <w:r>
        <w:rPr>
          <w:rFonts w:hint="eastAsia" w:cs="Times New Roman"/>
          <w:caps w:val="0"/>
          <w:snapToGrid/>
          <w:color w:val="auto"/>
          <w:spacing w:val="0"/>
          <w:w w:val="100"/>
          <w:kern w:val="0"/>
          <w:position w:val="0"/>
          <w:highlight w:val="none"/>
          <w:shd w:val="clear" w:color="auto" w:fill="auto"/>
          <w:lang w:val="en-US" w:eastAsia="zh-CN"/>
        </w:rPr>
        <w:t>、管理及处置</w:t>
      </w:r>
      <w:r>
        <w:rPr>
          <w:rFonts w:hint="eastAsia" w:ascii="Times New Roman" w:hAnsi="Times New Roman" w:eastAsia="宋体" w:cs="Times New Roman"/>
          <w:caps w:val="0"/>
          <w:snapToGrid/>
          <w:color w:val="auto"/>
          <w:spacing w:val="0"/>
          <w:w w:val="100"/>
          <w:kern w:val="0"/>
          <w:position w:val="0"/>
          <w:highlight w:val="none"/>
          <w:shd w:val="clear" w:color="auto" w:fill="auto"/>
          <w:lang w:val="en-US" w:eastAsia="zh-CN"/>
        </w:rPr>
        <w:t>进行管理</w:t>
      </w:r>
    </w:p>
    <w:p w14:paraId="54831C4B">
      <w:pPr>
        <w:pStyle w:val="32"/>
        <w:keepNext w:val="0"/>
        <w:keepLines w:val="0"/>
        <w:pageBreakBefore w:val="0"/>
        <w:widowControl w:val="0"/>
        <w:kinsoku/>
        <w:wordWrap/>
        <w:overflowPunct/>
        <w:topLinePunct w:val="0"/>
        <w:autoSpaceDE/>
        <w:autoSpaceDN/>
        <w:bidi w:val="0"/>
        <w:rPr>
          <w:rFonts w:hint="default"/>
          <w:color w:val="auto"/>
          <w:spacing w:val="0"/>
          <w:w w:val="100"/>
          <w:position w:val="0"/>
          <w:lang w:val="en-US" w:eastAsia="zh-CN"/>
        </w:rPr>
      </w:pPr>
      <w:r>
        <w:rPr>
          <w:rFonts w:hint="eastAsia"/>
          <w:color w:val="auto"/>
          <w:spacing w:val="0"/>
          <w:w w:val="100"/>
          <w:position w:val="0"/>
          <w:lang w:val="en-US" w:eastAsia="zh-CN"/>
        </w:rPr>
        <w:t>⑤</w:t>
      </w:r>
      <w:r>
        <w:rPr>
          <w:rFonts w:hint="eastAsia" w:ascii="Times New Roman" w:hAnsi="Times New Roman" w:eastAsia="宋体" w:cs="Times New Roman"/>
          <w:caps w:val="0"/>
          <w:snapToGrid/>
          <w:color w:val="auto"/>
          <w:spacing w:val="0"/>
          <w:w w:val="100"/>
          <w:kern w:val="0"/>
          <w:position w:val="0"/>
          <w:highlight w:val="none"/>
          <w:shd w:val="clear" w:color="auto" w:fill="auto"/>
          <w:lang w:val="en-US" w:eastAsia="zh-CN"/>
        </w:rPr>
        <w:t>危险废物转移过程应按《危险废物转移联单管理办法》执行</w:t>
      </w:r>
    </w:p>
    <w:p w14:paraId="7EC82241">
      <w:pPr>
        <w:pStyle w:val="32"/>
        <w:keepNext w:val="0"/>
        <w:keepLines w:val="0"/>
        <w:pageBreakBefore w:val="0"/>
        <w:widowControl w:val="0"/>
        <w:kinsoku/>
        <w:wordWrap/>
        <w:overflowPunct/>
        <w:topLinePunct w:val="0"/>
        <w:autoSpaceDE/>
        <w:autoSpaceDN/>
        <w:bidi w:val="0"/>
        <w:rPr>
          <w:rFonts w:hint="default"/>
          <w:color w:val="auto"/>
          <w:spacing w:val="0"/>
          <w:w w:val="100"/>
          <w:position w:val="0"/>
          <w:lang w:val="en-US" w:eastAsia="zh-CN"/>
        </w:rPr>
      </w:pPr>
      <w:r>
        <w:rPr>
          <w:rFonts w:hint="eastAsia"/>
          <w:color w:val="auto"/>
          <w:spacing w:val="0"/>
          <w:w w:val="100"/>
          <w:position w:val="0"/>
          <w:lang w:val="en-US" w:eastAsia="zh-CN"/>
        </w:rPr>
        <w:t>⑥</w:t>
      </w:r>
      <w:r>
        <w:rPr>
          <w:rFonts w:hint="eastAsia" w:ascii="Times New Roman" w:hAnsi="Times New Roman" w:eastAsia="宋体" w:cs="Times New Roman"/>
          <w:caps w:val="0"/>
          <w:snapToGrid/>
          <w:color w:val="auto"/>
          <w:spacing w:val="0"/>
          <w:w w:val="100"/>
          <w:kern w:val="0"/>
          <w:position w:val="0"/>
          <w:highlight w:val="none"/>
          <w:shd w:val="clear" w:color="auto" w:fill="auto"/>
          <w:lang w:val="en-US" w:eastAsia="zh-CN"/>
        </w:rPr>
        <w:t>危险废物收集、贮存、运输单位应建立规范的管理和技术人员培训制度，定期针对管理和技术人员进行培训。培训内容至少应包括危险废物鉴别要求、危险废物经营许可证管理、危险废物转移联单管理、危险废物包装和标识、危险废物运输要求、危险废物事故应急方法等</w:t>
      </w:r>
    </w:p>
    <w:p w14:paraId="02D7A6EA">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w:t>
      </w:r>
      <w:r>
        <w:rPr>
          <w:rFonts w:hint="eastAsia" w:cs="Times New Roman"/>
          <w:caps w:val="0"/>
          <w:snapToGrid/>
          <w:color w:val="auto"/>
          <w:spacing w:val="0"/>
          <w:w w:val="100"/>
          <w:kern w:val="21"/>
          <w:position w:val="0"/>
          <w:szCs w:val="24"/>
          <w:highlight w:val="none"/>
          <w:lang w:val="en-US" w:eastAsia="zh-CN"/>
        </w:rPr>
        <w:t>4</w:t>
      </w:r>
      <w:r>
        <w:rPr>
          <w:rFonts w:hint="default" w:ascii="Times New Roman" w:hAnsi="Times New Roman" w:eastAsia="宋体" w:cs="Times New Roman"/>
          <w:caps w:val="0"/>
          <w:snapToGrid/>
          <w:color w:val="auto"/>
          <w:spacing w:val="0"/>
          <w:w w:val="100"/>
          <w:kern w:val="21"/>
          <w:position w:val="0"/>
          <w:szCs w:val="24"/>
          <w:highlight w:val="none"/>
          <w:lang w:val="en-US" w:eastAsia="zh-CN"/>
        </w:rPr>
        <w:t>）地下水及土壤污染预防管理</w:t>
      </w:r>
    </w:p>
    <w:p w14:paraId="52DC8D2D">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建设单位在生产、使用、贮存、运输、回收、处置、排放有毒有害物质的，应当采取有效措施，防止有毒有害物质渗漏、流失、扬散，避免地下水及土壤受到污染。</w:t>
      </w:r>
    </w:p>
    <w:p w14:paraId="3ECD5CDB">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涉及有毒有害污染物的排污单位，针对可能污染土壤和地下水的渗漏、泄漏风险点还应采取如下防治措施：</w:t>
      </w:r>
    </w:p>
    <w:p w14:paraId="1B13C601">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①源头控制：对有毒有害物质，特别是液体或粉状固体物料储存及输送、生产加工、污水治理、固体废物堆放采取相应的防渗漏、泄漏措施。</w:t>
      </w:r>
    </w:p>
    <w:p w14:paraId="2CF92464">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②分区防控：原辅料及燃料储存区、生产装置区、输送管道、污水治理设施、固体废物堆存区的防渗要求应满足国家和地方标准、防渗技术规范要求。</w:t>
      </w:r>
    </w:p>
    <w:p w14:paraId="60AABA71">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③渗漏、泄漏检测：对管道等配置渗漏、泄漏检测装置，阴极保护系统等防腐蚀装置，定期对渗漏、泄漏风险点进行隐患排查。</w:t>
      </w:r>
    </w:p>
    <w:p w14:paraId="41700167">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Cs w:val="24"/>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④制定、实施自行监测方案，并将监测数据上报生态环境主管部门。</w:t>
      </w:r>
    </w:p>
    <w:p w14:paraId="3E2A12F7">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818" w:name="_Toc25175"/>
      <w:bookmarkStart w:id="819" w:name="_Toc1229"/>
      <w:r>
        <w:rPr>
          <w:rFonts w:hint="default"/>
          <w:color w:val="auto"/>
          <w:spacing w:val="0"/>
          <w:w w:val="100"/>
          <w:position w:val="0"/>
          <w:highlight w:val="none"/>
          <w:lang w:val="en-US" w:eastAsia="zh-CN"/>
        </w:rPr>
        <w:t>8.1.5.5非正常工况下的环境应急管理</w:t>
      </w:r>
      <w:bookmarkEnd w:id="818"/>
      <w:bookmarkEnd w:id="819"/>
    </w:p>
    <w:p w14:paraId="7ED89497">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b w:val="0"/>
          <w:bCs w:val="0"/>
          <w:caps w:val="0"/>
          <w:snapToGrid/>
          <w:color w:val="auto"/>
          <w:spacing w:val="0"/>
          <w:w w:val="100"/>
          <w:kern w:val="21"/>
          <w:position w:val="0"/>
          <w:szCs w:val="24"/>
          <w:highlight w:val="none"/>
          <w:lang w:val="en-US" w:eastAsia="zh-CN"/>
        </w:rPr>
      </w:pPr>
      <w:r>
        <w:rPr>
          <w:rFonts w:hint="default" w:ascii="Times New Roman" w:hAnsi="Times New Roman" w:eastAsia="宋体" w:cs="Times New Roman"/>
          <w:b w:val="0"/>
          <w:bCs w:val="0"/>
          <w:caps w:val="0"/>
          <w:snapToGrid/>
          <w:color w:val="auto"/>
          <w:spacing w:val="0"/>
          <w:w w:val="100"/>
          <w:kern w:val="21"/>
          <w:position w:val="0"/>
          <w:szCs w:val="24"/>
          <w:highlight w:val="none"/>
          <w:lang w:val="en-US" w:eastAsia="zh-CN"/>
        </w:rPr>
        <w:t>综合考虑建设项目污染治理状况、周边环境保护目标、区域自然条件等因素，客观准确识别企业存在的环境风险，按照有关规定编制企业突发环境事件应急预案，并报当地生态环境主管部门备案。</w:t>
      </w:r>
    </w:p>
    <w:p w14:paraId="2EBE32A4">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b w:val="0"/>
          <w:bCs w:val="0"/>
          <w:caps w:val="0"/>
          <w:snapToGrid/>
          <w:color w:val="auto"/>
          <w:spacing w:val="0"/>
          <w:w w:val="100"/>
          <w:kern w:val="21"/>
          <w:position w:val="0"/>
          <w:szCs w:val="24"/>
          <w:highlight w:val="none"/>
          <w:lang w:val="en-US" w:eastAsia="zh-CN"/>
        </w:rPr>
      </w:pPr>
      <w:r>
        <w:rPr>
          <w:rFonts w:hint="default" w:ascii="Times New Roman" w:hAnsi="Times New Roman" w:eastAsia="宋体" w:cs="Times New Roman"/>
          <w:b w:val="0"/>
          <w:bCs w:val="0"/>
          <w:caps w:val="0"/>
          <w:snapToGrid/>
          <w:color w:val="auto"/>
          <w:spacing w:val="0"/>
          <w:w w:val="100"/>
          <w:kern w:val="21"/>
          <w:position w:val="0"/>
          <w:szCs w:val="24"/>
          <w:highlight w:val="none"/>
          <w:lang w:val="en-US" w:eastAsia="zh-CN"/>
        </w:rPr>
        <w:t>突发环境事件应急预案坚持预防为主的原则，实施动态管理，并定期开展应急演练，查找预案的缺陷和不足并及时进行修订。建设单位应配备必要的应急物资，并定期检查和更新。</w:t>
      </w:r>
    </w:p>
    <w:p w14:paraId="3C886DF2">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b w:val="0"/>
          <w:bCs w:val="0"/>
          <w:caps w:val="0"/>
          <w:snapToGrid/>
          <w:color w:val="auto"/>
          <w:spacing w:val="0"/>
          <w:w w:val="100"/>
          <w:kern w:val="21"/>
          <w:position w:val="0"/>
          <w:szCs w:val="24"/>
          <w:highlight w:val="none"/>
          <w:lang w:val="en-US" w:eastAsia="zh-CN"/>
        </w:rPr>
      </w:pPr>
      <w:r>
        <w:rPr>
          <w:rFonts w:hint="default" w:ascii="Times New Roman" w:hAnsi="Times New Roman" w:eastAsia="宋体" w:cs="Times New Roman"/>
          <w:b w:val="0"/>
          <w:bCs w:val="0"/>
          <w:caps w:val="0"/>
          <w:snapToGrid/>
          <w:color w:val="auto"/>
          <w:spacing w:val="0"/>
          <w:w w:val="100"/>
          <w:kern w:val="21"/>
          <w:position w:val="0"/>
          <w:szCs w:val="24"/>
          <w:highlight w:val="none"/>
          <w:lang w:val="en-US" w:eastAsia="zh-CN"/>
        </w:rPr>
        <w:t>发生下列情形时，建设单位应提前向当地生态环境主管部门做书面报告：</w:t>
      </w:r>
    </w:p>
    <w:p w14:paraId="5C515175">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b w:val="0"/>
          <w:bCs w:val="0"/>
          <w:caps w:val="0"/>
          <w:snapToGrid/>
          <w:color w:val="auto"/>
          <w:spacing w:val="0"/>
          <w:w w:val="100"/>
          <w:kern w:val="21"/>
          <w:position w:val="0"/>
          <w:szCs w:val="24"/>
          <w:highlight w:val="none"/>
          <w:lang w:val="en-US" w:eastAsia="zh-CN"/>
        </w:rPr>
      </w:pPr>
      <w:r>
        <w:rPr>
          <w:rFonts w:hint="default" w:ascii="Times New Roman" w:hAnsi="Times New Roman" w:eastAsia="宋体" w:cs="Times New Roman"/>
          <w:b w:val="0"/>
          <w:bCs w:val="0"/>
          <w:caps w:val="0"/>
          <w:snapToGrid/>
          <w:color w:val="auto"/>
          <w:spacing w:val="0"/>
          <w:w w:val="100"/>
          <w:kern w:val="21"/>
          <w:position w:val="0"/>
          <w:szCs w:val="24"/>
          <w:highlight w:val="none"/>
          <w:lang w:val="en-US" w:eastAsia="zh-CN"/>
        </w:rPr>
        <w:t>（1）废弃、停用、更改污染治理和环境风险防范设施的；</w:t>
      </w:r>
    </w:p>
    <w:p w14:paraId="6A11B5F8">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b w:val="0"/>
          <w:bCs w:val="0"/>
          <w:caps w:val="0"/>
          <w:snapToGrid/>
          <w:color w:val="auto"/>
          <w:spacing w:val="0"/>
          <w:w w:val="100"/>
          <w:kern w:val="21"/>
          <w:position w:val="0"/>
          <w:szCs w:val="24"/>
          <w:highlight w:val="none"/>
          <w:lang w:val="en-US" w:eastAsia="zh-CN"/>
        </w:rPr>
      </w:pPr>
      <w:r>
        <w:rPr>
          <w:rFonts w:hint="default" w:ascii="Times New Roman" w:hAnsi="Times New Roman" w:eastAsia="宋体" w:cs="Times New Roman"/>
          <w:b w:val="0"/>
          <w:bCs w:val="0"/>
          <w:caps w:val="0"/>
          <w:snapToGrid/>
          <w:color w:val="auto"/>
          <w:spacing w:val="0"/>
          <w:w w:val="100"/>
          <w:kern w:val="21"/>
          <w:position w:val="0"/>
          <w:szCs w:val="24"/>
          <w:highlight w:val="none"/>
          <w:lang w:val="en-US" w:eastAsia="zh-CN"/>
        </w:rPr>
        <w:t>（2）环境风险源种类或数量发生较大变更的。</w:t>
      </w:r>
    </w:p>
    <w:p w14:paraId="0CE5F58A">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textAlignment w:val="auto"/>
        <w:outlineLvl w:val="9"/>
        <w:rPr>
          <w:rFonts w:hint="default" w:ascii="Times New Roman" w:hAnsi="Times New Roman" w:eastAsia="宋体" w:cs="Times New Roman"/>
          <w:b w:val="0"/>
          <w:bCs w:val="0"/>
          <w:caps w:val="0"/>
          <w:snapToGrid/>
          <w:color w:val="auto"/>
          <w:spacing w:val="0"/>
          <w:w w:val="100"/>
          <w:kern w:val="21"/>
          <w:position w:val="0"/>
          <w:szCs w:val="24"/>
          <w:highlight w:val="none"/>
          <w:lang w:val="en-US" w:eastAsia="zh-CN"/>
        </w:rPr>
      </w:pPr>
      <w:r>
        <w:rPr>
          <w:rFonts w:hint="default" w:ascii="Times New Roman" w:hAnsi="Times New Roman" w:eastAsia="宋体" w:cs="Times New Roman"/>
          <w:b w:val="0"/>
          <w:bCs w:val="0"/>
          <w:caps w:val="0"/>
          <w:snapToGrid/>
          <w:color w:val="auto"/>
          <w:spacing w:val="0"/>
          <w:w w:val="100"/>
          <w:kern w:val="21"/>
          <w:position w:val="0"/>
          <w:szCs w:val="24"/>
          <w:highlight w:val="none"/>
          <w:lang w:val="en-US" w:eastAsia="zh-CN"/>
        </w:rPr>
        <w:t>建设单位应积极配合当地政府和有关部门开展突发环境污染事件调查工作。</w:t>
      </w:r>
    </w:p>
    <w:p w14:paraId="7FB99EC5">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820" w:name="_Toc24277"/>
      <w:bookmarkStart w:id="821" w:name="_Toc12373"/>
      <w:bookmarkStart w:id="822" w:name="_Toc16481"/>
      <w:r>
        <w:rPr>
          <w:rFonts w:hint="default"/>
          <w:color w:val="auto"/>
          <w:spacing w:val="0"/>
          <w:w w:val="100"/>
          <w:position w:val="0"/>
          <w:highlight w:val="none"/>
          <w:lang w:val="en-US" w:eastAsia="zh-CN"/>
        </w:rPr>
        <w:t>8.1.6信息披露制度</w:t>
      </w:r>
      <w:bookmarkEnd w:id="820"/>
      <w:bookmarkEnd w:id="821"/>
      <w:bookmarkEnd w:id="822"/>
    </w:p>
    <w:p w14:paraId="7E8F331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rPr>
      </w:pPr>
      <w:r>
        <w:rPr>
          <w:rFonts w:hint="default" w:ascii="Times New Roman" w:hAnsi="Times New Roman" w:eastAsia="宋体" w:cs="Times New Roman"/>
          <w:caps w:val="0"/>
          <w:snapToGrid/>
          <w:color w:val="auto"/>
          <w:spacing w:val="0"/>
          <w:w w:val="100"/>
          <w:kern w:val="21"/>
          <w:position w:val="0"/>
          <w:sz w:val="24"/>
          <w:szCs w:val="24"/>
          <w:highlight w:val="none"/>
        </w:rPr>
        <w:t>在报批环评报告书后，实际运行前，应尽快</w:t>
      </w:r>
      <w:r>
        <w:rPr>
          <w:rFonts w:hint="eastAsia" w:cs="Times New Roman"/>
          <w:caps w:val="0"/>
          <w:snapToGrid/>
          <w:color w:val="auto"/>
          <w:spacing w:val="0"/>
          <w:w w:val="100"/>
          <w:kern w:val="21"/>
          <w:position w:val="0"/>
          <w:sz w:val="24"/>
          <w:szCs w:val="24"/>
          <w:highlight w:val="none"/>
          <w:lang w:val="en-US" w:eastAsia="zh-CN"/>
        </w:rPr>
        <w:t>申领</w:t>
      </w:r>
      <w:r>
        <w:rPr>
          <w:rFonts w:hint="default" w:ascii="Times New Roman" w:hAnsi="Times New Roman" w:eastAsia="宋体" w:cs="Times New Roman"/>
          <w:caps w:val="0"/>
          <w:snapToGrid/>
          <w:color w:val="auto"/>
          <w:spacing w:val="0"/>
          <w:w w:val="100"/>
          <w:kern w:val="21"/>
          <w:position w:val="0"/>
          <w:sz w:val="24"/>
          <w:szCs w:val="24"/>
          <w:highlight w:val="none"/>
        </w:rPr>
        <w:t>排污许可证，作为项目合法运行的前提。</w:t>
      </w:r>
      <w:r>
        <w:rPr>
          <w:rFonts w:hint="default" w:ascii="Times New Roman" w:hAnsi="Times New Roman" w:eastAsia="宋体" w:cs="Times New Roman"/>
          <w:caps w:val="0"/>
          <w:snapToGrid/>
          <w:color w:val="auto"/>
          <w:spacing w:val="0"/>
          <w:w w:val="100"/>
          <w:kern w:val="21"/>
          <w:position w:val="0"/>
          <w:sz w:val="24"/>
          <w:szCs w:val="24"/>
          <w:highlight w:val="none"/>
          <w:lang w:val="en-US" w:eastAsia="zh-CN"/>
        </w:rPr>
        <w:t>根据《固定污染源排污许可分类管理名录（2019年版）》，本项目</w:t>
      </w:r>
      <w:r>
        <w:rPr>
          <w:rFonts w:hint="eastAsia"/>
          <w:color w:val="auto"/>
          <w:spacing w:val="0"/>
          <w:w w:val="100"/>
          <w:position w:val="0"/>
          <w:highlight w:val="none"/>
          <w:lang w:val="en-US" w:eastAsia="zh-CN"/>
        </w:rPr>
        <w:t>为“二十六、橡胶塑料制品业29--53、塑料制品业292--塑料板、管、型材制造2922、”，</w:t>
      </w:r>
      <w:r>
        <w:rPr>
          <w:rFonts w:hint="default" w:ascii="Times New Roman" w:hAnsi="Times New Roman" w:eastAsia="宋体" w:cs="Times New Roman"/>
          <w:caps w:val="0"/>
          <w:snapToGrid/>
          <w:color w:val="auto"/>
          <w:spacing w:val="0"/>
          <w:w w:val="100"/>
          <w:kern w:val="21"/>
          <w:position w:val="0"/>
          <w:sz w:val="24"/>
          <w:highlight w:val="none"/>
        </w:rPr>
        <w:t>属于</w:t>
      </w:r>
      <w:r>
        <w:rPr>
          <w:rFonts w:hint="default" w:ascii="Times New Roman" w:hAnsi="Times New Roman" w:eastAsia="宋体" w:cs="Times New Roman"/>
          <w:caps w:val="0"/>
          <w:snapToGrid/>
          <w:color w:val="auto"/>
          <w:spacing w:val="0"/>
          <w:w w:val="100"/>
          <w:kern w:val="21"/>
          <w:position w:val="0"/>
          <w:sz w:val="24"/>
          <w:highlight w:val="none"/>
          <w:lang w:val="en-US" w:eastAsia="zh-CN"/>
        </w:rPr>
        <w:t>简化</w:t>
      </w:r>
      <w:r>
        <w:rPr>
          <w:rFonts w:hint="default" w:ascii="Times New Roman" w:hAnsi="Times New Roman" w:eastAsia="宋体" w:cs="Times New Roman"/>
          <w:caps w:val="0"/>
          <w:snapToGrid/>
          <w:color w:val="auto"/>
          <w:spacing w:val="0"/>
          <w:w w:val="100"/>
          <w:kern w:val="21"/>
          <w:position w:val="0"/>
          <w:sz w:val="24"/>
          <w:highlight w:val="none"/>
        </w:rPr>
        <w:t>管理</w:t>
      </w:r>
      <w:r>
        <w:rPr>
          <w:rFonts w:hint="eastAsia" w:ascii="Times New Roman" w:hAnsi="Times New Roman" w:eastAsia="宋体" w:cs="Times New Roman"/>
          <w:caps w:val="0"/>
          <w:snapToGrid/>
          <w:color w:val="auto"/>
          <w:spacing w:val="0"/>
          <w:w w:val="100"/>
          <w:kern w:val="21"/>
          <w:position w:val="0"/>
          <w:sz w:val="24"/>
          <w:highlight w:val="none"/>
          <w:lang w:eastAsia="zh-CN"/>
        </w:rPr>
        <w:t>。</w:t>
      </w:r>
      <w:r>
        <w:rPr>
          <w:rFonts w:hint="default" w:ascii="Times New Roman" w:hAnsi="Times New Roman" w:eastAsia="宋体" w:cs="Times New Roman"/>
          <w:caps w:val="0"/>
          <w:snapToGrid/>
          <w:color w:val="auto"/>
          <w:spacing w:val="0"/>
          <w:w w:val="100"/>
          <w:kern w:val="21"/>
          <w:position w:val="0"/>
          <w:sz w:val="24"/>
          <w:szCs w:val="24"/>
          <w:highlight w:val="none"/>
        </w:rPr>
        <w:t>按照《企业环境信息依法披露管理办法》</w:t>
      </w:r>
      <w:r>
        <w:rPr>
          <w:rFonts w:hint="default" w:ascii="Times New Roman" w:hAnsi="Times New Roman" w:eastAsia="宋体" w:cs="Times New Roman"/>
          <w:caps w:val="0"/>
          <w:snapToGrid/>
          <w:color w:val="auto"/>
          <w:spacing w:val="0"/>
          <w:w w:val="100"/>
          <w:kern w:val="21"/>
          <w:position w:val="0"/>
          <w:sz w:val="24"/>
          <w:szCs w:val="24"/>
          <w:highlight w:val="none"/>
          <w:lang w:eastAsia="zh-CN"/>
        </w:rPr>
        <w:t>（生态环境部</w:t>
      </w:r>
      <w:r>
        <w:rPr>
          <w:rFonts w:hint="default" w:ascii="Times New Roman" w:hAnsi="Times New Roman" w:eastAsia="宋体" w:cs="Times New Roman"/>
          <w:caps w:val="0"/>
          <w:snapToGrid/>
          <w:color w:val="auto"/>
          <w:spacing w:val="0"/>
          <w:w w:val="100"/>
          <w:kern w:val="21"/>
          <w:position w:val="0"/>
          <w:sz w:val="24"/>
          <w:szCs w:val="24"/>
          <w:highlight w:val="none"/>
          <w:lang w:val="en-US" w:eastAsia="zh-CN"/>
        </w:rPr>
        <w:t xml:space="preserve"> </w:t>
      </w:r>
      <w:r>
        <w:rPr>
          <w:rFonts w:hint="default" w:ascii="Times New Roman" w:hAnsi="Times New Roman" w:eastAsia="宋体" w:cs="Times New Roman"/>
          <w:caps w:val="0"/>
          <w:snapToGrid/>
          <w:color w:val="auto"/>
          <w:spacing w:val="0"/>
          <w:w w:val="100"/>
          <w:kern w:val="21"/>
          <w:position w:val="0"/>
          <w:sz w:val="24"/>
          <w:szCs w:val="24"/>
          <w:highlight w:val="none"/>
          <w:lang w:eastAsia="zh-CN"/>
        </w:rPr>
        <w:t>部令 第24号）</w:t>
      </w:r>
      <w:r>
        <w:rPr>
          <w:rFonts w:hint="default" w:ascii="Times New Roman" w:hAnsi="Times New Roman" w:eastAsia="宋体" w:cs="Times New Roman"/>
          <w:caps w:val="0"/>
          <w:snapToGrid/>
          <w:color w:val="auto"/>
          <w:spacing w:val="0"/>
          <w:w w:val="100"/>
          <w:kern w:val="21"/>
          <w:position w:val="0"/>
          <w:sz w:val="24"/>
          <w:szCs w:val="24"/>
          <w:highlight w:val="none"/>
        </w:rPr>
        <w:t>要求，</w:t>
      </w:r>
      <w:r>
        <w:rPr>
          <w:rFonts w:hint="default" w:ascii="Times New Roman" w:hAnsi="Times New Roman" w:eastAsia="宋体" w:cs="Times New Roman"/>
          <w:caps w:val="0"/>
          <w:snapToGrid/>
          <w:color w:val="auto"/>
          <w:spacing w:val="0"/>
          <w:w w:val="100"/>
          <w:kern w:val="21"/>
          <w:position w:val="0"/>
          <w:sz w:val="24"/>
          <w:szCs w:val="24"/>
          <w:highlight w:val="none"/>
          <w:lang w:val="en-US" w:eastAsia="zh-CN"/>
        </w:rPr>
        <w:t>简化管理</w:t>
      </w:r>
      <w:r>
        <w:rPr>
          <w:rFonts w:hint="default" w:ascii="Times New Roman" w:hAnsi="Times New Roman" w:eastAsia="宋体" w:cs="Times New Roman"/>
          <w:caps w:val="0"/>
          <w:snapToGrid/>
          <w:color w:val="auto"/>
          <w:spacing w:val="0"/>
          <w:w w:val="100"/>
          <w:kern w:val="21"/>
          <w:position w:val="0"/>
          <w:sz w:val="24"/>
          <w:szCs w:val="24"/>
          <w:highlight w:val="none"/>
        </w:rPr>
        <w:t>排污单位应对如下信息进行依法披露。</w:t>
      </w:r>
    </w:p>
    <w:p w14:paraId="4A1E82D6">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823" w:name="_Toc9398"/>
      <w:bookmarkStart w:id="824" w:name="_Toc23341"/>
      <w:r>
        <w:rPr>
          <w:rFonts w:hint="default"/>
          <w:color w:val="auto"/>
          <w:spacing w:val="0"/>
          <w:w w:val="100"/>
          <w:position w:val="0"/>
          <w:highlight w:val="none"/>
          <w:lang w:val="en-US" w:eastAsia="zh-CN"/>
        </w:rPr>
        <w:t>8.1.6.1信息披露内容</w:t>
      </w:r>
      <w:bookmarkEnd w:id="823"/>
      <w:bookmarkEnd w:id="824"/>
    </w:p>
    <w:p w14:paraId="1AC127F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rPr>
      </w:pPr>
      <w:r>
        <w:rPr>
          <w:rFonts w:hint="default" w:ascii="Times New Roman" w:hAnsi="Times New Roman" w:eastAsia="宋体" w:cs="Times New Roman"/>
          <w:caps w:val="0"/>
          <w:snapToGrid/>
          <w:color w:val="auto"/>
          <w:spacing w:val="0"/>
          <w:w w:val="100"/>
          <w:kern w:val="21"/>
          <w:position w:val="0"/>
          <w:sz w:val="24"/>
          <w:szCs w:val="24"/>
          <w:highlight w:val="none"/>
        </w:rPr>
        <w:t>（1）企业基本信息，包括企业生产和生态环境保护等方面的基础信息；</w:t>
      </w:r>
    </w:p>
    <w:p w14:paraId="163E48D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rPr>
      </w:pPr>
      <w:r>
        <w:rPr>
          <w:rFonts w:hint="default" w:ascii="Times New Roman" w:hAnsi="Times New Roman" w:eastAsia="宋体" w:cs="Times New Roman"/>
          <w:caps w:val="0"/>
          <w:snapToGrid/>
          <w:color w:val="auto"/>
          <w:spacing w:val="0"/>
          <w:w w:val="100"/>
          <w:kern w:val="21"/>
          <w:position w:val="0"/>
          <w:sz w:val="24"/>
          <w:szCs w:val="24"/>
          <w:highlight w:val="none"/>
        </w:rPr>
        <w:t>（2）企业环境管理信息，包括生态环境行政许可、环境保护税、环境污染责任保险、环保信用评价等方面的信息；</w:t>
      </w:r>
    </w:p>
    <w:p w14:paraId="457121E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rPr>
      </w:pPr>
      <w:r>
        <w:rPr>
          <w:rFonts w:hint="default" w:ascii="Times New Roman" w:hAnsi="Times New Roman" w:eastAsia="宋体" w:cs="Times New Roman"/>
          <w:caps w:val="0"/>
          <w:snapToGrid/>
          <w:color w:val="auto"/>
          <w:spacing w:val="0"/>
          <w:w w:val="100"/>
          <w:kern w:val="21"/>
          <w:position w:val="0"/>
          <w:sz w:val="24"/>
          <w:szCs w:val="24"/>
          <w:highlight w:val="none"/>
        </w:rPr>
        <w:t>（3）污染物产生、治理与排放信息，包括污染防治设施，污染物排放，有毒有害物质排放，工业固体废物和危险废物产生、贮存、流向、利用、处置、自行监测等方面的信息；</w:t>
      </w:r>
    </w:p>
    <w:p w14:paraId="6F7123C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rPr>
      </w:pPr>
      <w:r>
        <w:rPr>
          <w:rFonts w:hint="default" w:ascii="Times New Roman" w:hAnsi="Times New Roman" w:eastAsia="宋体" w:cs="Times New Roman"/>
          <w:caps w:val="0"/>
          <w:snapToGrid/>
          <w:color w:val="auto"/>
          <w:spacing w:val="0"/>
          <w:w w:val="100"/>
          <w:kern w:val="21"/>
          <w:position w:val="0"/>
          <w:sz w:val="24"/>
          <w:szCs w:val="24"/>
          <w:highlight w:val="none"/>
        </w:rPr>
        <w:t>（4）碳排放信息，包括排放量、排放设施等方面的信息；</w:t>
      </w:r>
    </w:p>
    <w:p w14:paraId="6CD09CC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rPr>
      </w:pPr>
      <w:r>
        <w:rPr>
          <w:rFonts w:hint="default" w:ascii="Times New Roman" w:hAnsi="Times New Roman" w:eastAsia="宋体" w:cs="Times New Roman"/>
          <w:caps w:val="0"/>
          <w:snapToGrid/>
          <w:color w:val="auto"/>
          <w:spacing w:val="0"/>
          <w:w w:val="100"/>
          <w:kern w:val="21"/>
          <w:position w:val="0"/>
          <w:sz w:val="24"/>
          <w:szCs w:val="24"/>
          <w:highlight w:val="none"/>
        </w:rPr>
        <w:t>（5）生态环境应急信息，包括突发环境事件应急预案、重污染天气应急响应等方面的信息；</w:t>
      </w:r>
    </w:p>
    <w:p w14:paraId="2FB9C3D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rPr>
      </w:pPr>
      <w:r>
        <w:rPr>
          <w:rFonts w:hint="default" w:ascii="Times New Roman" w:hAnsi="Times New Roman" w:eastAsia="宋体" w:cs="Times New Roman"/>
          <w:caps w:val="0"/>
          <w:snapToGrid/>
          <w:color w:val="auto"/>
          <w:spacing w:val="0"/>
          <w:w w:val="100"/>
          <w:kern w:val="21"/>
          <w:position w:val="0"/>
          <w:sz w:val="24"/>
          <w:szCs w:val="24"/>
          <w:highlight w:val="none"/>
        </w:rPr>
        <w:t>（6）生态环境违法信息；</w:t>
      </w:r>
    </w:p>
    <w:p w14:paraId="430AEC5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rPr>
      </w:pPr>
      <w:r>
        <w:rPr>
          <w:rFonts w:hint="default" w:ascii="Times New Roman" w:hAnsi="Times New Roman" w:eastAsia="宋体" w:cs="Times New Roman"/>
          <w:caps w:val="0"/>
          <w:snapToGrid/>
          <w:color w:val="auto"/>
          <w:spacing w:val="0"/>
          <w:w w:val="100"/>
          <w:kern w:val="21"/>
          <w:position w:val="0"/>
          <w:sz w:val="24"/>
          <w:szCs w:val="24"/>
          <w:highlight w:val="none"/>
        </w:rPr>
        <w:t>（7）本年度临时环境信息依法披露情况；</w:t>
      </w:r>
    </w:p>
    <w:p w14:paraId="27E7B56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rPr>
      </w:pPr>
      <w:r>
        <w:rPr>
          <w:rFonts w:hint="default" w:ascii="Times New Roman" w:hAnsi="Times New Roman" w:eastAsia="宋体" w:cs="Times New Roman"/>
          <w:caps w:val="0"/>
          <w:snapToGrid/>
          <w:color w:val="auto"/>
          <w:spacing w:val="0"/>
          <w:w w:val="100"/>
          <w:kern w:val="21"/>
          <w:position w:val="0"/>
          <w:sz w:val="24"/>
          <w:szCs w:val="24"/>
          <w:highlight w:val="none"/>
        </w:rPr>
        <w:t>（8）法律法规规定的其他环境信息。</w:t>
      </w:r>
    </w:p>
    <w:p w14:paraId="3333115E">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825" w:name="_Toc8706"/>
      <w:bookmarkStart w:id="826" w:name="_Toc4639"/>
      <w:r>
        <w:rPr>
          <w:rFonts w:hint="default"/>
          <w:color w:val="auto"/>
          <w:spacing w:val="0"/>
          <w:w w:val="100"/>
          <w:position w:val="0"/>
          <w:highlight w:val="none"/>
          <w:lang w:val="en-US" w:eastAsia="zh-CN"/>
        </w:rPr>
        <w:t>8.1.6.2信息披露时间</w:t>
      </w:r>
      <w:bookmarkEnd w:id="825"/>
      <w:bookmarkEnd w:id="826"/>
    </w:p>
    <w:p w14:paraId="508B791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rPr>
      </w:pPr>
      <w:r>
        <w:rPr>
          <w:rFonts w:hint="default" w:ascii="Times New Roman" w:hAnsi="Times New Roman" w:eastAsia="宋体" w:cs="Times New Roman"/>
          <w:caps w:val="0"/>
          <w:snapToGrid/>
          <w:color w:val="auto"/>
          <w:spacing w:val="0"/>
          <w:w w:val="100"/>
          <w:kern w:val="21"/>
          <w:position w:val="0"/>
          <w:sz w:val="24"/>
          <w:szCs w:val="24"/>
          <w:highlight w:val="none"/>
        </w:rPr>
        <w:t>企业应当于每年3月15日前披露上一年度1月1日至12月31日的环境信息。</w:t>
      </w:r>
    </w:p>
    <w:p w14:paraId="2FFD035F">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827" w:name="_Toc9481"/>
      <w:bookmarkStart w:id="828" w:name="_Toc29897"/>
      <w:bookmarkStart w:id="829" w:name="_Toc21364"/>
      <w:bookmarkStart w:id="830" w:name="_Toc31891"/>
      <w:r>
        <w:rPr>
          <w:rFonts w:hint="default"/>
          <w:color w:val="auto"/>
          <w:spacing w:val="0"/>
          <w:w w:val="100"/>
          <w:position w:val="0"/>
          <w:highlight w:val="none"/>
          <w:lang w:val="en-US" w:eastAsia="zh-CN"/>
        </w:rPr>
        <w:t>8.2环境监测</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r>
        <w:rPr>
          <w:rFonts w:hint="default"/>
          <w:color w:val="auto"/>
          <w:spacing w:val="0"/>
          <w:w w:val="100"/>
          <w:position w:val="0"/>
          <w:highlight w:val="none"/>
          <w:lang w:val="en-US" w:eastAsia="zh-CN"/>
        </w:rPr>
        <w:t>计划</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827"/>
      <w:bookmarkEnd w:id="828"/>
      <w:bookmarkEnd w:id="829"/>
      <w:bookmarkEnd w:id="830"/>
    </w:p>
    <w:p w14:paraId="2F956C5F">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831" w:name="_Toc6388"/>
      <w:bookmarkStart w:id="832" w:name="_Toc2382"/>
      <w:bookmarkStart w:id="833" w:name="_Toc25936"/>
      <w:bookmarkStart w:id="834" w:name="_Toc29795"/>
      <w:bookmarkStart w:id="835" w:name="_Toc15113"/>
      <w:bookmarkStart w:id="836" w:name="_Toc14157"/>
      <w:bookmarkStart w:id="837" w:name="_Toc20991"/>
      <w:bookmarkStart w:id="838" w:name="_Toc30495"/>
      <w:bookmarkStart w:id="839" w:name="_Toc536692062"/>
      <w:bookmarkStart w:id="840" w:name="_Toc31890"/>
      <w:bookmarkStart w:id="841" w:name="_Toc7984"/>
      <w:bookmarkStart w:id="842" w:name="_Toc15120"/>
      <w:r>
        <w:rPr>
          <w:rFonts w:hint="default"/>
          <w:color w:val="auto"/>
          <w:spacing w:val="0"/>
          <w:w w:val="100"/>
          <w:position w:val="0"/>
          <w:highlight w:val="none"/>
          <w:lang w:val="en-US" w:eastAsia="zh-CN"/>
        </w:rPr>
        <w:t>8.2.1监测机构</w:t>
      </w:r>
      <w:bookmarkEnd w:id="831"/>
      <w:bookmarkEnd w:id="832"/>
      <w:bookmarkEnd w:id="833"/>
      <w:bookmarkEnd w:id="834"/>
      <w:bookmarkEnd w:id="835"/>
      <w:bookmarkEnd w:id="836"/>
      <w:bookmarkEnd w:id="837"/>
      <w:bookmarkEnd w:id="838"/>
      <w:bookmarkEnd w:id="839"/>
      <w:bookmarkEnd w:id="840"/>
      <w:bookmarkEnd w:id="841"/>
      <w:bookmarkEnd w:id="842"/>
    </w:p>
    <w:p w14:paraId="3A24369D">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szCs w:val="24"/>
          <w:highlight w:val="none"/>
        </w:rPr>
      </w:pPr>
      <w:bookmarkStart w:id="843" w:name="_Toc319485346"/>
      <w:bookmarkStart w:id="844" w:name="_Toc13724"/>
      <w:bookmarkStart w:id="845" w:name="_Toc4259"/>
      <w:bookmarkStart w:id="846" w:name="_Toc6428"/>
      <w:bookmarkStart w:id="847" w:name="_Toc536692061"/>
      <w:bookmarkStart w:id="848" w:name="_Toc22435"/>
      <w:bookmarkStart w:id="849" w:name="_Toc32175"/>
      <w:bookmarkStart w:id="850" w:name="_Toc24694"/>
      <w:bookmarkStart w:id="851" w:name="_Toc13359"/>
      <w:bookmarkStart w:id="852" w:name="_Toc30891"/>
      <w:bookmarkStart w:id="853" w:name="_Toc253"/>
      <w:bookmarkStart w:id="854" w:name="_Toc27686"/>
      <w:bookmarkStart w:id="855" w:name="_Toc6325"/>
      <w:r>
        <w:rPr>
          <w:rFonts w:hint="default" w:ascii="Times New Roman" w:hAnsi="Times New Roman" w:eastAsia="宋体" w:cs="Times New Roman"/>
          <w:caps w:val="0"/>
          <w:snapToGrid/>
          <w:color w:val="auto"/>
          <w:spacing w:val="0"/>
          <w:w w:val="100"/>
          <w:kern w:val="21"/>
          <w:position w:val="0"/>
          <w:szCs w:val="24"/>
          <w:highlight w:val="none"/>
        </w:rPr>
        <w:t>要求建设单位委托具备相关资质的环境监测机构承担本项目自行监测计划中的废气、地下水、噪声的监测工作。</w:t>
      </w:r>
    </w:p>
    <w:p w14:paraId="68B23685">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856" w:name="_Toc13101"/>
      <w:bookmarkStart w:id="857" w:name="_Toc25273"/>
      <w:bookmarkStart w:id="858" w:name="_Toc30046"/>
      <w:bookmarkStart w:id="859" w:name="_Toc25908"/>
      <w:bookmarkStart w:id="860" w:name="_Toc16868"/>
      <w:bookmarkStart w:id="861" w:name="_Toc21375"/>
      <w:r>
        <w:rPr>
          <w:rFonts w:hint="default"/>
          <w:color w:val="auto"/>
          <w:spacing w:val="0"/>
          <w:w w:val="100"/>
          <w:position w:val="0"/>
          <w:highlight w:val="none"/>
          <w:lang w:val="en-US" w:eastAsia="zh-CN"/>
        </w:rPr>
        <w:t>8.2.</w:t>
      </w:r>
      <w:bookmarkEnd w:id="843"/>
      <w:bookmarkStart w:id="862" w:name="_Toc319485347"/>
      <w:r>
        <w:rPr>
          <w:rFonts w:hint="default"/>
          <w:color w:val="auto"/>
          <w:spacing w:val="0"/>
          <w:w w:val="100"/>
          <w:position w:val="0"/>
          <w:highlight w:val="none"/>
          <w:lang w:val="en-US" w:eastAsia="zh-CN"/>
        </w:rPr>
        <w:t>2环境监测计划</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14:paraId="16792D7E">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863" w:name="_Toc19420"/>
      <w:bookmarkStart w:id="864" w:name="_Toc25534"/>
      <w:r>
        <w:rPr>
          <w:rFonts w:hint="default"/>
          <w:color w:val="auto"/>
          <w:spacing w:val="0"/>
          <w:w w:val="100"/>
          <w:position w:val="0"/>
          <w:highlight w:val="none"/>
          <w:lang w:val="en-US" w:eastAsia="zh-CN"/>
        </w:rPr>
        <w:t>8.2.2.1污染源监测计划</w:t>
      </w:r>
      <w:bookmarkEnd w:id="863"/>
      <w:bookmarkEnd w:id="864"/>
    </w:p>
    <w:p w14:paraId="3059ADA5">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Cs w:val="24"/>
          <w:highlight w:val="none"/>
        </w:rPr>
        <w:t>根据本项目的污染特征、评价范围内环境保护敏感目标的分布情况，按照、《排污单位自行监测技术指南 总则》（HJ819-2017</w:t>
      </w:r>
      <w:r>
        <w:rPr>
          <w:rFonts w:hint="default" w:ascii="Times New Roman" w:hAnsi="Times New Roman" w:eastAsia="宋体" w:cs="Times New Roman"/>
          <w:caps w:val="0"/>
          <w:snapToGrid/>
          <w:color w:val="auto"/>
          <w:spacing w:val="0"/>
          <w:w w:val="100"/>
          <w:kern w:val="21"/>
          <w:position w:val="0"/>
          <w:szCs w:val="24"/>
          <w:highlight w:val="none"/>
          <w:lang w:eastAsia="zh-CN"/>
        </w:rPr>
        <w:t>）和</w:t>
      </w:r>
      <w:r>
        <w:rPr>
          <w:rFonts w:hint="default" w:ascii="Times New Roman" w:hAnsi="Times New Roman" w:eastAsia="宋体" w:cs="Times New Roman"/>
          <w:caps w:val="0"/>
          <w:snapToGrid/>
          <w:color w:val="auto"/>
          <w:spacing w:val="0"/>
          <w:w w:val="100"/>
          <w:kern w:val="21"/>
          <w:position w:val="0"/>
          <w:szCs w:val="24"/>
          <w:highlight w:val="none"/>
          <w:lang w:val="en-US" w:eastAsia="zh-CN"/>
        </w:rPr>
        <w:t xml:space="preserve">《排污单位自行监测技术指南 </w:t>
      </w:r>
      <w:r>
        <w:rPr>
          <w:rFonts w:hint="eastAsia" w:cs="Times New Roman"/>
          <w:caps w:val="0"/>
          <w:snapToGrid/>
          <w:color w:val="auto"/>
          <w:spacing w:val="0"/>
          <w:w w:val="100"/>
          <w:kern w:val="21"/>
          <w:position w:val="0"/>
          <w:szCs w:val="24"/>
          <w:highlight w:val="none"/>
          <w:lang w:val="en-US" w:eastAsia="zh-CN"/>
        </w:rPr>
        <w:t>橡胶和塑料制品</w:t>
      </w:r>
      <w:r>
        <w:rPr>
          <w:rFonts w:hint="default" w:ascii="Times New Roman" w:hAnsi="Times New Roman" w:eastAsia="宋体" w:cs="Times New Roman"/>
          <w:caps w:val="0"/>
          <w:snapToGrid/>
          <w:color w:val="auto"/>
          <w:spacing w:val="0"/>
          <w:w w:val="100"/>
          <w:kern w:val="21"/>
          <w:position w:val="0"/>
          <w:szCs w:val="24"/>
          <w:highlight w:val="none"/>
          <w:lang w:val="en-US" w:eastAsia="zh-CN"/>
        </w:rPr>
        <w:t>》（HJ1</w:t>
      </w:r>
      <w:r>
        <w:rPr>
          <w:rFonts w:hint="eastAsia" w:cs="Times New Roman"/>
          <w:caps w:val="0"/>
          <w:snapToGrid/>
          <w:color w:val="auto"/>
          <w:spacing w:val="0"/>
          <w:w w:val="100"/>
          <w:kern w:val="21"/>
          <w:position w:val="0"/>
          <w:szCs w:val="24"/>
          <w:highlight w:val="none"/>
          <w:lang w:val="en-US" w:eastAsia="zh-CN"/>
        </w:rPr>
        <w:t>207</w:t>
      </w:r>
      <w:r>
        <w:rPr>
          <w:rFonts w:hint="default" w:ascii="Times New Roman" w:hAnsi="Times New Roman" w:eastAsia="宋体" w:cs="Times New Roman"/>
          <w:caps w:val="0"/>
          <w:snapToGrid/>
          <w:color w:val="auto"/>
          <w:spacing w:val="0"/>
          <w:w w:val="100"/>
          <w:kern w:val="21"/>
          <w:position w:val="0"/>
          <w:szCs w:val="24"/>
          <w:highlight w:val="none"/>
          <w:lang w:val="en-US" w:eastAsia="zh-CN"/>
        </w:rPr>
        <w:t>-202</w:t>
      </w:r>
      <w:r>
        <w:rPr>
          <w:rFonts w:hint="eastAsia" w:cs="Times New Roman"/>
          <w:caps w:val="0"/>
          <w:snapToGrid/>
          <w:color w:val="auto"/>
          <w:spacing w:val="0"/>
          <w:w w:val="100"/>
          <w:kern w:val="21"/>
          <w:position w:val="0"/>
          <w:szCs w:val="24"/>
          <w:highlight w:val="none"/>
          <w:lang w:val="en-US" w:eastAsia="zh-CN"/>
        </w:rPr>
        <w:t>1</w:t>
      </w:r>
      <w:r>
        <w:rPr>
          <w:rFonts w:hint="default" w:ascii="Times New Roman" w:hAnsi="Times New Roman" w:eastAsia="宋体" w:cs="Times New Roman"/>
          <w:caps w:val="0"/>
          <w:snapToGrid/>
          <w:color w:val="auto"/>
          <w:spacing w:val="0"/>
          <w:w w:val="100"/>
          <w:kern w:val="21"/>
          <w:position w:val="0"/>
          <w:szCs w:val="24"/>
          <w:highlight w:val="none"/>
          <w:lang w:val="en-US" w:eastAsia="zh-CN"/>
        </w:rPr>
        <w:t>）</w:t>
      </w:r>
      <w:r>
        <w:rPr>
          <w:rFonts w:hint="default" w:ascii="Times New Roman" w:hAnsi="Times New Roman" w:eastAsia="宋体" w:cs="Times New Roman"/>
          <w:caps w:val="0"/>
          <w:snapToGrid/>
          <w:color w:val="auto"/>
          <w:spacing w:val="0"/>
          <w:w w:val="100"/>
          <w:kern w:val="21"/>
          <w:position w:val="0"/>
          <w:szCs w:val="24"/>
          <w:highlight w:val="none"/>
        </w:rPr>
        <w:t>中的要求，制定本项目的污染物排放监测计划和周边环境质量影响监测计划。具体见表</w:t>
      </w:r>
      <w:r>
        <w:rPr>
          <w:rFonts w:hint="default" w:ascii="Times New Roman" w:hAnsi="Times New Roman" w:eastAsia="宋体" w:cs="Times New Roman"/>
          <w:caps w:val="0"/>
          <w:snapToGrid/>
          <w:color w:val="auto"/>
          <w:spacing w:val="0"/>
          <w:w w:val="100"/>
          <w:kern w:val="21"/>
          <w:position w:val="0"/>
          <w:szCs w:val="24"/>
          <w:highlight w:val="none"/>
          <w:lang w:val="en-US" w:eastAsia="zh-CN"/>
        </w:rPr>
        <w:t>8</w:t>
      </w:r>
      <w:r>
        <w:rPr>
          <w:rFonts w:hint="default" w:ascii="Times New Roman" w:hAnsi="Times New Roman" w:eastAsia="宋体" w:cs="Times New Roman"/>
          <w:caps w:val="0"/>
          <w:snapToGrid/>
          <w:color w:val="auto"/>
          <w:spacing w:val="0"/>
          <w:w w:val="100"/>
          <w:kern w:val="21"/>
          <w:position w:val="0"/>
          <w:szCs w:val="24"/>
          <w:highlight w:val="none"/>
        </w:rPr>
        <w:t>.2</w:t>
      </w:r>
      <w:r>
        <w:rPr>
          <w:rFonts w:hint="eastAsia" w:cs="Times New Roman"/>
          <w:caps w:val="0"/>
          <w:snapToGrid/>
          <w:color w:val="auto"/>
          <w:spacing w:val="0"/>
          <w:w w:val="100"/>
          <w:kern w:val="21"/>
          <w:position w:val="0"/>
          <w:szCs w:val="24"/>
          <w:highlight w:val="none"/>
          <w:lang w:val="en-US" w:eastAsia="zh-CN"/>
        </w:rPr>
        <w:t>.2</w:t>
      </w:r>
      <w:r>
        <w:rPr>
          <w:rFonts w:hint="default" w:ascii="Times New Roman" w:hAnsi="Times New Roman" w:eastAsia="宋体" w:cs="Times New Roman"/>
          <w:caps w:val="0"/>
          <w:snapToGrid/>
          <w:color w:val="auto"/>
          <w:spacing w:val="0"/>
          <w:w w:val="100"/>
          <w:kern w:val="21"/>
          <w:position w:val="0"/>
          <w:szCs w:val="24"/>
          <w:highlight w:val="none"/>
        </w:rPr>
        <w:t>-1。</w:t>
      </w:r>
    </w:p>
    <w:p w14:paraId="1F47382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表</w:t>
      </w:r>
      <w:r>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rPr>
        <w:t>8</w:t>
      </w:r>
      <w:r>
        <w:rPr>
          <w:rFonts w:hint="default" w:ascii="Times New Roman" w:hAnsi="Times New Roman" w:eastAsia="宋体" w:cs="Times New Roman"/>
          <w:b/>
          <w:bCs/>
          <w:caps w:val="0"/>
          <w:snapToGrid/>
          <w:color w:val="auto"/>
          <w:spacing w:val="0"/>
          <w:w w:val="100"/>
          <w:kern w:val="21"/>
          <w:position w:val="0"/>
          <w:sz w:val="21"/>
          <w:szCs w:val="21"/>
          <w:highlight w:val="none"/>
        </w:rPr>
        <w:t>.2</w:t>
      </w:r>
      <w:r>
        <w:rPr>
          <w:rFonts w:hint="eastAsia" w:cs="Times New Roman"/>
          <w:b/>
          <w:bCs/>
          <w:caps w:val="0"/>
          <w:snapToGrid/>
          <w:color w:val="auto"/>
          <w:spacing w:val="0"/>
          <w:w w:val="100"/>
          <w:kern w:val="21"/>
          <w:position w:val="0"/>
          <w:sz w:val="21"/>
          <w:szCs w:val="21"/>
          <w:highlight w:val="none"/>
          <w:lang w:val="en-US" w:eastAsia="zh-CN"/>
        </w:rPr>
        <w:t>.2</w:t>
      </w:r>
      <w:r>
        <w:rPr>
          <w:rFonts w:hint="default" w:ascii="Times New Roman" w:hAnsi="Times New Roman" w:eastAsia="宋体" w:cs="Times New Roman"/>
          <w:b/>
          <w:bCs/>
          <w:caps w:val="0"/>
          <w:snapToGrid/>
          <w:color w:val="auto"/>
          <w:spacing w:val="0"/>
          <w:w w:val="100"/>
          <w:kern w:val="21"/>
          <w:position w:val="0"/>
          <w:sz w:val="21"/>
          <w:szCs w:val="21"/>
          <w:highlight w:val="none"/>
        </w:rPr>
        <w:t>-1  项目自行监测计划</w:t>
      </w:r>
    </w:p>
    <w:tbl>
      <w:tblPr>
        <w:tblStyle w:val="25"/>
        <w:tblW w:w="510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1036"/>
        <w:gridCol w:w="2456"/>
        <w:gridCol w:w="1285"/>
        <w:gridCol w:w="2413"/>
        <w:gridCol w:w="1409"/>
      </w:tblGrid>
      <w:tr w14:paraId="09A267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602" w:type="pct"/>
            <w:tcBorders>
              <w:tl2br w:val="nil"/>
              <w:tr2bl w:val="nil"/>
            </w:tcBorders>
            <w:noWrap w:val="0"/>
            <w:vAlign w:val="center"/>
          </w:tcPr>
          <w:p w14:paraId="6D2BE644">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rPr>
            </w:pPr>
            <w:r>
              <w:rPr>
                <w:rFonts w:hint="eastAsia" w:cs="Times New Roman"/>
                <w:b/>
                <w:bCs/>
                <w:caps w:val="0"/>
                <w:snapToGrid/>
                <w:color w:val="auto"/>
                <w:spacing w:val="0"/>
                <w:w w:val="100"/>
                <w:kern w:val="21"/>
                <w:position w:val="0"/>
                <w:sz w:val="21"/>
                <w:szCs w:val="21"/>
                <w:highlight w:val="none"/>
                <w:lang w:val="en-US" w:eastAsia="zh-CN"/>
              </w:rPr>
              <w:t>监测对象</w:t>
            </w:r>
          </w:p>
        </w:tc>
        <w:tc>
          <w:tcPr>
            <w:tcW w:w="1428" w:type="pct"/>
            <w:tcBorders>
              <w:tl2br w:val="nil"/>
              <w:tr2bl w:val="nil"/>
            </w:tcBorders>
            <w:noWrap w:val="0"/>
            <w:vAlign w:val="center"/>
          </w:tcPr>
          <w:p w14:paraId="6F6F5579">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rPr>
              <w:t>污染</w:t>
            </w:r>
            <w:r>
              <w:rPr>
                <w:rFonts w:hint="eastAsia" w:cs="Times New Roman"/>
                <w:b/>
                <w:bCs/>
                <w:caps w:val="0"/>
                <w:snapToGrid/>
                <w:color w:val="auto"/>
                <w:spacing w:val="0"/>
                <w:w w:val="100"/>
                <w:kern w:val="21"/>
                <w:position w:val="0"/>
                <w:sz w:val="21"/>
                <w:szCs w:val="21"/>
                <w:highlight w:val="none"/>
                <w:lang w:val="en-US" w:eastAsia="zh-CN"/>
              </w:rPr>
              <w:t>源</w:t>
            </w:r>
          </w:p>
        </w:tc>
        <w:tc>
          <w:tcPr>
            <w:tcW w:w="747" w:type="pct"/>
            <w:tcBorders>
              <w:tl2br w:val="nil"/>
              <w:tr2bl w:val="nil"/>
            </w:tcBorders>
            <w:noWrap w:val="0"/>
            <w:vAlign w:val="center"/>
          </w:tcPr>
          <w:p w14:paraId="49A04D25">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rPr>
              <w:t>监测点位</w:t>
            </w:r>
          </w:p>
        </w:tc>
        <w:tc>
          <w:tcPr>
            <w:tcW w:w="1403" w:type="pct"/>
            <w:tcBorders>
              <w:tl2br w:val="nil"/>
              <w:tr2bl w:val="nil"/>
            </w:tcBorders>
            <w:noWrap w:val="0"/>
            <w:vAlign w:val="center"/>
          </w:tcPr>
          <w:p w14:paraId="52E392FB">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rPr>
              <w:t>监测指标</w:t>
            </w:r>
          </w:p>
        </w:tc>
        <w:tc>
          <w:tcPr>
            <w:tcW w:w="819" w:type="pct"/>
            <w:tcBorders>
              <w:tl2br w:val="nil"/>
              <w:tr2bl w:val="nil"/>
            </w:tcBorders>
            <w:noWrap w:val="0"/>
            <w:vAlign w:val="center"/>
          </w:tcPr>
          <w:p w14:paraId="63C71247">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rPr>
              <w:t>监测频次</w:t>
            </w:r>
          </w:p>
        </w:tc>
      </w:tr>
      <w:tr w14:paraId="286992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602" w:type="pct"/>
            <w:vMerge w:val="restart"/>
            <w:tcBorders>
              <w:tl2br w:val="nil"/>
              <w:tr2bl w:val="nil"/>
            </w:tcBorders>
            <w:noWrap w:val="0"/>
            <w:vAlign w:val="center"/>
          </w:tcPr>
          <w:p w14:paraId="11FE5544">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废气</w:t>
            </w:r>
          </w:p>
        </w:tc>
        <w:tc>
          <w:tcPr>
            <w:tcW w:w="1428" w:type="pct"/>
            <w:vMerge w:val="restart"/>
            <w:tcBorders>
              <w:tl2br w:val="nil"/>
              <w:tr2bl w:val="nil"/>
            </w:tcBorders>
            <w:shd w:val="clear" w:color="auto" w:fill="auto"/>
            <w:noWrap w:val="0"/>
            <w:vAlign w:val="center"/>
          </w:tcPr>
          <w:p w14:paraId="1296D040">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4"/>
                <w:highlight w:val="none"/>
                <w:lang w:val="en-US" w:eastAsia="zh-CN" w:bidi="ar-SA"/>
              </w:rPr>
            </w:pPr>
            <w:r>
              <w:rPr>
                <w:rFonts w:hint="eastAsia" w:cs="Times New Roman"/>
                <w:caps w:val="0"/>
                <w:snapToGrid/>
                <w:color w:val="auto"/>
                <w:spacing w:val="0"/>
                <w:w w:val="100"/>
                <w:kern w:val="21"/>
                <w:position w:val="0"/>
                <w:sz w:val="21"/>
                <w:szCs w:val="21"/>
                <w:highlight w:val="none"/>
                <w:lang w:val="en-US" w:eastAsia="zh-CN" w:bidi="ar-SA"/>
              </w:rPr>
              <w:t>铝塑复合板</w:t>
            </w: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t>生产线</w:t>
            </w:r>
          </w:p>
        </w:tc>
        <w:tc>
          <w:tcPr>
            <w:tcW w:w="747" w:type="pct"/>
            <w:tcBorders>
              <w:tl2br w:val="nil"/>
              <w:tr2bl w:val="nil"/>
            </w:tcBorders>
            <w:shd w:val="clear" w:color="auto" w:fill="auto"/>
            <w:noWrap w:val="0"/>
            <w:vAlign w:val="center"/>
          </w:tcPr>
          <w:p w14:paraId="3A5E821C">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eastAsia" w:cs="Times New Roman"/>
                <w:caps w:val="0"/>
                <w:snapToGrid/>
                <w:color w:val="auto"/>
                <w:spacing w:val="0"/>
                <w:w w:val="100"/>
                <w:kern w:val="21"/>
                <w:position w:val="0"/>
                <w:sz w:val="21"/>
                <w:szCs w:val="21"/>
                <w:highlight w:val="none"/>
                <w:lang w:val="en-US" w:eastAsia="zh-CN" w:bidi="ar-SA"/>
              </w:rPr>
              <w:t>DA001</w:t>
            </w:r>
          </w:p>
        </w:tc>
        <w:tc>
          <w:tcPr>
            <w:tcW w:w="1403" w:type="pct"/>
            <w:tcBorders>
              <w:tl2br w:val="nil"/>
              <w:tr2bl w:val="nil"/>
            </w:tcBorders>
            <w:shd w:val="clear" w:color="auto" w:fill="auto"/>
            <w:noWrap w:val="0"/>
            <w:vAlign w:val="center"/>
          </w:tcPr>
          <w:p w14:paraId="54A9530B">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eastAsia" w:cs="Times New Roman"/>
                <w:caps w:val="0"/>
                <w:snapToGrid/>
                <w:color w:val="auto"/>
                <w:spacing w:val="0"/>
                <w:w w:val="100"/>
                <w:kern w:val="21"/>
                <w:position w:val="0"/>
                <w:sz w:val="21"/>
                <w:szCs w:val="21"/>
                <w:highlight w:val="none"/>
                <w:lang w:val="en-US" w:eastAsia="zh-CN" w:bidi="ar-SA"/>
              </w:rPr>
              <w:t>颗粒物</w:t>
            </w:r>
          </w:p>
        </w:tc>
        <w:tc>
          <w:tcPr>
            <w:tcW w:w="819" w:type="pct"/>
            <w:tcBorders>
              <w:tl2br w:val="nil"/>
              <w:tr2bl w:val="nil"/>
            </w:tcBorders>
            <w:noWrap w:val="0"/>
            <w:vAlign w:val="center"/>
          </w:tcPr>
          <w:p w14:paraId="21B0AA45">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1次/年</w:t>
            </w:r>
          </w:p>
        </w:tc>
      </w:tr>
      <w:tr w14:paraId="1B574C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602" w:type="pct"/>
            <w:vMerge w:val="continue"/>
            <w:tcBorders>
              <w:tl2br w:val="nil"/>
              <w:tr2bl w:val="nil"/>
            </w:tcBorders>
            <w:noWrap w:val="0"/>
            <w:vAlign w:val="center"/>
          </w:tcPr>
          <w:p w14:paraId="294607D7">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cs="Times New Roman"/>
                <w:caps w:val="0"/>
                <w:snapToGrid/>
                <w:color w:val="auto"/>
                <w:spacing w:val="0"/>
                <w:w w:val="100"/>
                <w:kern w:val="21"/>
                <w:position w:val="0"/>
                <w:sz w:val="21"/>
                <w:szCs w:val="21"/>
                <w:highlight w:val="none"/>
                <w:lang w:val="en-US" w:eastAsia="zh-CN"/>
              </w:rPr>
            </w:pPr>
          </w:p>
        </w:tc>
        <w:tc>
          <w:tcPr>
            <w:tcW w:w="1428" w:type="pct"/>
            <w:vMerge w:val="continue"/>
            <w:tcBorders>
              <w:tl2br w:val="nil"/>
              <w:tr2bl w:val="nil"/>
            </w:tcBorders>
            <w:shd w:val="clear" w:color="auto" w:fill="auto"/>
            <w:noWrap w:val="0"/>
            <w:vAlign w:val="center"/>
          </w:tcPr>
          <w:p w14:paraId="2EE6238D">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cs="Times New Roman"/>
                <w:caps w:val="0"/>
                <w:snapToGrid/>
                <w:color w:val="auto"/>
                <w:spacing w:val="0"/>
                <w:w w:val="100"/>
                <w:kern w:val="21"/>
                <w:position w:val="0"/>
                <w:sz w:val="21"/>
                <w:szCs w:val="21"/>
                <w:highlight w:val="none"/>
                <w:lang w:val="en-US" w:eastAsia="zh-CN" w:bidi="ar-SA"/>
              </w:rPr>
            </w:pPr>
          </w:p>
        </w:tc>
        <w:tc>
          <w:tcPr>
            <w:tcW w:w="747" w:type="pct"/>
            <w:tcBorders>
              <w:tl2br w:val="nil"/>
              <w:tr2bl w:val="nil"/>
            </w:tcBorders>
            <w:shd w:val="clear" w:color="auto" w:fill="auto"/>
            <w:noWrap w:val="0"/>
            <w:vAlign w:val="center"/>
          </w:tcPr>
          <w:p w14:paraId="5D0FC7E8">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t>DA00</w:t>
            </w:r>
            <w:r>
              <w:rPr>
                <w:rFonts w:hint="eastAsia" w:ascii="Times New Roman" w:hAnsi="Times New Roman" w:cs="Times New Roman"/>
                <w:caps w:val="0"/>
                <w:snapToGrid/>
                <w:color w:val="auto"/>
                <w:spacing w:val="0"/>
                <w:w w:val="100"/>
                <w:kern w:val="21"/>
                <w:position w:val="0"/>
                <w:sz w:val="21"/>
                <w:szCs w:val="21"/>
                <w:highlight w:val="none"/>
                <w:lang w:val="en-US" w:eastAsia="zh-CN" w:bidi="ar-SA"/>
              </w:rPr>
              <w:t>2</w:t>
            </w:r>
          </w:p>
        </w:tc>
        <w:tc>
          <w:tcPr>
            <w:tcW w:w="1403" w:type="pct"/>
            <w:tcBorders>
              <w:tl2br w:val="nil"/>
              <w:tr2bl w:val="nil"/>
            </w:tcBorders>
            <w:shd w:val="clear" w:color="auto" w:fill="auto"/>
            <w:noWrap w:val="0"/>
            <w:vAlign w:val="center"/>
          </w:tcPr>
          <w:p w14:paraId="585964C2">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非甲烷总烃</w:t>
            </w:r>
            <w:r>
              <w:rPr>
                <w:rFonts w:hint="eastAsia" w:ascii="Times New Roman" w:hAnsi="Times New Roman" w:cs="Times New Roman"/>
                <w:caps w:val="0"/>
                <w:snapToGrid/>
                <w:color w:val="auto"/>
                <w:spacing w:val="0"/>
                <w:w w:val="100"/>
                <w:kern w:val="21"/>
                <w:position w:val="0"/>
                <w:sz w:val="21"/>
                <w:szCs w:val="21"/>
                <w:highlight w:val="none"/>
                <w:lang w:val="en-US" w:eastAsia="zh-CN"/>
              </w:rPr>
              <w:t>、臭气浓度</w:t>
            </w:r>
          </w:p>
        </w:tc>
        <w:tc>
          <w:tcPr>
            <w:tcW w:w="819" w:type="pct"/>
            <w:tcBorders>
              <w:tl2br w:val="nil"/>
              <w:tr2bl w:val="nil"/>
            </w:tcBorders>
            <w:noWrap w:val="0"/>
            <w:vAlign w:val="center"/>
          </w:tcPr>
          <w:p w14:paraId="73064807">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eastAsia" w:cs="Times New Roman"/>
                <w:caps w:val="0"/>
                <w:snapToGrid/>
                <w:color w:val="auto"/>
                <w:spacing w:val="0"/>
                <w:w w:val="100"/>
                <w:kern w:val="21"/>
                <w:position w:val="0"/>
                <w:sz w:val="21"/>
                <w:szCs w:val="21"/>
                <w:highlight w:val="none"/>
                <w:lang w:val="en-US" w:eastAsia="zh-CN"/>
              </w:rPr>
              <w:t>1次/半年</w:t>
            </w:r>
          </w:p>
        </w:tc>
      </w:tr>
      <w:tr w14:paraId="4032DB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602" w:type="pct"/>
            <w:vMerge w:val="continue"/>
            <w:tcBorders>
              <w:tl2br w:val="nil"/>
              <w:tr2bl w:val="nil"/>
            </w:tcBorders>
            <w:noWrap w:val="0"/>
            <w:vAlign w:val="center"/>
          </w:tcPr>
          <w:p w14:paraId="770D8E37">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p>
        </w:tc>
        <w:tc>
          <w:tcPr>
            <w:tcW w:w="1428" w:type="pct"/>
            <w:tcBorders>
              <w:tl2br w:val="nil"/>
              <w:tr2bl w:val="nil"/>
            </w:tcBorders>
            <w:shd w:val="clear" w:color="auto" w:fill="auto"/>
            <w:noWrap w:val="0"/>
            <w:vAlign w:val="center"/>
          </w:tcPr>
          <w:p w14:paraId="555874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21"/>
                <w:position w:val="0"/>
                <w:sz w:val="21"/>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1"/>
                <w:highlight w:val="none"/>
                <w:lang w:val="en-US" w:eastAsia="zh-CN"/>
              </w:rPr>
              <w:t>厂区</w:t>
            </w:r>
            <w:r>
              <w:rPr>
                <w:rFonts w:hint="eastAsia" w:cs="Times New Roman"/>
                <w:caps w:val="0"/>
                <w:snapToGrid/>
                <w:color w:val="auto"/>
                <w:spacing w:val="0"/>
                <w:w w:val="100"/>
                <w:kern w:val="21"/>
                <w:position w:val="0"/>
                <w:sz w:val="21"/>
                <w:highlight w:val="none"/>
                <w:lang w:val="en-US" w:eastAsia="zh-CN"/>
              </w:rPr>
              <w:t>内</w:t>
            </w:r>
            <w:r>
              <w:rPr>
                <w:rFonts w:hint="default" w:ascii="Times New Roman" w:hAnsi="Times New Roman" w:eastAsia="宋体" w:cs="Times New Roman"/>
                <w:caps w:val="0"/>
                <w:snapToGrid/>
                <w:color w:val="auto"/>
                <w:spacing w:val="0"/>
                <w:w w:val="100"/>
                <w:kern w:val="21"/>
                <w:position w:val="0"/>
                <w:sz w:val="21"/>
                <w:highlight w:val="none"/>
                <w:lang w:val="en-US" w:eastAsia="zh-CN"/>
              </w:rPr>
              <w:t>无组织废气</w:t>
            </w:r>
          </w:p>
        </w:tc>
        <w:tc>
          <w:tcPr>
            <w:tcW w:w="747" w:type="pct"/>
            <w:tcBorders>
              <w:tl2br w:val="nil"/>
              <w:tr2bl w:val="nil"/>
            </w:tcBorders>
            <w:shd w:val="clear" w:color="auto" w:fill="auto"/>
            <w:noWrap w:val="0"/>
            <w:vAlign w:val="center"/>
          </w:tcPr>
          <w:p w14:paraId="1ACCC9B9">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eastAsia" w:cs="Times New Roman"/>
                <w:caps w:val="0"/>
                <w:snapToGrid/>
                <w:color w:val="auto"/>
                <w:spacing w:val="0"/>
                <w:w w:val="100"/>
                <w:kern w:val="21"/>
                <w:position w:val="0"/>
                <w:sz w:val="21"/>
                <w:szCs w:val="21"/>
                <w:highlight w:val="none"/>
                <w:lang w:val="en-US" w:eastAsia="zh-CN"/>
              </w:rPr>
              <w:t>厂房</w:t>
            </w: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外</w:t>
            </w:r>
          </w:p>
        </w:tc>
        <w:tc>
          <w:tcPr>
            <w:tcW w:w="1403" w:type="pct"/>
            <w:tcBorders>
              <w:tl2br w:val="nil"/>
              <w:tr2bl w:val="nil"/>
            </w:tcBorders>
            <w:shd w:val="clear" w:color="auto" w:fill="auto"/>
            <w:noWrap w:val="0"/>
            <w:vAlign w:val="center"/>
          </w:tcPr>
          <w:p w14:paraId="2F43615C">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非甲烷总烃</w:t>
            </w:r>
          </w:p>
        </w:tc>
        <w:tc>
          <w:tcPr>
            <w:tcW w:w="819" w:type="pct"/>
            <w:tcBorders>
              <w:tl2br w:val="nil"/>
              <w:tr2bl w:val="nil"/>
            </w:tcBorders>
            <w:shd w:val="clear" w:color="auto" w:fill="auto"/>
            <w:noWrap w:val="0"/>
            <w:vAlign w:val="center"/>
          </w:tcPr>
          <w:p w14:paraId="3DCB71A2">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1次/季度</w:t>
            </w:r>
          </w:p>
        </w:tc>
      </w:tr>
      <w:tr w14:paraId="6A2353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602" w:type="pct"/>
            <w:vMerge w:val="continue"/>
            <w:tcBorders>
              <w:tl2br w:val="nil"/>
              <w:tr2bl w:val="nil"/>
            </w:tcBorders>
            <w:noWrap w:val="0"/>
            <w:vAlign w:val="center"/>
          </w:tcPr>
          <w:p w14:paraId="24E4BF29">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p>
        </w:tc>
        <w:tc>
          <w:tcPr>
            <w:tcW w:w="1428" w:type="pct"/>
            <w:tcBorders>
              <w:tl2br w:val="nil"/>
              <w:tr2bl w:val="nil"/>
            </w:tcBorders>
            <w:shd w:val="clear" w:color="auto" w:fill="auto"/>
            <w:noWrap w:val="0"/>
            <w:vAlign w:val="center"/>
          </w:tcPr>
          <w:p w14:paraId="3A120975">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厂界</w:t>
            </w:r>
            <w:r>
              <w:rPr>
                <w:rFonts w:hint="eastAsia" w:cs="Times New Roman"/>
                <w:caps w:val="0"/>
                <w:snapToGrid/>
                <w:color w:val="auto"/>
                <w:spacing w:val="0"/>
                <w:w w:val="100"/>
                <w:kern w:val="21"/>
                <w:position w:val="0"/>
                <w:sz w:val="21"/>
                <w:szCs w:val="21"/>
                <w:highlight w:val="none"/>
                <w:lang w:val="en-US" w:eastAsia="zh-CN"/>
              </w:rPr>
              <w:t>外</w:t>
            </w: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无组织废气</w:t>
            </w:r>
          </w:p>
        </w:tc>
        <w:tc>
          <w:tcPr>
            <w:tcW w:w="747" w:type="pct"/>
            <w:tcBorders>
              <w:tl2br w:val="nil"/>
              <w:tr2bl w:val="nil"/>
            </w:tcBorders>
            <w:shd w:val="clear" w:color="auto" w:fill="auto"/>
            <w:noWrap w:val="0"/>
            <w:vAlign w:val="center"/>
          </w:tcPr>
          <w:p w14:paraId="13C7AE43">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厂界上风向1个点，下风向3个点</w:t>
            </w:r>
          </w:p>
        </w:tc>
        <w:tc>
          <w:tcPr>
            <w:tcW w:w="1403" w:type="pct"/>
            <w:tcBorders>
              <w:tl2br w:val="nil"/>
              <w:tr2bl w:val="nil"/>
            </w:tcBorders>
            <w:shd w:val="clear" w:color="auto" w:fill="auto"/>
            <w:noWrap w:val="0"/>
            <w:vAlign w:val="center"/>
          </w:tcPr>
          <w:p w14:paraId="1485CDF0">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颗粒物、非甲烷总烃</w:t>
            </w:r>
            <w:r>
              <w:rPr>
                <w:rFonts w:hint="eastAsia" w:cs="Times New Roman"/>
                <w:caps w:val="0"/>
                <w:snapToGrid/>
                <w:color w:val="auto"/>
                <w:spacing w:val="0"/>
                <w:w w:val="100"/>
                <w:kern w:val="21"/>
                <w:position w:val="0"/>
                <w:sz w:val="21"/>
                <w:szCs w:val="21"/>
                <w:highlight w:val="none"/>
                <w:lang w:val="en-US" w:eastAsia="zh-CN"/>
              </w:rPr>
              <w:t>、臭气浓度</w:t>
            </w:r>
          </w:p>
        </w:tc>
        <w:tc>
          <w:tcPr>
            <w:tcW w:w="819" w:type="pct"/>
            <w:tcBorders>
              <w:tl2br w:val="nil"/>
              <w:tr2bl w:val="nil"/>
            </w:tcBorders>
            <w:shd w:val="clear" w:color="auto" w:fill="auto"/>
            <w:noWrap w:val="0"/>
            <w:vAlign w:val="center"/>
          </w:tcPr>
          <w:p w14:paraId="1910C8E9">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rPr>
              <w:t>厂界</w:t>
            </w: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1次/年</w:t>
            </w:r>
          </w:p>
        </w:tc>
      </w:tr>
      <w:tr w14:paraId="32CA47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602" w:type="pct"/>
            <w:tcBorders>
              <w:tl2br w:val="nil"/>
              <w:tr2bl w:val="nil"/>
            </w:tcBorders>
            <w:shd w:val="clear" w:color="auto" w:fill="auto"/>
            <w:noWrap w:val="0"/>
            <w:vAlign w:val="center"/>
          </w:tcPr>
          <w:p w14:paraId="5A5E28B3">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噪声</w:t>
            </w:r>
          </w:p>
        </w:tc>
        <w:tc>
          <w:tcPr>
            <w:tcW w:w="1428" w:type="pct"/>
            <w:tcBorders>
              <w:tl2br w:val="nil"/>
              <w:tr2bl w:val="nil"/>
            </w:tcBorders>
            <w:shd w:val="clear" w:color="auto" w:fill="auto"/>
            <w:noWrap w:val="0"/>
            <w:vAlign w:val="center"/>
          </w:tcPr>
          <w:p w14:paraId="6E33F31F">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厂界噪声</w:t>
            </w:r>
          </w:p>
        </w:tc>
        <w:tc>
          <w:tcPr>
            <w:tcW w:w="747" w:type="pct"/>
            <w:tcBorders>
              <w:tl2br w:val="nil"/>
              <w:tr2bl w:val="nil"/>
            </w:tcBorders>
            <w:shd w:val="clear" w:color="auto" w:fill="auto"/>
            <w:noWrap w:val="0"/>
            <w:vAlign w:val="center"/>
          </w:tcPr>
          <w:p w14:paraId="20B67253">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厂界四周</w:t>
            </w:r>
          </w:p>
        </w:tc>
        <w:tc>
          <w:tcPr>
            <w:tcW w:w="1403" w:type="pct"/>
            <w:tcBorders>
              <w:tl2br w:val="nil"/>
              <w:tr2bl w:val="nil"/>
            </w:tcBorders>
            <w:shd w:val="clear" w:color="auto" w:fill="auto"/>
            <w:noWrap w:val="0"/>
            <w:vAlign w:val="center"/>
          </w:tcPr>
          <w:p w14:paraId="1AD1B81B">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等效连续A声级</w:t>
            </w:r>
          </w:p>
        </w:tc>
        <w:tc>
          <w:tcPr>
            <w:tcW w:w="819" w:type="pct"/>
            <w:tcBorders>
              <w:tl2br w:val="nil"/>
              <w:tr2bl w:val="nil"/>
            </w:tcBorders>
            <w:shd w:val="clear" w:color="auto" w:fill="auto"/>
            <w:noWrap w:val="0"/>
            <w:vAlign w:val="center"/>
          </w:tcPr>
          <w:p w14:paraId="3E7FD605">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1次/季度</w:t>
            </w:r>
          </w:p>
        </w:tc>
      </w:tr>
    </w:tbl>
    <w:p w14:paraId="742158CC">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color w:val="auto"/>
          <w:spacing w:val="0"/>
          <w:w w:val="100"/>
          <w:kern w:val="21"/>
          <w:position w:val="0"/>
          <w:szCs w:val="24"/>
        </w:rPr>
        <w:t>项目建成后，应对上述所有污染排放口的名称、位置、数量，以及排放污染物名称、数量等内容进行统计，并登记上报当地生态环境部门，以便进行验收和排放口的规范化管理。</w:t>
      </w:r>
    </w:p>
    <w:p w14:paraId="6F3B72BA">
      <w:pPr>
        <w:pStyle w:val="5"/>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865" w:name="_Toc12245"/>
      <w:bookmarkStart w:id="866" w:name="_Toc7298"/>
      <w:r>
        <w:rPr>
          <w:rFonts w:hint="default"/>
          <w:color w:val="auto"/>
          <w:spacing w:val="0"/>
          <w:w w:val="100"/>
          <w:position w:val="0"/>
          <w:highlight w:val="none"/>
          <w:lang w:val="en-US" w:eastAsia="zh-CN"/>
        </w:rPr>
        <w:t>8.2.2.2环境质量监测</w:t>
      </w:r>
      <w:bookmarkEnd w:id="865"/>
      <w:bookmarkEnd w:id="866"/>
    </w:p>
    <w:p w14:paraId="7A352D90">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szCs w:val="24"/>
          <w:highlight w:val="none"/>
        </w:rPr>
      </w:pPr>
      <w:r>
        <w:rPr>
          <w:rFonts w:hint="default" w:ascii="Times New Roman" w:hAnsi="Times New Roman" w:eastAsia="宋体" w:cs="Times New Roman"/>
          <w:caps w:val="0"/>
          <w:snapToGrid/>
          <w:color w:val="auto"/>
          <w:spacing w:val="0"/>
          <w:w w:val="100"/>
          <w:kern w:val="21"/>
          <w:position w:val="0"/>
          <w:szCs w:val="24"/>
          <w:highlight w:val="none"/>
          <w:lang w:val="en-US" w:eastAsia="zh-CN"/>
        </w:rPr>
        <w:t xml:space="preserve">根据《排污单位自行监测技术指南 </w:t>
      </w:r>
      <w:r>
        <w:rPr>
          <w:rFonts w:hint="eastAsia" w:cs="Times New Roman"/>
          <w:caps w:val="0"/>
          <w:snapToGrid/>
          <w:color w:val="auto"/>
          <w:spacing w:val="0"/>
          <w:w w:val="100"/>
          <w:kern w:val="21"/>
          <w:position w:val="0"/>
          <w:szCs w:val="24"/>
          <w:highlight w:val="none"/>
          <w:lang w:val="en-US" w:eastAsia="zh-CN"/>
        </w:rPr>
        <w:t>橡胶和塑料制品</w:t>
      </w:r>
      <w:r>
        <w:rPr>
          <w:rFonts w:hint="default" w:ascii="Times New Roman" w:hAnsi="Times New Roman" w:eastAsia="宋体" w:cs="Times New Roman"/>
          <w:caps w:val="0"/>
          <w:snapToGrid/>
          <w:color w:val="auto"/>
          <w:spacing w:val="0"/>
          <w:w w:val="100"/>
          <w:kern w:val="21"/>
          <w:position w:val="0"/>
          <w:szCs w:val="24"/>
          <w:highlight w:val="none"/>
          <w:lang w:val="en-US" w:eastAsia="zh-CN"/>
        </w:rPr>
        <w:t>》（HJ1</w:t>
      </w:r>
      <w:r>
        <w:rPr>
          <w:rFonts w:hint="eastAsia" w:cs="Times New Roman"/>
          <w:caps w:val="0"/>
          <w:snapToGrid/>
          <w:color w:val="auto"/>
          <w:spacing w:val="0"/>
          <w:w w:val="100"/>
          <w:kern w:val="21"/>
          <w:position w:val="0"/>
          <w:szCs w:val="24"/>
          <w:highlight w:val="none"/>
          <w:lang w:val="en-US" w:eastAsia="zh-CN"/>
        </w:rPr>
        <w:t>207</w:t>
      </w:r>
      <w:r>
        <w:rPr>
          <w:rFonts w:hint="default" w:ascii="Times New Roman" w:hAnsi="Times New Roman" w:eastAsia="宋体" w:cs="Times New Roman"/>
          <w:caps w:val="0"/>
          <w:snapToGrid/>
          <w:color w:val="auto"/>
          <w:spacing w:val="0"/>
          <w:w w:val="100"/>
          <w:kern w:val="21"/>
          <w:position w:val="0"/>
          <w:szCs w:val="24"/>
          <w:highlight w:val="none"/>
          <w:lang w:val="en-US" w:eastAsia="zh-CN"/>
        </w:rPr>
        <w:t>-202</w:t>
      </w:r>
      <w:r>
        <w:rPr>
          <w:rFonts w:hint="eastAsia" w:cs="Times New Roman"/>
          <w:caps w:val="0"/>
          <w:snapToGrid/>
          <w:color w:val="auto"/>
          <w:spacing w:val="0"/>
          <w:w w:val="100"/>
          <w:kern w:val="21"/>
          <w:position w:val="0"/>
          <w:szCs w:val="24"/>
          <w:highlight w:val="none"/>
          <w:lang w:val="en-US" w:eastAsia="zh-CN"/>
        </w:rPr>
        <w:t>1</w:t>
      </w:r>
      <w:r>
        <w:rPr>
          <w:rFonts w:hint="default" w:ascii="Times New Roman" w:hAnsi="Times New Roman" w:eastAsia="宋体" w:cs="Times New Roman"/>
          <w:caps w:val="0"/>
          <w:snapToGrid/>
          <w:color w:val="auto"/>
          <w:spacing w:val="0"/>
          <w:w w:val="100"/>
          <w:kern w:val="21"/>
          <w:position w:val="0"/>
          <w:szCs w:val="24"/>
          <w:highlight w:val="none"/>
          <w:lang w:val="en-US" w:eastAsia="zh-CN"/>
        </w:rPr>
        <w:t>）相关要求，本项目环境质量监测计划见</w:t>
      </w:r>
      <w:bookmarkStart w:id="867" w:name="OLE_LINK10"/>
      <w:r>
        <w:rPr>
          <w:rFonts w:hint="default" w:ascii="Times New Roman" w:hAnsi="Times New Roman" w:eastAsia="宋体" w:cs="Times New Roman"/>
          <w:caps w:val="0"/>
          <w:snapToGrid/>
          <w:color w:val="auto"/>
          <w:spacing w:val="0"/>
          <w:w w:val="100"/>
          <w:kern w:val="21"/>
          <w:position w:val="0"/>
          <w:szCs w:val="24"/>
          <w:highlight w:val="none"/>
          <w:lang w:val="en-US" w:eastAsia="zh-CN"/>
        </w:rPr>
        <w:t>表8.2</w:t>
      </w:r>
      <w:r>
        <w:rPr>
          <w:rFonts w:hint="eastAsia" w:cs="Times New Roman"/>
          <w:caps w:val="0"/>
          <w:snapToGrid/>
          <w:color w:val="auto"/>
          <w:spacing w:val="0"/>
          <w:w w:val="100"/>
          <w:kern w:val="21"/>
          <w:position w:val="0"/>
          <w:szCs w:val="24"/>
          <w:highlight w:val="none"/>
          <w:lang w:val="en-US" w:eastAsia="zh-CN"/>
        </w:rPr>
        <w:t>.2</w:t>
      </w:r>
      <w:r>
        <w:rPr>
          <w:rFonts w:hint="default" w:ascii="Times New Roman" w:hAnsi="Times New Roman" w:eastAsia="宋体" w:cs="Times New Roman"/>
          <w:caps w:val="0"/>
          <w:snapToGrid/>
          <w:color w:val="auto"/>
          <w:spacing w:val="0"/>
          <w:w w:val="100"/>
          <w:kern w:val="21"/>
          <w:position w:val="0"/>
          <w:szCs w:val="24"/>
          <w:highlight w:val="none"/>
          <w:lang w:val="en-US" w:eastAsia="zh-CN"/>
        </w:rPr>
        <w:t>-2</w:t>
      </w:r>
      <w:bookmarkEnd w:id="867"/>
      <w:r>
        <w:rPr>
          <w:rFonts w:hint="default" w:ascii="Times New Roman" w:hAnsi="Times New Roman" w:eastAsia="宋体" w:cs="Times New Roman"/>
          <w:caps w:val="0"/>
          <w:snapToGrid/>
          <w:color w:val="auto"/>
          <w:spacing w:val="0"/>
          <w:w w:val="100"/>
          <w:kern w:val="21"/>
          <w:position w:val="0"/>
          <w:szCs w:val="24"/>
          <w:highlight w:val="none"/>
        </w:rPr>
        <w:t>。</w:t>
      </w:r>
    </w:p>
    <w:p w14:paraId="72EEA248">
      <w:pPr>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rPr>
        <w:t>表8.2</w:t>
      </w:r>
      <w:r>
        <w:rPr>
          <w:rFonts w:hint="eastAsia" w:cs="Times New Roman"/>
          <w:b/>
          <w:bCs/>
          <w:caps w:val="0"/>
          <w:snapToGrid/>
          <w:color w:val="auto"/>
          <w:spacing w:val="0"/>
          <w:w w:val="100"/>
          <w:kern w:val="21"/>
          <w:position w:val="0"/>
          <w:sz w:val="21"/>
          <w:szCs w:val="21"/>
          <w:highlight w:val="none"/>
          <w:lang w:val="en-US" w:eastAsia="zh-CN"/>
        </w:rPr>
        <w:t>.2</w:t>
      </w:r>
      <w:r>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rPr>
        <w:t>-2  环境监测点一览表</w:t>
      </w:r>
    </w:p>
    <w:tbl>
      <w:tblPr>
        <w:tblStyle w:val="25"/>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591"/>
        <w:gridCol w:w="1656"/>
        <w:gridCol w:w="5446"/>
        <w:gridCol w:w="727"/>
      </w:tblGrid>
      <w:tr w14:paraId="5DDA81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0" w:type="auto"/>
            <w:tcBorders>
              <w:tl2br w:val="nil"/>
              <w:tr2bl w:val="nil"/>
            </w:tcBorders>
            <w:noWrap w:val="0"/>
            <w:vAlign w:val="center"/>
          </w:tcPr>
          <w:p w14:paraId="539157B7">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项目</w:t>
            </w:r>
          </w:p>
        </w:tc>
        <w:tc>
          <w:tcPr>
            <w:tcW w:w="0" w:type="auto"/>
            <w:tcBorders>
              <w:tl2br w:val="nil"/>
              <w:tr2bl w:val="nil"/>
            </w:tcBorders>
            <w:noWrap w:val="0"/>
            <w:vAlign w:val="center"/>
          </w:tcPr>
          <w:p w14:paraId="338AB4B5">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b/>
                <w:caps w:val="0"/>
                <w:snapToGrid/>
                <w:color w:val="auto"/>
                <w:spacing w:val="0"/>
                <w:w w:val="100"/>
                <w:kern w:val="21"/>
                <w:position w:val="0"/>
                <w:sz w:val="21"/>
                <w:szCs w:val="21"/>
                <w:highlight w:val="none"/>
              </w:rPr>
            </w:pPr>
            <w:r>
              <w:rPr>
                <w:rFonts w:hint="default" w:ascii="Times New Roman" w:hAnsi="Times New Roman" w:eastAsia="宋体" w:cs="Times New Roman"/>
                <w:b/>
                <w:caps w:val="0"/>
                <w:snapToGrid/>
                <w:color w:val="auto"/>
                <w:spacing w:val="0"/>
                <w:w w:val="100"/>
                <w:kern w:val="21"/>
                <w:position w:val="0"/>
                <w:sz w:val="21"/>
                <w:szCs w:val="21"/>
                <w:highlight w:val="none"/>
              </w:rPr>
              <w:t>监测地点</w:t>
            </w:r>
          </w:p>
        </w:tc>
        <w:tc>
          <w:tcPr>
            <w:tcW w:w="0" w:type="auto"/>
            <w:tcBorders>
              <w:tl2br w:val="nil"/>
              <w:tr2bl w:val="nil"/>
            </w:tcBorders>
            <w:noWrap w:val="0"/>
            <w:vAlign w:val="center"/>
          </w:tcPr>
          <w:p w14:paraId="778A617E">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b/>
                <w:caps w:val="0"/>
                <w:snapToGrid/>
                <w:color w:val="auto"/>
                <w:spacing w:val="0"/>
                <w:w w:val="100"/>
                <w:kern w:val="21"/>
                <w:position w:val="0"/>
                <w:sz w:val="21"/>
                <w:szCs w:val="21"/>
                <w:highlight w:val="none"/>
              </w:rPr>
            </w:pPr>
            <w:r>
              <w:rPr>
                <w:rFonts w:hint="default" w:ascii="Times New Roman" w:hAnsi="Times New Roman" w:eastAsia="宋体" w:cs="Times New Roman"/>
                <w:b/>
                <w:caps w:val="0"/>
                <w:snapToGrid/>
                <w:color w:val="auto"/>
                <w:spacing w:val="0"/>
                <w:w w:val="100"/>
                <w:kern w:val="21"/>
                <w:position w:val="0"/>
                <w:sz w:val="21"/>
                <w:szCs w:val="21"/>
                <w:highlight w:val="none"/>
              </w:rPr>
              <w:t>监测内容</w:t>
            </w:r>
          </w:p>
        </w:tc>
        <w:tc>
          <w:tcPr>
            <w:tcW w:w="0" w:type="auto"/>
            <w:tcBorders>
              <w:tl2br w:val="nil"/>
              <w:tr2bl w:val="nil"/>
            </w:tcBorders>
            <w:noWrap w:val="0"/>
            <w:vAlign w:val="center"/>
          </w:tcPr>
          <w:p w14:paraId="3B108C92">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b/>
                <w:caps w:val="0"/>
                <w:snapToGrid/>
                <w:color w:val="auto"/>
                <w:spacing w:val="0"/>
                <w:w w:val="100"/>
                <w:kern w:val="21"/>
                <w:position w:val="0"/>
                <w:sz w:val="21"/>
                <w:szCs w:val="21"/>
                <w:highlight w:val="none"/>
              </w:rPr>
            </w:pPr>
            <w:r>
              <w:rPr>
                <w:rFonts w:hint="default" w:ascii="Times New Roman" w:hAnsi="Times New Roman" w:eastAsia="宋体" w:cs="Times New Roman"/>
                <w:b/>
                <w:caps w:val="0"/>
                <w:snapToGrid/>
                <w:color w:val="auto"/>
                <w:spacing w:val="0"/>
                <w:w w:val="100"/>
                <w:kern w:val="21"/>
                <w:position w:val="0"/>
                <w:sz w:val="21"/>
                <w:szCs w:val="21"/>
                <w:highlight w:val="none"/>
              </w:rPr>
              <w:t>监测频率</w:t>
            </w:r>
          </w:p>
        </w:tc>
      </w:tr>
      <w:tr w14:paraId="2C306E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0" w:type="auto"/>
            <w:tcBorders>
              <w:tl2br w:val="nil"/>
              <w:tr2bl w:val="nil"/>
            </w:tcBorders>
            <w:noWrap w:val="0"/>
            <w:vAlign w:val="center"/>
          </w:tcPr>
          <w:p w14:paraId="0C05B18D">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地下水</w:t>
            </w:r>
          </w:p>
        </w:tc>
        <w:tc>
          <w:tcPr>
            <w:tcW w:w="0" w:type="auto"/>
            <w:tcBorders>
              <w:tl2br w:val="nil"/>
              <w:tr2bl w:val="nil"/>
            </w:tcBorders>
            <w:noWrap w:val="0"/>
            <w:vAlign w:val="center"/>
          </w:tcPr>
          <w:p w14:paraId="38F4DCAC">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pPr>
            <w:r>
              <w:rPr>
                <w:rFonts w:hint="default" w:ascii="Times New Roman" w:hAnsi="Times New Roman" w:eastAsia="宋体" w:cs="Times New Roman"/>
                <w:caps w:val="0"/>
                <w:snapToGrid/>
                <w:color w:val="auto"/>
                <w:spacing w:val="0"/>
                <w:w w:val="100"/>
                <w:kern w:val="21"/>
                <w:position w:val="0"/>
                <w:sz w:val="21"/>
                <w:szCs w:val="21"/>
                <w:highlight w:val="none"/>
              </w:rPr>
              <w:t>项目</w:t>
            </w:r>
            <w:r>
              <w:rPr>
                <w:rFonts w:hint="default" w:ascii="Times New Roman" w:hAnsi="Times New Roman" w:eastAsia="宋体" w:cs="Times New Roman"/>
                <w:caps w:val="0"/>
                <w:snapToGrid/>
                <w:color w:val="auto"/>
                <w:spacing w:val="0"/>
                <w:w w:val="100"/>
                <w:kern w:val="21"/>
                <w:position w:val="0"/>
                <w:sz w:val="21"/>
                <w:szCs w:val="21"/>
                <w:highlight w:val="none"/>
                <w:lang w:val="en-US" w:eastAsia="zh-CN"/>
              </w:rPr>
              <w:t>区下游地下水监测井</w:t>
            </w:r>
          </w:p>
        </w:tc>
        <w:tc>
          <w:tcPr>
            <w:tcW w:w="0" w:type="auto"/>
            <w:tcBorders>
              <w:tl2br w:val="nil"/>
              <w:tr2bl w:val="nil"/>
            </w:tcBorders>
            <w:noWrap w:val="0"/>
            <w:vAlign w:val="center"/>
          </w:tcPr>
          <w:p w14:paraId="196205E0">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outlineLvl w:val="9"/>
              <w:rPr>
                <w:rFonts w:hint="default" w:ascii="Times New Roman" w:hAnsi="Times New Roman" w:eastAsia="宋体" w:cs="Times New Roman"/>
                <w:caps w:val="0"/>
                <w:snapToGrid/>
                <w:color w:val="auto"/>
                <w:spacing w:val="0"/>
                <w:w w:val="100"/>
                <w:kern w:val="21"/>
                <w:position w:val="0"/>
                <w:sz w:val="21"/>
                <w:szCs w:val="21"/>
                <w:highlight w:val="none"/>
                <w:lang w:val="en-US"/>
              </w:rPr>
            </w:pPr>
            <w:r>
              <w:rPr>
                <w:rFonts w:hint="default" w:ascii="Times New Roman" w:hAnsi="Times New Roman" w:eastAsia="宋体" w:cs="Times New Roman"/>
                <w:caps w:val="0"/>
                <w:snapToGrid/>
                <w:color w:val="auto"/>
                <w:spacing w:val="0"/>
                <w:w w:val="100"/>
                <w:kern w:val="21"/>
                <w:position w:val="0"/>
                <w:sz w:val="21"/>
                <w:szCs w:val="21"/>
                <w:highlight w:val="none"/>
              </w:rPr>
              <w:t>K</w:t>
            </w:r>
            <w:r>
              <w:rPr>
                <w:rFonts w:hint="default" w:ascii="Times New Roman" w:hAnsi="Times New Roman" w:eastAsia="宋体" w:cs="Times New Roman"/>
                <w:caps w:val="0"/>
                <w:snapToGrid/>
                <w:color w:val="auto"/>
                <w:spacing w:val="0"/>
                <w:w w:val="100"/>
                <w:kern w:val="21"/>
                <w:position w:val="0"/>
                <w:sz w:val="21"/>
                <w:szCs w:val="21"/>
                <w:highlight w:val="none"/>
                <w:vertAlign w:val="superscript"/>
              </w:rPr>
              <w:t>+</w:t>
            </w:r>
            <w:r>
              <w:rPr>
                <w:rFonts w:hint="default" w:ascii="Times New Roman" w:hAnsi="Times New Roman" w:eastAsia="宋体" w:cs="Times New Roman"/>
                <w:caps w:val="0"/>
                <w:snapToGrid/>
                <w:color w:val="auto"/>
                <w:spacing w:val="0"/>
                <w:w w:val="100"/>
                <w:kern w:val="21"/>
                <w:position w:val="0"/>
                <w:sz w:val="21"/>
                <w:szCs w:val="21"/>
                <w:highlight w:val="none"/>
              </w:rPr>
              <w:t>、Na</w:t>
            </w:r>
            <w:r>
              <w:rPr>
                <w:rFonts w:hint="default" w:ascii="Times New Roman" w:hAnsi="Times New Roman" w:eastAsia="宋体" w:cs="Times New Roman"/>
                <w:caps w:val="0"/>
                <w:snapToGrid/>
                <w:color w:val="auto"/>
                <w:spacing w:val="0"/>
                <w:w w:val="100"/>
                <w:kern w:val="21"/>
                <w:position w:val="0"/>
                <w:sz w:val="21"/>
                <w:szCs w:val="21"/>
                <w:highlight w:val="none"/>
                <w:vertAlign w:val="superscript"/>
              </w:rPr>
              <w:t>+</w:t>
            </w:r>
            <w:r>
              <w:rPr>
                <w:rFonts w:hint="default" w:ascii="Times New Roman" w:hAnsi="Times New Roman" w:eastAsia="宋体" w:cs="Times New Roman"/>
                <w:caps w:val="0"/>
                <w:snapToGrid/>
                <w:color w:val="auto"/>
                <w:spacing w:val="0"/>
                <w:w w:val="100"/>
                <w:kern w:val="21"/>
                <w:position w:val="0"/>
                <w:sz w:val="21"/>
                <w:szCs w:val="21"/>
                <w:highlight w:val="none"/>
              </w:rPr>
              <w:t>、Ca</w:t>
            </w:r>
            <w:r>
              <w:rPr>
                <w:rFonts w:hint="default" w:ascii="Times New Roman" w:hAnsi="Times New Roman" w:eastAsia="宋体" w:cs="Times New Roman"/>
                <w:caps w:val="0"/>
                <w:snapToGrid/>
                <w:color w:val="auto"/>
                <w:spacing w:val="0"/>
                <w:w w:val="100"/>
                <w:kern w:val="21"/>
                <w:position w:val="0"/>
                <w:sz w:val="21"/>
                <w:szCs w:val="21"/>
                <w:highlight w:val="none"/>
                <w:vertAlign w:val="superscript"/>
              </w:rPr>
              <w:t>2+</w:t>
            </w:r>
            <w:r>
              <w:rPr>
                <w:rFonts w:hint="default" w:ascii="Times New Roman" w:hAnsi="Times New Roman" w:eastAsia="宋体" w:cs="Times New Roman"/>
                <w:caps w:val="0"/>
                <w:snapToGrid/>
                <w:color w:val="auto"/>
                <w:spacing w:val="0"/>
                <w:w w:val="100"/>
                <w:kern w:val="21"/>
                <w:position w:val="0"/>
                <w:sz w:val="21"/>
                <w:szCs w:val="21"/>
                <w:highlight w:val="none"/>
              </w:rPr>
              <w:t>、Mg</w:t>
            </w:r>
            <w:r>
              <w:rPr>
                <w:rFonts w:hint="default" w:ascii="Times New Roman" w:hAnsi="Times New Roman" w:eastAsia="宋体" w:cs="Times New Roman"/>
                <w:caps w:val="0"/>
                <w:snapToGrid/>
                <w:color w:val="auto"/>
                <w:spacing w:val="0"/>
                <w:w w:val="100"/>
                <w:kern w:val="21"/>
                <w:position w:val="0"/>
                <w:sz w:val="21"/>
                <w:szCs w:val="21"/>
                <w:highlight w:val="none"/>
                <w:vertAlign w:val="superscript"/>
              </w:rPr>
              <w:t>2+</w:t>
            </w:r>
            <w:r>
              <w:rPr>
                <w:rFonts w:hint="default" w:ascii="Times New Roman" w:hAnsi="Times New Roman" w:eastAsia="宋体" w:cs="Times New Roman"/>
                <w:caps w:val="0"/>
                <w:snapToGrid/>
                <w:color w:val="auto"/>
                <w:spacing w:val="0"/>
                <w:w w:val="100"/>
                <w:kern w:val="21"/>
                <w:position w:val="0"/>
                <w:sz w:val="21"/>
                <w:szCs w:val="21"/>
                <w:highlight w:val="none"/>
              </w:rPr>
              <w:t>、CO</w:t>
            </w:r>
            <w:r>
              <w:rPr>
                <w:rFonts w:hint="default" w:ascii="Times New Roman" w:hAnsi="Times New Roman" w:eastAsia="宋体" w:cs="Times New Roman"/>
                <w:caps w:val="0"/>
                <w:snapToGrid/>
                <w:color w:val="auto"/>
                <w:spacing w:val="0"/>
                <w:w w:val="100"/>
                <w:kern w:val="21"/>
                <w:position w:val="0"/>
                <w:sz w:val="21"/>
                <w:szCs w:val="21"/>
                <w:highlight w:val="none"/>
                <w:vertAlign w:val="subscript"/>
              </w:rPr>
              <w:t>3</w:t>
            </w:r>
            <w:r>
              <w:rPr>
                <w:rFonts w:hint="default" w:ascii="Times New Roman" w:hAnsi="Times New Roman" w:eastAsia="宋体" w:cs="Times New Roman"/>
                <w:caps w:val="0"/>
                <w:snapToGrid/>
                <w:color w:val="auto"/>
                <w:spacing w:val="0"/>
                <w:w w:val="100"/>
                <w:kern w:val="21"/>
                <w:position w:val="0"/>
                <w:sz w:val="21"/>
                <w:szCs w:val="21"/>
                <w:highlight w:val="none"/>
                <w:vertAlign w:val="superscript"/>
              </w:rPr>
              <w:t>2-</w:t>
            </w:r>
            <w:r>
              <w:rPr>
                <w:rFonts w:hint="default" w:ascii="Times New Roman" w:hAnsi="Times New Roman" w:eastAsia="宋体" w:cs="Times New Roman"/>
                <w:caps w:val="0"/>
                <w:snapToGrid/>
                <w:color w:val="auto"/>
                <w:spacing w:val="0"/>
                <w:w w:val="100"/>
                <w:kern w:val="21"/>
                <w:position w:val="0"/>
                <w:sz w:val="21"/>
                <w:szCs w:val="21"/>
                <w:highlight w:val="none"/>
              </w:rPr>
              <w:t>、HCO</w:t>
            </w:r>
            <w:r>
              <w:rPr>
                <w:rFonts w:hint="default" w:ascii="Times New Roman" w:hAnsi="Times New Roman" w:eastAsia="宋体" w:cs="Times New Roman"/>
                <w:caps w:val="0"/>
                <w:snapToGrid/>
                <w:color w:val="auto"/>
                <w:spacing w:val="0"/>
                <w:w w:val="100"/>
                <w:kern w:val="21"/>
                <w:position w:val="0"/>
                <w:sz w:val="21"/>
                <w:szCs w:val="21"/>
                <w:highlight w:val="none"/>
                <w:vertAlign w:val="subscript"/>
              </w:rPr>
              <w:t>3</w:t>
            </w:r>
            <w:r>
              <w:rPr>
                <w:rFonts w:hint="default" w:ascii="Times New Roman" w:hAnsi="Times New Roman" w:eastAsia="宋体" w:cs="Times New Roman"/>
                <w:caps w:val="0"/>
                <w:snapToGrid/>
                <w:color w:val="auto"/>
                <w:spacing w:val="0"/>
                <w:w w:val="100"/>
                <w:kern w:val="21"/>
                <w:position w:val="0"/>
                <w:sz w:val="21"/>
                <w:szCs w:val="21"/>
                <w:highlight w:val="none"/>
                <w:vertAlign w:val="superscript"/>
              </w:rPr>
              <w:t>-</w:t>
            </w:r>
            <w:r>
              <w:rPr>
                <w:rFonts w:hint="default" w:ascii="Times New Roman" w:hAnsi="Times New Roman" w:eastAsia="宋体" w:cs="Times New Roman"/>
                <w:caps w:val="0"/>
                <w:snapToGrid/>
                <w:color w:val="auto"/>
                <w:spacing w:val="0"/>
                <w:w w:val="100"/>
                <w:kern w:val="21"/>
                <w:position w:val="0"/>
                <w:sz w:val="21"/>
                <w:szCs w:val="21"/>
                <w:highlight w:val="none"/>
              </w:rPr>
              <w:t>、Cl</w:t>
            </w:r>
            <w:r>
              <w:rPr>
                <w:rFonts w:hint="default" w:ascii="Times New Roman" w:hAnsi="Times New Roman" w:eastAsia="宋体" w:cs="Times New Roman"/>
                <w:caps w:val="0"/>
                <w:snapToGrid/>
                <w:color w:val="auto"/>
                <w:spacing w:val="0"/>
                <w:w w:val="100"/>
                <w:kern w:val="21"/>
                <w:position w:val="0"/>
                <w:sz w:val="21"/>
                <w:szCs w:val="21"/>
                <w:highlight w:val="none"/>
                <w:vertAlign w:val="superscript"/>
              </w:rPr>
              <w:t>-</w:t>
            </w:r>
            <w:r>
              <w:rPr>
                <w:rFonts w:hint="default" w:ascii="Times New Roman" w:hAnsi="Times New Roman" w:eastAsia="宋体" w:cs="Times New Roman"/>
                <w:caps w:val="0"/>
                <w:snapToGrid/>
                <w:color w:val="auto"/>
                <w:spacing w:val="0"/>
                <w:w w:val="100"/>
                <w:kern w:val="21"/>
                <w:position w:val="0"/>
                <w:sz w:val="21"/>
                <w:szCs w:val="21"/>
                <w:highlight w:val="none"/>
              </w:rPr>
              <w:t>、SO</w:t>
            </w:r>
            <w:r>
              <w:rPr>
                <w:rFonts w:hint="default" w:ascii="Times New Roman" w:hAnsi="Times New Roman" w:eastAsia="宋体" w:cs="Times New Roman"/>
                <w:caps w:val="0"/>
                <w:snapToGrid/>
                <w:color w:val="auto"/>
                <w:spacing w:val="0"/>
                <w:w w:val="100"/>
                <w:kern w:val="21"/>
                <w:position w:val="0"/>
                <w:sz w:val="21"/>
                <w:szCs w:val="21"/>
                <w:highlight w:val="none"/>
                <w:vertAlign w:val="subscript"/>
              </w:rPr>
              <w:t>4</w:t>
            </w:r>
            <w:r>
              <w:rPr>
                <w:rFonts w:hint="default" w:ascii="Times New Roman" w:hAnsi="Times New Roman" w:eastAsia="宋体" w:cs="Times New Roman"/>
                <w:caps w:val="0"/>
                <w:snapToGrid/>
                <w:color w:val="auto"/>
                <w:spacing w:val="0"/>
                <w:w w:val="100"/>
                <w:kern w:val="21"/>
                <w:position w:val="0"/>
                <w:sz w:val="21"/>
                <w:szCs w:val="21"/>
                <w:highlight w:val="none"/>
                <w:vertAlign w:val="superscript"/>
              </w:rPr>
              <w:t>2-</w:t>
            </w:r>
            <w:r>
              <w:rPr>
                <w:rFonts w:hint="default" w:ascii="Times New Roman" w:hAnsi="Times New Roman" w:eastAsia="宋体" w:cs="Times New Roman"/>
                <w:caps w:val="0"/>
                <w:snapToGrid/>
                <w:color w:val="auto"/>
                <w:spacing w:val="0"/>
                <w:w w:val="100"/>
                <w:kern w:val="21"/>
                <w:position w:val="0"/>
                <w:sz w:val="21"/>
                <w:szCs w:val="21"/>
                <w:highlight w:val="none"/>
              </w:rPr>
              <w:t>、pH、溶解性总固体、</w:t>
            </w:r>
            <w:r>
              <w:rPr>
                <w:rFonts w:hint="eastAsia" w:cs="Times New Roman"/>
                <w:caps w:val="0"/>
                <w:snapToGrid/>
                <w:color w:val="auto"/>
                <w:spacing w:val="0"/>
                <w:w w:val="100"/>
                <w:kern w:val="21"/>
                <w:position w:val="0"/>
                <w:sz w:val="21"/>
                <w:szCs w:val="21"/>
                <w:highlight w:val="none"/>
                <w:lang w:val="en-US" w:eastAsia="zh-CN"/>
              </w:rPr>
              <w:t>氨氮、石油类</w:t>
            </w:r>
          </w:p>
        </w:tc>
        <w:tc>
          <w:tcPr>
            <w:tcW w:w="0" w:type="auto"/>
            <w:tcBorders>
              <w:tl2br w:val="nil"/>
              <w:tr2bl w:val="nil"/>
            </w:tcBorders>
            <w:noWrap w:val="0"/>
            <w:vAlign w:val="center"/>
          </w:tcPr>
          <w:p w14:paraId="44C54967">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1次/年</w:t>
            </w:r>
          </w:p>
        </w:tc>
      </w:tr>
    </w:tbl>
    <w:p w14:paraId="32958F63">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868" w:name="_Toc30625"/>
      <w:bookmarkStart w:id="869" w:name="_Toc25107"/>
      <w:bookmarkStart w:id="870" w:name="_Toc28062"/>
      <w:bookmarkStart w:id="871" w:name="_Toc26706"/>
      <w:bookmarkStart w:id="872" w:name="_Toc11998"/>
      <w:bookmarkStart w:id="873" w:name="_Toc8163"/>
      <w:bookmarkStart w:id="874" w:name="_Toc536692063"/>
      <w:bookmarkStart w:id="875" w:name="_Toc6225"/>
      <w:bookmarkStart w:id="876" w:name="_Toc16580"/>
      <w:bookmarkStart w:id="877" w:name="_Toc11221"/>
      <w:bookmarkStart w:id="878" w:name="_Toc4556"/>
      <w:bookmarkStart w:id="879" w:name="_Toc11694"/>
      <w:r>
        <w:rPr>
          <w:rFonts w:hint="default"/>
          <w:color w:val="auto"/>
          <w:spacing w:val="0"/>
          <w:w w:val="100"/>
          <w:position w:val="0"/>
          <w:highlight w:val="none"/>
          <w:lang w:val="en-US" w:eastAsia="zh-CN"/>
        </w:rPr>
        <w:t>8.2.3监测数据管理</w:t>
      </w:r>
      <w:bookmarkEnd w:id="868"/>
      <w:bookmarkEnd w:id="869"/>
      <w:bookmarkEnd w:id="870"/>
      <w:bookmarkEnd w:id="871"/>
      <w:bookmarkEnd w:id="872"/>
      <w:bookmarkEnd w:id="873"/>
      <w:bookmarkEnd w:id="874"/>
      <w:bookmarkEnd w:id="875"/>
      <w:bookmarkEnd w:id="876"/>
      <w:bookmarkEnd w:id="877"/>
      <w:bookmarkEnd w:id="878"/>
      <w:bookmarkEnd w:id="879"/>
    </w:p>
    <w:p w14:paraId="72C0B202">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szCs w:val="24"/>
          <w:highlight w:val="none"/>
        </w:rPr>
      </w:pPr>
      <w:r>
        <w:rPr>
          <w:rFonts w:hint="default" w:ascii="Times New Roman" w:hAnsi="Times New Roman" w:eastAsia="宋体" w:cs="Times New Roman"/>
          <w:caps w:val="0"/>
          <w:snapToGrid/>
          <w:color w:val="auto"/>
          <w:spacing w:val="0"/>
          <w:w w:val="100"/>
          <w:kern w:val="21"/>
          <w:position w:val="0"/>
          <w:szCs w:val="24"/>
          <w:highlight w:val="none"/>
        </w:rPr>
        <w:t>监测数据要有完整的原始记录，要求写明监测日期、点位名称以及监测期间的环境状况。建立相应的监测档案，并按污染源要求向当地生态环境管理部门进行报表。排污单位应编写自行监测年度报告，年度报告至少应包含以下内容：</w:t>
      </w:r>
    </w:p>
    <w:p w14:paraId="250305FE">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szCs w:val="24"/>
          <w:highlight w:val="none"/>
        </w:rPr>
      </w:pPr>
      <w:r>
        <w:rPr>
          <w:rFonts w:hint="default" w:ascii="Times New Roman" w:hAnsi="Times New Roman" w:eastAsia="宋体" w:cs="Times New Roman"/>
          <w:caps w:val="0"/>
          <w:snapToGrid/>
          <w:color w:val="auto"/>
          <w:spacing w:val="0"/>
          <w:w w:val="100"/>
          <w:kern w:val="21"/>
          <w:position w:val="0"/>
          <w:szCs w:val="24"/>
          <w:highlight w:val="none"/>
        </w:rPr>
        <w:t>a）监测方案的调整变化情况及变更原因；</w:t>
      </w:r>
    </w:p>
    <w:p w14:paraId="71A01F7F">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szCs w:val="24"/>
          <w:highlight w:val="none"/>
        </w:rPr>
      </w:pPr>
      <w:r>
        <w:rPr>
          <w:rFonts w:hint="default" w:ascii="Times New Roman" w:hAnsi="Times New Roman" w:eastAsia="宋体" w:cs="Times New Roman"/>
          <w:caps w:val="0"/>
          <w:snapToGrid/>
          <w:color w:val="auto"/>
          <w:spacing w:val="0"/>
          <w:w w:val="100"/>
          <w:kern w:val="21"/>
          <w:position w:val="0"/>
          <w:szCs w:val="24"/>
          <w:highlight w:val="none"/>
        </w:rPr>
        <w:t>b）企业及各主要生产设施（至少涵盖废气主要污染源相关生产设施）全年运行天数，各监测点、各监测指标全年监测次数、超标情况、浓度分布情况；</w:t>
      </w:r>
    </w:p>
    <w:p w14:paraId="15FE23D4">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szCs w:val="24"/>
          <w:highlight w:val="none"/>
        </w:rPr>
      </w:pPr>
      <w:r>
        <w:rPr>
          <w:rFonts w:hint="default" w:ascii="Times New Roman" w:hAnsi="Times New Roman" w:eastAsia="宋体" w:cs="Times New Roman"/>
          <w:caps w:val="0"/>
          <w:snapToGrid/>
          <w:color w:val="auto"/>
          <w:spacing w:val="0"/>
          <w:w w:val="100"/>
          <w:kern w:val="21"/>
          <w:position w:val="0"/>
          <w:szCs w:val="24"/>
          <w:highlight w:val="none"/>
        </w:rPr>
        <w:t>c）按要求开展的周边环境质量影响状况监测结果；</w:t>
      </w:r>
    </w:p>
    <w:p w14:paraId="7A8CC0E2">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szCs w:val="24"/>
          <w:highlight w:val="none"/>
        </w:rPr>
      </w:pPr>
      <w:r>
        <w:rPr>
          <w:rFonts w:hint="default" w:ascii="Times New Roman" w:hAnsi="Times New Roman" w:eastAsia="宋体" w:cs="Times New Roman"/>
          <w:caps w:val="0"/>
          <w:snapToGrid/>
          <w:color w:val="auto"/>
          <w:spacing w:val="0"/>
          <w:w w:val="100"/>
          <w:kern w:val="21"/>
          <w:position w:val="0"/>
          <w:szCs w:val="24"/>
          <w:highlight w:val="none"/>
        </w:rPr>
        <w:t>d）自行监测开展的其他情况说明；</w:t>
      </w:r>
    </w:p>
    <w:p w14:paraId="596813FF">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szCs w:val="24"/>
          <w:highlight w:val="none"/>
        </w:rPr>
      </w:pPr>
      <w:r>
        <w:rPr>
          <w:rFonts w:hint="default" w:ascii="Times New Roman" w:hAnsi="Times New Roman" w:eastAsia="宋体" w:cs="Times New Roman"/>
          <w:caps w:val="0"/>
          <w:snapToGrid/>
          <w:color w:val="auto"/>
          <w:spacing w:val="0"/>
          <w:w w:val="100"/>
          <w:kern w:val="21"/>
          <w:position w:val="0"/>
          <w:szCs w:val="24"/>
          <w:highlight w:val="none"/>
        </w:rPr>
        <w:t>e）排污单位实现达标排放所采取的主要措施。</w:t>
      </w:r>
    </w:p>
    <w:p w14:paraId="5319B121">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880" w:name="_Toc14966"/>
      <w:bookmarkStart w:id="881" w:name="_Toc3835"/>
      <w:bookmarkStart w:id="882" w:name="_Toc29666"/>
      <w:bookmarkStart w:id="883" w:name="_Toc14193"/>
      <w:bookmarkStart w:id="884" w:name="_Toc4035"/>
      <w:bookmarkStart w:id="885" w:name="_Toc4191"/>
      <w:bookmarkStart w:id="886" w:name="_Toc12741"/>
      <w:bookmarkStart w:id="887" w:name="_Toc536692068"/>
      <w:bookmarkStart w:id="888" w:name="_Toc17333"/>
      <w:r>
        <w:rPr>
          <w:rFonts w:hint="default"/>
          <w:color w:val="auto"/>
          <w:spacing w:val="0"/>
          <w:w w:val="100"/>
          <w:position w:val="0"/>
          <w:highlight w:val="none"/>
          <w:lang w:val="en-US" w:eastAsia="zh-CN"/>
        </w:rPr>
        <w:t>8.3总量控制</w:t>
      </w:r>
      <w:bookmarkEnd w:id="880"/>
      <w:bookmarkEnd w:id="881"/>
      <w:bookmarkEnd w:id="882"/>
      <w:bookmarkEnd w:id="883"/>
      <w:bookmarkEnd w:id="884"/>
      <w:bookmarkEnd w:id="885"/>
      <w:bookmarkEnd w:id="886"/>
      <w:bookmarkEnd w:id="887"/>
      <w:bookmarkEnd w:id="888"/>
    </w:p>
    <w:p w14:paraId="08D3182A">
      <w:pPr>
        <w:keepNext w:val="0"/>
        <w:keepLines w:val="0"/>
        <w:pageBreakBefore w:val="0"/>
        <w:widowControl w:val="0"/>
        <w:kinsoku/>
        <w:wordWrap/>
        <w:overflowPunct/>
        <w:topLinePunct w:val="0"/>
        <w:autoSpaceDE/>
        <w:autoSpaceDN/>
        <w:bidi w:val="0"/>
        <w:ind w:firstLine="480"/>
        <w:rPr>
          <w:color w:val="auto"/>
          <w:spacing w:val="0"/>
          <w:w w:val="100"/>
          <w:kern w:val="21"/>
          <w:position w:val="0"/>
        </w:rPr>
      </w:pPr>
      <w:bookmarkStart w:id="889" w:name="_Toc16866"/>
      <w:bookmarkStart w:id="890" w:name="_Toc5116"/>
      <w:bookmarkStart w:id="891" w:name="_Toc21515"/>
      <w:bookmarkStart w:id="892" w:name="_Toc32641"/>
      <w:bookmarkStart w:id="893" w:name="_Toc13186"/>
      <w:bookmarkStart w:id="894" w:name="_Toc399666144"/>
      <w:bookmarkStart w:id="895" w:name="_Toc13371"/>
      <w:r>
        <w:rPr>
          <w:color w:val="auto"/>
          <w:spacing w:val="0"/>
          <w:w w:val="100"/>
          <w:kern w:val="21"/>
          <w:position w:val="0"/>
        </w:rPr>
        <w:t>根据前文分析，本项目总量控制建议指标为</w:t>
      </w:r>
      <w:r>
        <w:rPr>
          <w:rFonts w:hint="eastAsia"/>
          <w:color w:val="auto"/>
          <w:spacing w:val="0"/>
          <w:w w:val="100"/>
          <w:kern w:val="21"/>
          <w:position w:val="0"/>
          <w:sz w:val="24"/>
          <w:szCs w:val="24"/>
        </w:rPr>
        <w:t>颗粒物：</w:t>
      </w:r>
      <w:r>
        <w:rPr>
          <w:rFonts w:hint="eastAsia"/>
          <w:color w:val="auto"/>
          <w:spacing w:val="0"/>
          <w:w w:val="100"/>
          <w:kern w:val="21"/>
          <w:position w:val="0"/>
          <w:sz w:val="24"/>
          <w:szCs w:val="24"/>
          <w:lang w:val="en-US" w:eastAsia="zh-CN"/>
        </w:rPr>
        <w:t>0.263t/a</w:t>
      </w:r>
      <w:r>
        <w:rPr>
          <w:rFonts w:hint="eastAsia"/>
          <w:color w:val="auto"/>
          <w:spacing w:val="0"/>
          <w:w w:val="100"/>
          <w:kern w:val="21"/>
          <w:position w:val="0"/>
          <w:sz w:val="24"/>
          <w:szCs w:val="24"/>
        </w:rPr>
        <w:t>，VOCs：</w:t>
      </w:r>
      <w:r>
        <w:rPr>
          <w:rFonts w:hint="eastAsia"/>
          <w:color w:val="auto"/>
          <w:spacing w:val="0"/>
          <w:w w:val="100"/>
          <w:kern w:val="21"/>
          <w:position w:val="0"/>
          <w:sz w:val="24"/>
          <w:szCs w:val="24"/>
          <w:lang w:val="en-US" w:eastAsia="zh-CN"/>
        </w:rPr>
        <w:t>2.218t/a</w:t>
      </w:r>
      <w:r>
        <w:rPr>
          <w:rFonts w:hint="eastAsia"/>
          <w:color w:val="auto"/>
          <w:spacing w:val="0"/>
          <w:w w:val="100"/>
          <w:kern w:val="21"/>
          <w:position w:val="0"/>
        </w:rPr>
        <w:t>，</w:t>
      </w:r>
      <w:r>
        <w:rPr>
          <w:color w:val="auto"/>
          <w:spacing w:val="0"/>
          <w:w w:val="100"/>
          <w:kern w:val="0"/>
          <w:position w:val="0"/>
          <w:szCs w:val="24"/>
        </w:rPr>
        <w:t>区域削减替代量结果为：</w:t>
      </w:r>
      <w:r>
        <w:rPr>
          <w:rFonts w:hint="eastAsia"/>
          <w:color w:val="auto"/>
          <w:spacing w:val="0"/>
          <w:w w:val="100"/>
          <w:position w:val="0"/>
          <w:highlight w:val="none"/>
        </w:rPr>
        <w:t>颗粒物为</w:t>
      </w:r>
      <w:r>
        <w:rPr>
          <w:rFonts w:hint="eastAsia"/>
          <w:color w:val="auto"/>
          <w:spacing w:val="0"/>
          <w:w w:val="100"/>
          <w:position w:val="0"/>
          <w:highlight w:val="none"/>
          <w:lang w:val="en-US" w:eastAsia="zh-CN"/>
        </w:rPr>
        <w:t>0.526t/a</w:t>
      </w:r>
      <w:r>
        <w:rPr>
          <w:rFonts w:hint="eastAsia"/>
          <w:color w:val="auto"/>
          <w:spacing w:val="0"/>
          <w:w w:val="100"/>
          <w:position w:val="0"/>
          <w:highlight w:val="none"/>
        </w:rPr>
        <w:t>，</w:t>
      </w:r>
      <w:r>
        <w:rPr>
          <w:color w:val="auto"/>
          <w:spacing w:val="0"/>
          <w:w w:val="100"/>
          <w:position w:val="0"/>
          <w:highlight w:val="none"/>
        </w:rPr>
        <w:t>VOCs为</w:t>
      </w:r>
      <w:r>
        <w:rPr>
          <w:rFonts w:hint="eastAsia"/>
          <w:color w:val="auto"/>
          <w:spacing w:val="0"/>
          <w:w w:val="100"/>
          <w:position w:val="0"/>
          <w:highlight w:val="none"/>
          <w:lang w:val="en-US" w:eastAsia="zh-CN"/>
        </w:rPr>
        <w:t>4.436t/a</w:t>
      </w:r>
      <w:r>
        <w:rPr>
          <w:color w:val="auto"/>
          <w:spacing w:val="0"/>
          <w:w w:val="100"/>
          <w:kern w:val="0"/>
          <w:position w:val="0"/>
          <w:szCs w:val="24"/>
        </w:rPr>
        <w:t>。</w:t>
      </w:r>
    </w:p>
    <w:p w14:paraId="7C25F9B6">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896" w:name="_Toc19802"/>
      <w:bookmarkStart w:id="897" w:name="_Toc15451"/>
      <w:bookmarkStart w:id="898" w:name="_Toc13033"/>
      <w:bookmarkStart w:id="899" w:name="_Toc20612"/>
      <w:r>
        <w:rPr>
          <w:rFonts w:hint="default"/>
          <w:color w:val="auto"/>
          <w:spacing w:val="0"/>
          <w:w w:val="100"/>
          <w:position w:val="0"/>
          <w:highlight w:val="none"/>
          <w:lang w:val="en-US" w:eastAsia="zh-CN"/>
        </w:rPr>
        <w:t>8.4排污许可管理</w:t>
      </w:r>
      <w:bookmarkEnd w:id="896"/>
      <w:bookmarkEnd w:id="897"/>
      <w:bookmarkEnd w:id="898"/>
    </w:p>
    <w:p w14:paraId="74C7D45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根据《控制污染物排放许可制实施方案的通知》（国办发﹝2016﹞81号）、《排污许可管理办法》等要求，纳入固定污染源排污许可分类管理名录的企业事业单位和其他生产经营者应当按照规定的时限申请并取得排污许可证。</w:t>
      </w:r>
    </w:p>
    <w:p w14:paraId="5693BC9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排污单位应当依法持有排污许可证，并按照排污许可证的规定排放污染物，应当取得排污许可证而未取得的，不得排放污染物。</w:t>
      </w:r>
    </w:p>
    <w:p w14:paraId="6D804B7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根据《固体污染源排污许可管理名录（2019年版）》有关内容：国家根据排放污染物的企业事业单位和其他生产经营者（以下简称排污单位）污染物产生量、排放量、对环境的影响程度等因素，实行排污许可重点管理、简化管理和登记管理。其中对污染物产生量、排放量和对环境的影响程度很小的排污单位，实行排污登记管理。</w:t>
      </w:r>
    </w:p>
    <w:p w14:paraId="2F36915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rPr>
        <w:t>根据《固定污染源排污许可分类管理名录（2019年版）》，本项目</w:t>
      </w:r>
      <w:r>
        <w:rPr>
          <w:rFonts w:hint="eastAsia"/>
          <w:color w:val="auto"/>
          <w:spacing w:val="0"/>
          <w:w w:val="100"/>
          <w:position w:val="0"/>
          <w:highlight w:val="none"/>
          <w:lang w:val="en-US" w:eastAsia="zh-CN"/>
        </w:rPr>
        <w:t>为“二十四、橡胶塑料制品业29--62、塑料制品业292--塑料板、管、型材制造 2922”，</w:t>
      </w:r>
      <w:r>
        <w:rPr>
          <w:rFonts w:hint="default" w:ascii="Times New Roman" w:hAnsi="Times New Roman" w:eastAsia="宋体" w:cs="Times New Roman"/>
          <w:caps w:val="0"/>
          <w:snapToGrid/>
          <w:color w:val="auto"/>
          <w:spacing w:val="0"/>
          <w:w w:val="100"/>
          <w:kern w:val="21"/>
          <w:position w:val="0"/>
          <w:sz w:val="24"/>
          <w:highlight w:val="none"/>
        </w:rPr>
        <w:t>属于</w:t>
      </w:r>
      <w:r>
        <w:rPr>
          <w:rFonts w:hint="default" w:ascii="Times New Roman" w:hAnsi="Times New Roman" w:eastAsia="宋体" w:cs="Times New Roman"/>
          <w:caps w:val="0"/>
          <w:snapToGrid/>
          <w:color w:val="auto"/>
          <w:spacing w:val="0"/>
          <w:w w:val="100"/>
          <w:kern w:val="21"/>
          <w:position w:val="0"/>
          <w:sz w:val="24"/>
          <w:highlight w:val="none"/>
          <w:lang w:val="en-US" w:eastAsia="zh-CN"/>
        </w:rPr>
        <w:t>简化</w:t>
      </w:r>
      <w:r>
        <w:rPr>
          <w:rFonts w:hint="default" w:ascii="Times New Roman" w:hAnsi="Times New Roman" w:eastAsia="宋体" w:cs="Times New Roman"/>
          <w:caps w:val="0"/>
          <w:snapToGrid/>
          <w:color w:val="auto"/>
          <w:spacing w:val="0"/>
          <w:w w:val="100"/>
          <w:kern w:val="21"/>
          <w:position w:val="0"/>
          <w:sz w:val="24"/>
          <w:highlight w:val="none"/>
        </w:rPr>
        <w:t>管理</w:t>
      </w:r>
      <w:r>
        <w:rPr>
          <w:rFonts w:hint="eastAsia" w:ascii="Times New Roman" w:hAnsi="Times New Roman" w:cs="Times New Roman"/>
          <w:caps w:val="0"/>
          <w:snapToGrid/>
          <w:color w:val="auto"/>
          <w:spacing w:val="0"/>
          <w:w w:val="100"/>
          <w:kern w:val="21"/>
          <w:position w:val="0"/>
          <w:sz w:val="24"/>
          <w:highlight w:val="none"/>
          <w:lang w:eastAsia="zh-CN"/>
        </w:rPr>
        <w:t>，</w:t>
      </w:r>
      <w:r>
        <w:rPr>
          <w:rFonts w:hint="default" w:ascii="Times New Roman" w:hAnsi="Times New Roman" w:eastAsia="宋体" w:cs="Times New Roman"/>
          <w:caps w:val="0"/>
          <w:snapToGrid/>
          <w:color w:val="auto"/>
          <w:spacing w:val="0"/>
          <w:w w:val="100"/>
          <w:kern w:val="21"/>
          <w:position w:val="0"/>
          <w:highlight w:val="none"/>
        </w:rPr>
        <w:t xml:space="preserve">应按照《排污许可证申请与核发技术规范 </w:t>
      </w:r>
      <w:r>
        <w:rPr>
          <w:rFonts w:hint="default" w:ascii="Times New Roman" w:hAnsi="Times New Roman" w:eastAsia="宋体" w:cs="Times New Roman"/>
          <w:caps w:val="0"/>
          <w:snapToGrid/>
          <w:color w:val="auto"/>
          <w:spacing w:val="0"/>
          <w:w w:val="100"/>
          <w:kern w:val="21"/>
          <w:position w:val="0"/>
          <w:highlight w:val="none"/>
          <w:lang w:val="en-US" w:eastAsia="zh-CN"/>
        </w:rPr>
        <w:t>总则</w:t>
      </w:r>
      <w:r>
        <w:rPr>
          <w:rFonts w:hint="default" w:ascii="Times New Roman" w:hAnsi="Times New Roman" w:eastAsia="宋体" w:cs="Times New Roman"/>
          <w:caps w:val="0"/>
          <w:snapToGrid/>
          <w:color w:val="auto"/>
          <w:spacing w:val="0"/>
          <w:w w:val="100"/>
          <w:kern w:val="21"/>
          <w:position w:val="0"/>
          <w:highlight w:val="none"/>
        </w:rPr>
        <w:t>》（HJ</w:t>
      </w:r>
      <w:r>
        <w:rPr>
          <w:rFonts w:hint="default" w:ascii="Times New Roman" w:hAnsi="Times New Roman" w:eastAsia="宋体" w:cs="Times New Roman"/>
          <w:caps w:val="0"/>
          <w:snapToGrid/>
          <w:color w:val="auto"/>
          <w:spacing w:val="0"/>
          <w:w w:val="100"/>
          <w:kern w:val="21"/>
          <w:position w:val="0"/>
          <w:highlight w:val="none"/>
          <w:lang w:val="en-US" w:eastAsia="zh-CN"/>
        </w:rPr>
        <w:t>942</w:t>
      </w:r>
      <w:r>
        <w:rPr>
          <w:rFonts w:hint="default" w:ascii="Times New Roman" w:hAnsi="Times New Roman" w:eastAsia="宋体" w:cs="Times New Roman"/>
          <w:caps w:val="0"/>
          <w:snapToGrid/>
          <w:color w:val="auto"/>
          <w:spacing w:val="0"/>
          <w:w w:val="100"/>
          <w:kern w:val="21"/>
          <w:position w:val="0"/>
          <w:highlight w:val="none"/>
        </w:rPr>
        <w:t>-20</w:t>
      </w:r>
      <w:r>
        <w:rPr>
          <w:rFonts w:hint="default" w:ascii="Times New Roman" w:hAnsi="Times New Roman" w:eastAsia="宋体" w:cs="Times New Roman"/>
          <w:caps w:val="0"/>
          <w:snapToGrid/>
          <w:color w:val="auto"/>
          <w:spacing w:val="0"/>
          <w:w w:val="100"/>
          <w:kern w:val="21"/>
          <w:position w:val="0"/>
          <w:highlight w:val="none"/>
          <w:lang w:val="en-US" w:eastAsia="zh-CN"/>
        </w:rPr>
        <w:t>18</w:t>
      </w:r>
      <w:r>
        <w:rPr>
          <w:rFonts w:hint="default" w:ascii="Times New Roman" w:hAnsi="Times New Roman" w:eastAsia="宋体" w:cs="Times New Roman"/>
          <w:caps w:val="0"/>
          <w:snapToGrid/>
          <w:color w:val="auto"/>
          <w:spacing w:val="0"/>
          <w:w w:val="100"/>
          <w:kern w:val="21"/>
          <w:position w:val="0"/>
          <w:highlight w:val="none"/>
        </w:rPr>
        <w:t>）要求，填报排污单位基本信息；主要产品及产能；主要原辅材料及燃料；排污节点、污染物及污染治理设施；产排污节点对应排放口及许可排放限值；危险废物及一般工业固体废物基础信息、危险废物及一般工业固体废物自行贮存设施信息、污染控制措施；编制符合规范要求的自行监测计划、环境管理台账及执行报告等。</w:t>
      </w:r>
    </w:p>
    <w:p w14:paraId="2DC92EB5">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900" w:name="_Toc11802"/>
      <w:bookmarkStart w:id="901" w:name="_Toc6573"/>
      <w:bookmarkStart w:id="902" w:name="_Toc32020"/>
      <w:r>
        <w:rPr>
          <w:rFonts w:hint="default"/>
          <w:color w:val="auto"/>
          <w:spacing w:val="0"/>
          <w:w w:val="100"/>
          <w:position w:val="0"/>
          <w:highlight w:val="none"/>
          <w:lang w:val="en-US" w:eastAsia="zh-CN"/>
        </w:rPr>
        <w:t>8.</w:t>
      </w:r>
      <w:bookmarkEnd w:id="889"/>
      <w:bookmarkEnd w:id="890"/>
      <w:bookmarkEnd w:id="891"/>
      <w:bookmarkEnd w:id="892"/>
      <w:bookmarkEnd w:id="893"/>
      <w:bookmarkEnd w:id="894"/>
      <w:bookmarkEnd w:id="895"/>
      <w:bookmarkStart w:id="903" w:name="_Toc346707829"/>
      <w:bookmarkStart w:id="904" w:name="_Toc389048685"/>
      <w:bookmarkStart w:id="905" w:name="_Toc357427364"/>
      <w:bookmarkStart w:id="906" w:name="_Toc387919271"/>
      <w:bookmarkStart w:id="907" w:name="_Toc380425973"/>
      <w:bookmarkStart w:id="908" w:name="_Toc356202950"/>
      <w:bookmarkStart w:id="909" w:name="_Toc342125134"/>
      <w:r>
        <w:rPr>
          <w:rFonts w:hint="default"/>
          <w:color w:val="auto"/>
          <w:spacing w:val="0"/>
          <w:w w:val="100"/>
          <w:position w:val="0"/>
          <w:highlight w:val="none"/>
          <w:lang w:val="en-US" w:eastAsia="zh-CN"/>
        </w:rPr>
        <w:t>5贯彻执行“三同时</w:t>
      </w:r>
      <w:bookmarkEnd w:id="899"/>
      <w:r>
        <w:rPr>
          <w:rFonts w:hint="default"/>
          <w:color w:val="auto"/>
          <w:spacing w:val="0"/>
          <w:w w:val="100"/>
          <w:position w:val="0"/>
          <w:highlight w:val="none"/>
          <w:lang w:val="en-US" w:eastAsia="zh-CN"/>
        </w:rPr>
        <w:t>”制度</w:t>
      </w:r>
      <w:bookmarkEnd w:id="900"/>
      <w:bookmarkEnd w:id="901"/>
      <w:bookmarkEnd w:id="902"/>
    </w:p>
    <w:bookmarkEnd w:id="903"/>
    <w:bookmarkEnd w:id="904"/>
    <w:bookmarkEnd w:id="905"/>
    <w:bookmarkEnd w:id="906"/>
    <w:bookmarkEnd w:id="907"/>
    <w:bookmarkEnd w:id="908"/>
    <w:bookmarkEnd w:id="909"/>
    <w:p w14:paraId="78671D95">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（1）“三同时</w:t>
      </w:r>
      <w:r>
        <w:rPr>
          <w:rFonts w:hint="default" w:ascii="Times New Roman" w:hAnsi="Times New Roman" w:eastAsia="宋体" w:cs="Times New Roman"/>
          <w:caps w:val="0"/>
          <w:snapToGrid/>
          <w:color w:val="auto"/>
          <w:spacing w:val="0"/>
          <w:w w:val="100"/>
          <w:kern w:val="21"/>
          <w:position w:val="0"/>
          <w:highlight w:val="none"/>
          <w:lang w:eastAsia="zh-CN"/>
        </w:rPr>
        <w:t>”</w:t>
      </w:r>
      <w:r>
        <w:rPr>
          <w:rFonts w:hint="default" w:ascii="Times New Roman" w:hAnsi="Times New Roman" w:eastAsia="宋体" w:cs="Times New Roman"/>
          <w:caps w:val="0"/>
          <w:snapToGrid/>
          <w:color w:val="auto"/>
          <w:spacing w:val="0"/>
          <w:w w:val="100"/>
          <w:kern w:val="21"/>
          <w:position w:val="0"/>
          <w:highlight w:val="none"/>
        </w:rPr>
        <w:t>总体要求</w:t>
      </w:r>
    </w:p>
    <w:p w14:paraId="5A5E0872">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建设项目的污染治理设施，应当与主体工程同时设计、同时施工、同时投产使用。</w:t>
      </w:r>
    </w:p>
    <w:p w14:paraId="24D797C1">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（2）同时设计</w:t>
      </w:r>
    </w:p>
    <w:p w14:paraId="17EB133F">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按照环评文件及其批复要求，按照环境保护设计规范的要求，在设计文件中落实防止、减少环境污染和生态破坏的污染治理设施以及投资概算。</w:t>
      </w:r>
    </w:p>
    <w:p w14:paraId="3E595EF3">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（3）同时施工</w:t>
      </w:r>
    </w:p>
    <w:p w14:paraId="32D6B127">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建设项目施工阶段，应当将环境保护设施纳入项目的施工合同和计划，保障其建设进度和资金落实，并采取防止、减少施工期环境污染和生态破坏的措施，开展施工期环境监测。</w:t>
      </w:r>
    </w:p>
    <w:p w14:paraId="4178A3CA">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（4）排污许可管理要求</w:t>
      </w:r>
    </w:p>
    <w:p w14:paraId="5E8993A8">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建设项目投产前向负有排污许可监督管理职责的生态环境主管部门提交排污许可申请，严格按照排污许可证规定的污染物排放种类、浓度、总量等排污。</w:t>
      </w:r>
    </w:p>
    <w:p w14:paraId="1E83C20C">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（5）验收标准与范围</w:t>
      </w:r>
    </w:p>
    <w:p w14:paraId="4C382D2E">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①根据《建设项目竣工环境保护验收暂行办法》（国环规环评〔2017〕4号）</w:t>
      </w:r>
      <w:r>
        <w:rPr>
          <w:rFonts w:hint="default" w:ascii="Times New Roman" w:hAnsi="Times New Roman" w:eastAsia="宋体" w:cs="Times New Roman"/>
          <w:caps w:val="0"/>
          <w:snapToGrid/>
          <w:color w:val="auto"/>
          <w:spacing w:val="0"/>
          <w:w w:val="100"/>
          <w:kern w:val="21"/>
          <w:position w:val="0"/>
          <w:highlight w:val="none"/>
          <w:lang w:eastAsia="zh-CN"/>
        </w:rPr>
        <w:t>的</w:t>
      </w:r>
      <w:r>
        <w:rPr>
          <w:rFonts w:hint="default" w:ascii="Times New Roman" w:hAnsi="Times New Roman" w:eastAsia="宋体" w:cs="Times New Roman"/>
          <w:caps w:val="0"/>
          <w:snapToGrid/>
          <w:color w:val="auto"/>
          <w:spacing w:val="0"/>
          <w:w w:val="100"/>
          <w:kern w:val="21"/>
          <w:position w:val="0"/>
          <w:highlight w:val="none"/>
        </w:rPr>
        <w:t>有关规定执行；</w:t>
      </w:r>
    </w:p>
    <w:p w14:paraId="2537E1E5">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②与工程有关的各项污染治理设施，包括为污染防治和保护生态环境设施建成或配套建成的工程、设备、装置，以及各项生态保护、水土保持绿化设施；</w:t>
      </w:r>
    </w:p>
    <w:p w14:paraId="7A8C8C7B">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③本报告书及其批复文件和有关设计文件规定应采取的其他各项污染治理措施。</w:t>
      </w:r>
    </w:p>
    <w:p w14:paraId="5A981D5E">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（6）竣工环境保护验收</w:t>
      </w:r>
    </w:p>
    <w:p w14:paraId="33159A74">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根据《建设项目竣工环境保护验收暂行办法》，建设单位或委托编制单位应如实查验、监测、记载建设项目污染治理设施的建设和调试情况，同时还应如实记载其他污染治理对策措施“三同时</w:t>
      </w:r>
      <w:r>
        <w:rPr>
          <w:rFonts w:hint="default" w:ascii="Times New Roman" w:hAnsi="Times New Roman" w:eastAsia="宋体" w:cs="Times New Roman"/>
          <w:caps w:val="0"/>
          <w:snapToGrid/>
          <w:color w:val="auto"/>
          <w:spacing w:val="0"/>
          <w:w w:val="100"/>
          <w:kern w:val="21"/>
          <w:position w:val="0"/>
          <w:highlight w:val="none"/>
          <w:lang w:eastAsia="zh-CN"/>
        </w:rPr>
        <w:t>”</w:t>
      </w:r>
      <w:r>
        <w:rPr>
          <w:rFonts w:hint="default" w:ascii="Times New Roman" w:hAnsi="Times New Roman" w:eastAsia="宋体" w:cs="Times New Roman"/>
          <w:caps w:val="0"/>
          <w:snapToGrid/>
          <w:color w:val="auto"/>
          <w:spacing w:val="0"/>
          <w:w w:val="100"/>
          <w:kern w:val="21"/>
          <w:position w:val="0"/>
          <w:highlight w:val="none"/>
        </w:rPr>
        <w:t>落实情况，编制竣工环境保护验收报告。验收报告编制完成后，建设单位应组织成立验收工作组。建设项目配套建设的污染治理设施经验收合格后，其主体工程才可以投入生产或者使用。</w:t>
      </w:r>
    </w:p>
    <w:p w14:paraId="4DF79972">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lang w:eastAsia="zh-CN"/>
        </w:rPr>
        <w:t>本</w:t>
      </w:r>
      <w:r>
        <w:rPr>
          <w:rFonts w:hint="default" w:ascii="Times New Roman" w:hAnsi="Times New Roman" w:eastAsia="宋体" w:cs="Times New Roman"/>
          <w:caps w:val="0"/>
          <w:snapToGrid/>
          <w:color w:val="auto"/>
          <w:spacing w:val="0"/>
          <w:w w:val="100"/>
          <w:kern w:val="21"/>
          <w:position w:val="0"/>
          <w:highlight w:val="none"/>
        </w:rPr>
        <w:t>项目环保“三同时</w:t>
      </w:r>
      <w:r>
        <w:rPr>
          <w:rFonts w:hint="default" w:ascii="Times New Roman" w:hAnsi="Times New Roman" w:eastAsia="宋体" w:cs="Times New Roman"/>
          <w:caps w:val="0"/>
          <w:snapToGrid/>
          <w:color w:val="auto"/>
          <w:spacing w:val="0"/>
          <w:w w:val="100"/>
          <w:kern w:val="21"/>
          <w:position w:val="0"/>
          <w:highlight w:val="none"/>
          <w:lang w:eastAsia="zh-CN"/>
        </w:rPr>
        <w:t>”</w:t>
      </w:r>
      <w:r>
        <w:rPr>
          <w:rFonts w:hint="default" w:ascii="Times New Roman" w:hAnsi="Times New Roman" w:eastAsia="宋体" w:cs="Times New Roman"/>
          <w:caps w:val="0"/>
          <w:snapToGrid/>
          <w:color w:val="auto"/>
          <w:spacing w:val="0"/>
          <w:w w:val="100"/>
          <w:kern w:val="21"/>
          <w:position w:val="0"/>
          <w:highlight w:val="none"/>
        </w:rPr>
        <w:t>验收内容见表</w:t>
      </w:r>
      <w:r>
        <w:rPr>
          <w:rFonts w:hint="default" w:ascii="Times New Roman" w:hAnsi="Times New Roman" w:eastAsia="宋体" w:cs="Times New Roman"/>
          <w:caps w:val="0"/>
          <w:snapToGrid/>
          <w:color w:val="auto"/>
          <w:spacing w:val="0"/>
          <w:w w:val="100"/>
          <w:kern w:val="21"/>
          <w:position w:val="0"/>
          <w:highlight w:val="none"/>
          <w:lang w:val="en-US" w:eastAsia="zh-CN"/>
        </w:rPr>
        <w:t>8</w:t>
      </w:r>
      <w:r>
        <w:rPr>
          <w:rFonts w:hint="default" w:ascii="Times New Roman" w:hAnsi="Times New Roman" w:eastAsia="宋体" w:cs="Times New Roman"/>
          <w:caps w:val="0"/>
          <w:snapToGrid/>
          <w:color w:val="auto"/>
          <w:spacing w:val="0"/>
          <w:w w:val="100"/>
          <w:kern w:val="21"/>
          <w:position w:val="0"/>
          <w:highlight w:val="none"/>
        </w:rPr>
        <w:t>.</w:t>
      </w:r>
      <w:r>
        <w:rPr>
          <w:rFonts w:hint="default" w:ascii="Times New Roman" w:hAnsi="Times New Roman" w:eastAsia="宋体" w:cs="Times New Roman"/>
          <w:caps w:val="0"/>
          <w:snapToGrid/>
          <w:color w:val="auto"/>
          <w:spacing w:val="0"/>
          <w:w w:val="100"/>
          <w:kern w:val="21"/>
          <w:position w:val="0"/>
          <w:highlight w:val="none"/>
          <w:lang w:val="en-US" w:eastAsia="zh-CN"/>
        </w:rPr>
        <w:t>5</w:t>
      </w:r>
      <w:r>
        <w:rPr>
          <w:rFonts w:hint="default" w:ascii="Times New Roman" w:hAnsi="Times New Roman" w:eastAsia="宋体" w:cs="Times New Roman"/>
          <w:caps w:val="0"/>
          <w:snapToGrid/>
          <w:color w:val="auto"/>
          <w:spacing w:val="0"/>
          <w:w w:val="100"/>
          <w:kern w:val="21"/>
          <w:position w:val="0"/>
          <w:highlight w:val="none"/>
        </w:rPr>
        <w:t>-1。</w:t>
      </w:r>
    </w:p>
    <w:p w14:paraId="5D56F0F7">
      <w:pPr>
        <w:pStyle w:val="3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r>
        <w:rPr>
          <w:rFonts w:hint="default"/>
          <w:color w:val="auto"/>
          <w:spacing w:val="0"/>
          <w:w w:val="100"/>
          <w:position w:val="0"/>
          <w:highlight w:val="none"/>
        </w:rPr>
        <w:t>表8.5-1  建设项目“三同时”验收一览表</w:t>
      </w:r>
    </w:p>
    <w:tbl>
      <w:tblPr>
        <w:tblStyle w:val="2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352"/>
        <w:gridCol w:w="999"/>
        <w:gridCol w:w="1329"/>
        <w:gridCol w:w="1678"/>
        <w:gridCol w:w="1190"/>
        <w:gridCol w:w="2872"/>
      </w:tblGrid>
      <w:tr w14:paraId="111EEB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blHeader/>
          <w:jc w:val="center"/>
        </w:trPr>
        <w:tc>
          <w:tcPr>
            <w:tcW w:w="209" w:type="pct"/>
            <w:tcBorders>
              <w:tl2br w:val="nil"/>
              <w:tr2bl w:val="nil"/>
            </w:tcBorders>
            <w:vAlign w:val="center"/>
          </w:tcPr>
          <w:p w14:paraId="32BB69B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项目</w:t>
            </w:r>
          </w:p>
        </w:tc>
        <w:tc>
          <w:tcPr>
            <w:tcW w:w="593" w:type="pct"/>
            <w:tcBorders>
              <w:tl2br w:val="nil"/>
              <w:tr2bl w:val="nil"/>
            </w:tcBorders>
            <w:vAlign w:val="center"/>
          </w:tcPr>
          <w:p w14:paraId="6F164C4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污染源</w:t>
            </w:r>
          </w:p>
        </w:tc>
        <w:tc>
          <w:tcPr>
            <w:tcW w:w="789" w:type="pct"/>
            <w:tcBorders>
              <w:tl2br w:val="nil"/>
              <w:tr2bl w:val="nil"/>
            </w:tcBorders>
            <w:vAlign w:val="center"/>
          </w:tcPr>
          <w:p w14:paraId="653DED8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污染物</w:t>
            </w:r>
          </w:p>
        </w:tc>
        <w:tc>
          <w:tcPr>
            <w:tcW w:w="996" w:type="pct"/>
            <w:tcBorders>
              <w:tl2br w:val="nil"/>
              <w:tr2bl w:val="nil"/>
            </w:tcBorders>
            <w:vAlign w:val="center"/>
          </w:tcPr>
          <w:p w14:paraId="20D2F9E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治理措施</w:t>
            </w:r>
          </w:p>
        </w:tc>
        <w:tc>
          <w:tcPr>
            <w:tcW w:w="706" w:type="pct"/>
            <w:tcBorders>
              <w:tl2br w:val="nil"/>
              <w:tr2bl w:val="nil"/>
            </w:tcBorders>
            <w:vAlign w:val="center"/>
          </w:tcPr>
          <w:p w14:paraId="4BA00D8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验收指标</w:t>
            </w:r>
          </w:p>
        </w:tc>
        <w:tc>
          <w:tcPr>
            <w:tcW w:w="1704" w:type="pct"/>
            <w:tcBorders>
              <w:tl2br w:val="nil"/>
              <w:tr2bl w:val="nil"/>
            </w:tcBorders>
            <w:vAlign w:val="center"/>
          </w:tcPr>
          <w:p w14:paraId="325361A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b/>
                <w:bCs/>
                <w:color w:val="auto"/>
                <w:spacing w:val="0"/>
                <w:w w:val="100"/>
                <w:kern w:val="21"/>
                <w:position w:val="0"/>
                <w:sz w:val="21"/>
              </w:rPr>
            </w:pPr>
            <w:r>
              <w:rPr>
                <w:rFonts w:hint="default"/>
                <w:b/>
                <w:bCs/>
                <w:color w:val="auto"/>
                <w:spacing w:val="0"/>
                <w:w w:val="100"/>
                <w:kern w:val="21"/>
                <w:position w:val="0"/>
                <w:sz w:val="21"/>
              </w:rPr>
              <w:t>验收标准</w:t>
            </w:r>
          </w:p>
        </w:tc>
      </w:tr>
      <w:tr w14:paraId="14631F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209" w:type="pct"/>
            <w:vMerge w:val="restart"/>
            <w:tcBorders>
              <w:tl2br w:val="nil"/>
              <w:tr2bl w:val="nil"/>
            </w:tcBorders>
            <w:vAlign w:val="center"/>
          </w:tcPr>
          <w:p w14:paraId="469608E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废气</w:t>
            </w:r>
          </w:p>
        </w:tc>
        <w:tc>
          <w:tcPr>
            <w:tcW w:w="593" w:type="pct"/>
            <w:tcBorders>
              <w:tl2br w:val="nil"/>
              <w:tr2bl w:val="nil"/>
            </w:tcBorders>
            <w:vAlign w:val="center"/>
          </w:tcPr>
          <w:p w14:paraId="738F448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混料搅拌</w:t>
            </w:r>
          </w:p>
        </w:tc>
        <w:tc>
          <w:tcPr>
            <w:tcW w:w="789" w:type="pct"/>
            <w:tcBorders>
              <w:tl2br w:val="nil"/>
              <w:tr2bl w:val="nil"/>
            </w:tcBorders>
            <w:vAlign w:val="center"/>
          </w:tcPr>
          <w:p w14:paraId="2BD3927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颗粒物</w:t>
            </w:r>
          </w:p>
        </w:tc>
        <w:tc>
          <w:tcPr>
            <w:tcW w:w="996" w:type="pct"/>
            <w:tcBorders>
              <w:tl2br w:val="nil"/>
              <w:tr2bl w:val="nil"/>
            </w:tcBorders>
            <w:vAlign w:val="center"/>
          </w:tcPr>
          <w:p w14:paraId="57813DA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eastAsia" w:eastAsia="宋体"/>
                <w:color w:val="auto"/>
                <w:spacing w:val="0"/>
                <w:w w:val="100"/>
                <w:kern w:val="21"/>
                <w:position w:val="0"/>
                <w:sz w:val="21"/>
                <w:lang w:eastAsia="zh-CN"/>
              </w:rPr>
            </w:pPr>
            <w:r>
              <w:rPr>
                <w:rFonts w:hint="default"/>
                <w:color w:val="auto"/>
                <w:spacing w:val="0"/>
                <w:w w:val="100"/>
                <w:kern w:val="21"/>
                <w:position w:val="0"/>
                <w:sz w:val="21"/>
              </w:rPr>
              <w:t>布袋除尘器+15m排气筒</w:t>
            </w:r>
            <w:r>
              <w:rPr>
                <w:rFonts w:hint="eastAsia"/>
                <w:color w:val="auto"/>
                <w:spacing w:val="0"/>
                <w:w w:val="100"/>
                <w:kern w:val="21"/>
                <w:position w:val="0"/>
                <w:sz w:val="21"/>
                <w:lang w:eastAsia="zh-CN"/>
              </w:rPr>
              <w:t>（</w:t>
            </w:r>
            <w:r>
              <w:rPr>
                <w:rFonts w:hint="eastAsia"/>
                <w:color w:val="auto"/>
                <w:spacing w:val="0"/>
                <w:w w:val="100"/>
                <w:kern w:val="21"/>
                <w:position w:val="0"/>
                <w:sz w:val="21"/>
                <w:lang w:val="en-US" w:eastAsia="zh-CN"/>
              </w:rPr>
              <w:t>DA001</w:t>
            </w:r>
            <w:r>
              <w:rPr>
                <w:rFonts w:hint="eastAsia"/>
                <w:color w:val="auto"/>
                <w:spacing w:val="0"/>
                <w:w w:val="100"/>
                <w:kern w:val="21"/>
                <w:position w:val="0"/>
                <w:sz w:val="21"/>
                <w:lang w:eastAsia="zh-CN"/>
              </w:rPr>
              <w:t>）</w:t>
            </w:r>
          </w:p>
        </w:tc>
        <w:tc>
          <w:tcPr>
            <w:tcW w:w="706" w:type="pct"/>
            <w:tcBorders>
              <w:tl2br w:val="nil"/>
              <w:tr2bl w:val="nil"/>
            </w:tcBorders>
            <w:vAlign w:val="center"/>
          </w:tcPr>
          <w:p w14:paraId="2C1A151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排放浓度&lt;20mg/m</w:t>
            </w:r>
            <w:r>
              <w:rPr>
                <w:rFonts w:hint="default"/>
                <w:color w:val="auto"/>
                <w:spacing w:val="0"/>
                <w:w w:val="100"/>
                <w:kern w:val="21"/>
                <w:position w:val="0"/>
                <w:sz w:val="21"/>
                <w:vertAlign w:val="superscript"/>
              </w:rPr>
              <w:t>3</w:t>
            </w:r>
          </w:p>
        </w:tc>
        <w:tc>
          <w:tcPr>
            <w:tcW w:w="1704" w:type="pct"/>
            <w:vMerge w:val="restart"/>
            <w:tcBorders>
              <w:tl2br w:val="nil"/>
              <w:tr2bl w:val="nil"/>
            </w:tcBorders>
            <w:vAlign w:val="center"/>
          </w:tcPr>
          <w:p w14:paraId="6DCAF58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《合成树脂工业污染物排放标准》（GB31572-2015）（含2024年修改单）表5大气污染物特别排放限值</w:t>
            </w:r>
          </w:p>
        </w:tc>
      </w:tr>
      <w:tr w14:paraId="3549F0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209" w:type="pct"/>
            <w:vMerge w:val="continue"/>
            <w:tcBorders>
              <w:tl2br w:val="nil"/>
              <w:tr2bl w:val="nil"/>
            </w:tcBorders>
            <w:vAlign w:val="center"/>
          </w:tcPr>
          <w:p w14:paraId="6F03BD1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593" w:type="pct"/>
            <w:tcBorders>
              <w:tl2br w:val="nil"/>
              <w:tr2bl w:val="nil"/>
            </w:tcBorders>
            <w:vAlign w:val="center"/>
          </w:tcPr>
          <w:p w14:paraId="6B3999C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eastAsia" w:eastAsia="宋体"/>
                <w:color w:val="auto"/>
                <w:spacing w:val="0"/>
                <w:w w:val="100"/>
                <w:kern w:val="21"/>
                <w:position w:val="0"/>
                <w:sz w:val="21"/>
                <w:lang w:eastAsia="zh-CN"/>
              </w:rPr>
            </w:pPr>
            <w:r>
              <w:rPr>
                <w:rFonts w:hint="eastAsia" w:eastAsia="宋体"/>
                <w:color w:val="auto"/>
                <w:spacing w:val="0"/>
                <w:w w:val="100"/>
                <w:kern w:val="21"/>
                <w:position w:val="0"/>
                <w:sz w:val="21"/>
                <w:lang w:eastAsia="zh-CN"/>
              </w:rPr>
              <w:t>挤出成型、热压复合、修边保温</w:t>
            </w:r>
          </w:p>
        </w:tc>
        <w:tc>
          <w:tcPr>
            <w:tcW w:w="789" w:type="pct"/>
            <w:tcBorders>
              <w:tl2br w:val="nil"/>
              <w:tr2bl w:val="nil"/>
            </w:tcBorders>
            <w:vAlign w:val="center"/>
          </w:tcPr>
          <w:p w14:paraId="6599DAE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非甲烷总烃</w:t>
            </w:r>
          </w:p>
        </w:tc>
        <w:tc>
          <w:tcPr>
            <w:tcW w:w="996" w:type="pct"/>
            <w:tcBorders>
              <w:tl2br w:val="nil"/>
              <w:tr2bl w:val="nil"/>
            </w:tcBorders>
            <w:vAlign w:val="center"/>
          </w:tcPr>
          <w:p w14:paraId="7398DF8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eastAsia" w:eastAsia="宋体"/>
                <w:color w:val="auto"/>
                <w:spacing w:val="0"/>
                <w:w w:val="100"/>
                <w:kern w:val="21"/>
                <w:position w:val="0"/>
                <w:sz w:val="21"/>
                <w:lang w:eastAsia="zh-CN"/>
              </w:rPr>
            </w:pPr>
            <w:r>
              <w:rPr>
                <w:rFonts w:hint="eastAsia"/>
                <w:color w:val="auto"/>
                <w:spacing w:val="0"/>
                <w:w w:val="100"/>
                <w:kern w:val="21"/>
                <w:position w:val="0"/>
                <w:sz w:val="21"/>
              </w:rPr>
              <w:t>活性炭吸附脱附+催化燃烧装置</w:t>
            </w:r>
            <w:r>
              <w:rPr>
                <w:rFonts w:hint="default"/>
                <w:color w:val="auto"/>
                <w:spacing w:val="0"/>
                <w:w w:val="100"/>
                <w:kern w:val="21"/>
                <w:position w:val="0"/>
                <w:sz w:val="21"/>
              </w:rPr>
              <w:t>+15m排气筒</w:t>
            </w:r>
            <w:r>
              <w:rPr>
                <w:rFonts w:hint="eastAsia"/>
                <w:color w:val="auto"/>
                <w:spacing w:val="0"/>
                <w:w w:val="100"/>
                <w:kern w:val="21"/>
                <w:position w:val="0"/>
                <w:sz w:val="21"/>
                <w:lang w:eastAsia="zh-CN"/>
              </w:rPr>
              <w:t>（</w:t>
            </w:r>
            <w:r>
              <w:rPr>
                <w:rFonts w:hint="eastAsia"/>
                <w:color w:val="auto"/>
                <w:spacing w:val="0"/>
                <w:w w:val="100"/>
                <w:kern w:val="21"/>
                <w:position w:val="0"/>
                <w:sz w:val="21"/>
                <w:lang w:val="en-US" w:eastAsia="zh-CN"/>
              </w:rPr>
              <w:t>DA002</w:t>
            </w:r>
            <w:r>
              <w:rPr>
                <w:rFonts w:hint="eastAsia"/>
                <w:color w:val="auto"/>
                <w:spacing w:val="0"/>
                <w:w w:val="100"/>
                <w:kern w:val="21"/>
                <w:position w:val="0"/>
                <w:sz w:val="21"/>
                <w:lang w:eastAsia="zh-CN"/>
              </w:rPr>
              <w:t>）</w:t>
            </w:r>
          </w:p>
        </w:tc>
        <w:tc>
          <w:tcPr>
            <w:tcW w:w="706" w:type="pct"/>
            <w:tcBorders>
              <w:tl2br w:val="nil"/>
              <w:tr2bl w:val="nil"/>
            </w:tcBorders>
            <w:vAlign w:val="center"/>
          </w:tcPr>
          <w:p w14:paraId="65F5C2A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排放浓度&lt;</w:t>
            </w:r>
            <w:r>
              <w:rPr>
                <w:rFonts w:hint="eastAsia"/>
                <w:color w:val="auto"/>
                <w:spacing w:val="0"/>
                <w:w w:val="100"/>
                <w:kern w:val="21"/>
                <w:position w:val="0"/>
                <w:sz w:val="21"/>
                <w:lang w:val="en-US" w:eastAsia="zh-CN"/>
              </w:rPr>
              <w:t>6</w:t>
            </w:r>
            <w:r>
              <w:rPr>
                <w:rFonts w:hint="default"/>
                <w:color w:val="auto"/>
                <w:spacing w:val="0"/>
                <w:w w:val="100"/>
                <w:kern w:val="21"/>
                <w:position w:val="0"/>
                <w:sz w:val="21"/>
              </w:rPr>
              <w:t>0mg/m</w:t>
            </w:r>
            <w:r>
              <w:rPr>
                <w:rFonts w:hint="default"/>
                <w:color w:val="auto"/>
                <w:spacing w:val="0"/>
                <w:w w:val="100"/>
                <w:kern w:val="21"/>
                <w:position w:val="0"/>
                <w:sz w:val="21"/>
                <w:vertAlign w:val="superscript"/>
              </w:rPr>
              <w:t>3</w:t>
            </w:r>
          </w:p>
        </w:tc>
        <w:tc>
          <w:tcPr>
            <w:tcW w:w="1704" w:type="pct"/>
            <w:vMerge w:val="continue"/>
            <w:tcBorders>
              <w:tl2br w:val="nil"/>
              <w:tr2bl w:val="nil"/>
            </w:tcBorders>
            <w:vAlign w:val="center"/>
          </w:tcPr>
          <w:p w14:paraId="416D1F1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r>
      <w:tr w14:paraId="5AF633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209" w:type="pct"/>
            <w:vMerge w:val="continue"/>
            <w:tcBorders>
              <w:tl2br w:val="nil"/>
              <w:tr2bl w:val="nil"/>
            </w:tcBorders>
            <w:vAlign w:val="center"/>
          </w:tcPr>
          <w:p w14:paraId="276B7E2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593" w:type="pct"/>
            <w:vMerge w:val="restart"/>
            <w:tcBorders>
              <w:tl2br w:val="nil"/>
              <w:tr2bl w:val="nil"/>
            </w:tcBorders>
            <w:vAlign w:val="center"/>
          </w:tcPr>
          <w:p w14:paraId="34D0479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未收集的无组织废气</w:t>
            </w:r>
          </w:p>
        </w:tc>
        <w:tc>
          <w:tcPr>
            <w:tcW w:w="789" w:type="pct"/>
            <w:tcBorders>
              <w:tl2br w:val="nil"/>
              <w:tr2bl w:val="nil"/>
            </w:tcBorders>
            <w:vAlign w:val="center"/>
          </w:tcPr>
          <w:p w14:paraId="644732F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颗粒物</w:t>
            </w:r>
          </w:p>
        </w:tc>
        <w:tc>
          <w:tcPr>
            <w:tcW w:w="996" w:type="pct"/>
            <w:vMerge w:val="restart"/>
            <w:tcBorders>
              <w:tl2br w:val="nil"/>
              <w:tr2bl w:val="nil"/>
            </w:tcBorders>
            <w:vAlign w:val="center"/>
          </w:tcPr>
          <w:p w14:paraId="536BDA0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加强车间通风</w:t>
            </w:r>
          </w:p>
        </w:tc>
        <w:tc>
          <w:tcPr>
            <w:tcW w:w="706" w:type="pct"/>
            <w:tcBorders>
              <w:tl2br w:val="nil"/>
              <w:tr2bl w:val="nil"/>
            </w:tcBorders>
            <w:vAlign w:val="center"/>
          </w:tcPr>
          <w:p w14:paraId="047D816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厂界外浓度&lt;1.0mg/m</w:t>
            </w:r>
            <w:r>
              <w:rPr>
                <w:rFonts w:hint="default"/>
                <w:color w:val="auto"/>
                <w:spacing w:val="0"/>
                <w:w w:val="100"/>
                <w:kern w:val="21"/>
                <w:position w:val="0"/>
                <w:sz w:val="21"/>
                <w:vertAlign w:val="superscript"/>
              </w:rPr>
              <w:t>3</w:t>
            </w:r>
          </w:p>
        </w:tc>
        <w:tc>
          <w:tcPr>
            <w:tcW w:w="1704" w:type="pct"/>
            <w:vMerge w:val="restart"/>
            <w:tcBorders>
              <w:tl2br w:val="nil"/>
              <w:tr2bl w:val="nil"/>
            </w:tcBorders>
            <w:vAlign w:val="center"/>
          </w:tcPr>
          <w:p w14:paraId="2D9969D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《合成树脂工业污染物排放标准》（GB31572-2015）（含2024年修改单）表9排放限值</w:t>
            </w:r>
          </w:p>
        </w:tc>
      </w:tr>
      <w:tr w14:paraId="43CC7A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209" w:type="pct"/>
            <w:vMerge w:val="continue"/>
            <w:tcBorders>
              <w:tl2br w:val="nil"/>
              <w:tr2bl w:val="nil"/>
            </w:tcBorders>
            <w:vAlign w:val="center"/>
          </w:tcPr>
          <w:p w14:paraId="606FD77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593" w:type="pct"/>
            <w:vMerge w:val="continue"/>
            <w:tcBorders>
              <w:tl2br w:val="nil"/>
              <w:tr2bl w:val="nil"/>
            </w:tcBorders>
            <w:vAlign w:val="center"/>
          </w:tcPr>
          <w:p w14:paraId="0C1AD38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789" w:type="pct"/>
            <w:vMerge w:val="restart"/>
            <w:tcBorders>
              <w:tl2br w:val="nil"/>
              <w:tr2bl w:val="nil"/>
            </w:tcBorders>
            <w:vAlign w:val="center"/>
          </w:tcPr>
          <w:p w14:paraId="130E8D1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非甲烷总烃</w:t>
            </w:r>
          </w:p>
        </w:tc>
        <w:tc>
          <w:tcPr>
            <w:tcW w:w="996" w:type="pct"/>
            <w:vMerge w:val="continue"/>
            <w:tcBorders>
              <w:tl2br w:val="nil"/>
              <w:tr2bl w:val="nil"/>
            </w:tcBorders>
            <w:vAlign w:val="center"/>
          </w:tcPr>
          <w:p w14:paraId="1B4B030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706" w:type="pct"/>
            <w:tcBorders>
              <w:tl2br w:val="nil"/>
              <w:tr2bl w:val="nil"/>
            </w:tcBorders>
            <w:vAlign w:val="center"/>
          </w:tcPr>
          <w:p w14:paraId="4106B1A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r>
              <w:rPr>
                <w:rFonts w:hint="default"/>
                <w:color w:val="auto"/>
                <w:spacing w:val="0"/>
                <w:w w:val="100"/>
                <w:kern w:val="21"/>
                <w:position w:val="0"/>
                <w:sz w:val="21"/>
              </w:rPr>
              <w:t>厂界外浓度&lt;4.0</w:t>
            </w:r>
            <w:r>
              <w:rPr>
                <w:rFonts w:hint="default"/>
                <w:color w:val="auto"/>
                <w:spacing w:val="0"/>
                <w:w w:val="100"/>
                <w:kern w:val="21"/>
                <w:position w:val="0"/>
                <w:sz w:val="21"/>
                <w:lang w:bidi="ar"/>
              </w:rPr>
              <w:t>mg/m³</w:t>
            </w:r>
          </w:p>
        </w:tc>
        <w:tc>
          <w:tcPr>
            <w:tcW w:w="1704" w:type="pct"/>
            <w:vMerge w:val="continue"/>
            <w:tcBorders>
              <w:tl2br w:val="nil"/>
              <w:tr2bl w:val="nil"/>
            </w:tcBorders>
            <w:vAlign w:val="center"/>
          </w:tcPr>
          <w:p w14:paraId="7FD447D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r>
      <w:tr w14:paraId="302945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209" w:type="pct"/>
            <w:vMerge w:val="continue"/>
            <w:tcBorders>
              <w:tl2br w:val="nil"/>
              <w:tr2bl w:val="nil"/>
            </w:tcBorders>
            <w:vAlign w:val="center"/>
          </w:tcPr>
          <w:p w14:paraId="025145D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593" w:type="pct"/>
            <w:vMerge w:val="continue"/>
            <w:tcBorders>
              <w:tl2br w:val="nil"/>
              <w:tr2bl w:val="nil"/>
            </w:tcBorders>
            <w:vAlign w:val="center"/>
          </w:tcPr>
          <w:p w14:paraId="573BF2C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789" w:type="pct"/>
            <w:vMerge w:val="continue"/>
            <w:tcBorders>
              <w:tl2br w:val="nil"/>
              <w:tr2bl w:val="nil"/>
            </w:tcBorders>
            <w:vAlign w:val="center"/>
          </w:tcPr>
          <w:p w14:paraId="6EEBDB3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996" w:type="pct"/>
            <w:vMerge w:val="continue"/>
            <w:tcBorders>
              <w:tl2br w:val="nil"/>
              <w:tr2bl w:val="nil"/>
            </w:tcBorders>
            <w:vAlign w:val="center"/>
          </w:tcPr>
          <w:p w14:paraId="7E618DD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706" w:type="pct"/>
            <w:tcBorders>
              <w:tl2br w:val="nil"/>
              <w:tr2bl w:val="nil"/>
            </w:tcBorders>
            <w:vAlign w:val="center"/>
          </w:tcPr>
          <w:p w14:paraId="476F0A1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r>
              <w:rPr>
                <w:rFonts w:hint="eastAsia"/>
                <w:color w:val="auto"/>
                <w:spacing w:val="0"/>
                <w:w w:val="100"/>
                <w:kern w:val="21"/>
                <w:position w:val="0"/>
                <w:sz w:val="21"/>
              </w:rPr>
              <w:t>厂内浓度</w:t>
            </w:r>
            <w:r>
              <w:rPr>
                <w:rFonts w:hint="default"/>
                <w:color w:val="auto"/>
                <w:spacing w:val="0"/>
                <w:w w:val="100"/>
                <w:kern w:val="21"/>
                <w:position w:val="0"/>
                <w:sz w:val="21"/>
              </w:rPr>
              <w:t>&lt;</w:t>
            </w:r>
            <w:r>
              <w:rPr>
                <w:rFonts w:hint="eastAsia"/>
                <w:color w:val="auto"/>
                <w:spacing w:val="0"/>
                <w:w w:val="100"/>
                <w:kern w:val="21"/>
                <w:position w:val="0"/>
                <w:sz w:val="21"/>
              </w:rPr>
              <w:t>6</w:t>
            </w:r>
            <w:r>
              <w:rPr>
                <w:rFonts w:hint="default"/>
                <w:color w:val="auto"/>
                <w:spacing w:val="0"/>
                <w:w w:val="100"/>
                <w:kern w:val="21"/>
                <w:position w:val="0"/>
                <w:sz w:val="21"/>
              </w:rPr>
              <w:t>mg/m</w:t>
            </w:r>
            <w:r>
              <w:rPr>
                <w:rFonts w:hint="default"/>
                <w:color w:val="auto"/>
                <w:spacing w:val="0"/>
                <w:w w:val="100"/>
                <w:kern w:val="21"/>
                <w:position w:val="0"/>
                <w:sz w:val="21"/>
                <w:vertAlign w:val="superscript"/>
              </w:rPr>
              <w:t>3</w:t>
            </w:r>
          </w:p>
        </w:tc>
        <w:tc>
          <w:tcPr>
            <w:tcW w:w="1704" w:type="pct"/>
            <w:tcBorders>
              <w:tl2br w:val="nil"/>
              <w:tr2bl w:val="nil"/>
            </w:tcBorders>
            <w:vAlign w:val="center"/>
          </w:tcPr>
          <w:p w14:paraId="58814E3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《挥发性有机物无组织排放控制标准》（GB37822-2019）</w:t>
            </w:r>
            <w:r>
              <w:rPr>
                <w:rFonts w:hint="eastAsia"/>
                <w:color w:val="auto"/>
                <w:spacing w:val="0"/>
                <w:w w:val="100"/>
                <w:kern w:val="21"/>
                <w:position w:val="0"/>
                <w:sz w:val="21"/>
              </w:rPr>
              <w:t>特别排放</w:t>
            </w:r>
            <w:r>
              <w:rPr>
                <w:rFonts w:hint="default"/>
                <w:color w:val="auto"/>
                <w:spacing w:val="0"/>
                <w:w w:val="100"/>
                <w:kern w:val="21"/>
                <w:position w:val="0"/>
                <w:sz w:val="21"/>
              </w:rPr>
              <w:t>限值要求</w:t>
            </w:r>
          </w:p>
        </w:tc>
      </w:tr>
      <w:tr w14:paraId="1DAFF1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209" w:type="pct"/>
            <w:tcBorders>
              <w:tl2br w:val="nil"/>
              <w:tr2bl w:val="nil"/>
            </w:tcBorders>
            <w:vAlign w:val="center"/>
          </w:tcPr>
          <w:p w14:paraId="7542678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噪声</w:t>
            </w:r>
          </w:p>
        </w:tc>
        <w:tc>
          <w:tcPr>
            <w:tcW w:w="593" w:type="pct"/>
            <w:tcBorders>
              <w:tl2br w:val="nil"/>
              <w:tr2bl w:val="nil"/>
            </w:tcBorders>
            <w:vAlign w:val="center"/>
          </w:tcPr>
          <w:p w14:paraId="0983807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eastAsia"/>
                <w:color w:val="auto"/>
                <w:spacing w:val="0"/>
                <w:w w:val="100"/>
                <w:kern w:val="21"/>
                <w:position w:val="0"/>
                <w:sz w:val="21"/>
                <w:lang w:val="en-US" w:eastAsia="zh-CN"/>
              </w:rPr>
              <w:t>生产设备</w:t>
            </w:r>
          </w:p>
        </w:tc>
        <w:tc>
          <w:tcPr>
            <w:tcW w:w="789" w:type="pct"/>
            <w:tcBorders>
              <w:tl2br w:val="nil"/>
              <w:tr2bl w:val="nil"/>
            </w:tcBorders>
            <w:vAlign w:val="center"/>
          </w:tcPr>
          <w:p w14:paraId="0D0013F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设备噪声</w:t>
            </w:r>
          </w:p>
        </w:tc>
        <w:tc>
          <w:tcPr>
            <w:tcW w:w="996" w:type="pct"/>
            <w:tcBorders>
              <w:tl2br w:val="nil"/>
              <w:tr2bl w:val="nil"/>
            </w:tcBorders>
            <w:vAlign w:val="center"/>
          </w:tcPr>
          <w:p w14:paraId="0596D60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采用低噪声设备，采取基础减振、室内布置等措施</w:t>
            </w:r>
          </w:p>
        </w:tc>
        <w:tc>
          <w:tcPr>
            <w:tcW w:w="706" w:type="pct"/>
            <w:tcBorders>
              <w:tl2br w:val="nil"/>
              <w:tr2bl w:val="nil"/>
            </w:tcBorders>
            <w:vAlign w:val="center"/>
          </w:tcPr>
          <w:p w14:paraId="46942E8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昼间&lt;65dB（A）</w:t>
            </w:r>
          </w:p>
          <w:p w14:paraId="3DA85C9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夜间&lt;55dB（A）</w:t>
            </w:r>
          </w:p>
        </w:tc>
        <w:tc>
          <w:tcPr>
            <w:tcW w:w="1704" w:type="pct"/>
            <w:tcBorders>
              <w:tl2br w:val="nil"/>
              <w:tr2bl w:val="nil"/>
            </w:tcBorders>
            <w:vAlign w:val="center"/>
          </w:tcPr>
          <w:p w14:paraId="2022C9D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《工业企业厂界环境噪声排放标准》（GB12348-2008）中的3类标准</w:t>
            </w:r>
          </w:p>
        </w:tc>
      </w:tr>
      <w:tr w14:paraId="4172B8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2402" w:hRule="atLeast"/>
          <w:jc w:val="center"/>
        </w:trPr>
        <w:tc>
          <w:tcPr>
            <w:tcW w:w="209" w:type="pct"/>
            <w:vMerge w:val="restart"/>
            <w:tcBorders>
              <w:tl2br w:val="nil"/>
              <w:tr2bl w:val="nil"/>
            </w:tcBorders>
            <w:vAlign w:val="center"/>
          </w:tcPr>
          <w:p w14:paraId="71BAAF55">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固废</w:t>
            </w:r>
          </w:p>
        </w:tc>
        <w:tc>
          <w:tcPr>
            <w:tcW w:w="593" w:type="pct"/>
            <w:tcBorders>
              <w:tl2br w:val="nil"/>
              <w:tr2bl w:val="nil"/>
            </w:tcBorders>
            <w:vAlign w:val="center"/>
          </w:tcPr>
          <w:p w14:paraId="0B168FE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一般固废</w:t>
            </w:r>
          </w:p>
        </w:tc>
        <w:tc>
          <w:tcPr>
            <w:tcW w:w="789" w:type="pct"/>
            <w:tcBorders>
              <w:tl2br w:val="nil"/>
              <w:tr2bl w:val="nil"/>
            </w:tcBorders>
            <w:vAlign w:val="center"/>
          </w:tcPr>
          <w:p w14:paraId="42853D8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废包装材料、废过滤渣和废过滤网、边角料、除尘器收集粉尘、废布袋</w:t>
            </w:r>
          </w:p>
        </w:tc>
        <w:tc>
          <w:tcPr>
            <w:tcW w:w="996" w:type="pct"/>
            <w:tcBorders>
              <w:tl2br w:val="nil"/>
              <w:tr2bl w:val="nil"/>
            </w:tcBorders>
            <w:vAlign w:val="center"/>
          </w:tcPr>
          <w:p w14:paraId="6F34E2D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分类收集后暂存于一般工业固废库，外售综合利用。</w:t>
            </w:r>
          </w:p>
        </w:tc>
        <w:tc>
          <w:tcPr>
            <w:tcW w:w="2410" w:type="pct"/>
            <w:gridSpan w:val="2"/>
            <w:tcBorders>
              <w:tl2br w:val="nil"/>
              <w:tr2bl w:val="nil"/>
            </w:tcBorders>
            <w:vAlign w:val="center"/>
          </w:tcPr>
          <w:p w14:paraId="57CAC37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《一般工业固体废物贮存和填埋污染控制标准》（GB18599-2020）中的相关规定</w:t>
            </w:r>
          </w:p>
        </w:tc>
      </w:tr>
      <w:tr w14:paraId="0A8C94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209" w:type="pct"/>
            <w:vMerge w:val="continue"/>
            <w:tcBorders>
              <w:tl2br w:val="nil"/>
              <w:tr2bl w:val="nil"/>
            </w:tcBorders>
            <w:vAlign w:val="center"/>
          </w:tcPr>
          <w:p w14:paraId="01BC2F2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593" w:type="pct"/>
            <w:tcBorders>
              <w:tl2br w:val="nil"/>
              <w:tr2bl w:val="nil"/>
            </w:tcBorders>
            <w:vAlign w:val="center"/>
          </w:tcPr>
          <w:p w14:paraId="0297D0E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危险废物</w:t>
            </w:r>
          </w:p>
        </w:tc>
        <w:tc>
          <w:tcPr>
            <w:tcW w:w="789" w:type="pct"/>
            <w:tcBorders>
              <w:tl2br w:val="nil"/>
              <w:tr2bl w:val="nil"/>
            </w:tcBorders>
            <w:vAlign w:val="center"/>
          </w:tcPr>
          <w:p w14:paraId="6FCC6A9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沾油废手套、抹布、废机油、废机油桶、废催化剂、</w:t>
            </w:r>
            <w:r>
              <w:rPr>
                <w:rFonts w:hint="eastAsia"/>
                <w:color w:val="auto"/>
                <w:spacing w:val="0"/>
                <w:w w:val="100"/>
                <w:kern w:val="21"/>
                <w:position w:val="0"/>
                <w:sz w:val="21"/>
                <w:lang w:val="en-US" w:eastAsia="zh-CN"/>
              </w:rPr>
              <w:t>废过滤棉、</w:t>
            </w:r>
            <w:r>
              <w:rPr>
                <w:rFonts w:hint="default"/>
                <w:color w:val="auto"/>
                <w:spacing w:val="0"/>
                <w:w w:val="100"/>
                <w:kern w:val="21"/>
                <w:position w:val="0"/>
                <w:sz w:val="21"/>
              </w:rPr>
              <w:t>废活性炭</w:t>
            </w:r>
          </w:p>
        </w:tc>
        <w:tc>
          <w:tcPr>
            <w:tcW w:w="996" w:type="pct"/>
            <w:tcBorders>
              <w:tl2br w:val="nil"/>
              <w:tr2bl w:val="nil"/>
            </w:tcBorders>
            <w:vAlign w:val="center"/>
          </w:tcPr>
          <w:p w14:paraId="0521849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暂存于危废贮存库内，定期委托有资质单位处理</w:t>
            </w:r>
          </w:p>
        </w:tc>
        <w:tc>
          <w:tcPr>
            <w:tcW w:w="2410" w:type="pct"/>
            <w:gridSpan w:val="2"/>
            <w:tcBorders>
              <w:tl2br w:val="nil"/>
              <w:tr2bl w:val="nil"/>
            </w:tcBorders>
            <w:vAlign w:val="center"/>
          </w:tcPr>
          <w:p w14:paraId="7EB4EAD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《危险废物贮存污染控制标准》（GB18597-2023）</w:t>
            </w:r>
          </w:p>
        </w:tc>
      </w:tr>
    </w:tbl>
    <w:p w14:paraId="42931B56">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910" w:name="_Toc27183"/>
      <w:bookmarkStart w:id="911" w:name="_Toc25548"/>
      <w:bookmarkStart w:id="912" w:name="_Toc11451"/>
      <w:bookmarkStart w:id="913" w:name="_Toc32050"/>
      <w:bookmarkStart w:id="914" w:name="_Toc11059"/>
      <w:bookmarkStart w:id="915" w:name="_Toc31273"/>
      <w:bookmarkStart w:id="916" w:name="_Toc19381"/>
      <w:bookmarkStart w:id="917" w:name="_Toc10421"/>
      <w:bookmarkStart w:id="918" w:name="_Toc399666154"/>
      <w:bookmarkStart w:id="919" w:name="_Toc2670"/>
      <w:bookmarkStart w:id="920" w:name="_Toc7369"/>
      <w:bookmarkStart w:id="921" w:name="_Toc10751"/>
      <w:r>
        <w:rPr>
          <w:rFonts w:hint="default"/>
          <w:color w:val="auto"/>
          <w:spacing w:val="0"/>
          <w:w w:val="100"/>
          <w:position w:val="0"/>
          <w:highlight w:val="none"/>
          <w:lang w:val="en-US" w:eastAsia="zh-CN"/>
        </w:rPr>
        <w:t>8.6排污口规范化管理</w:t>
      </w:r>
      <w:bookmarkEnd w:id="910"/>
      <w:bookmarkEnd w:id="911"/>
      <w:bookmarkEnd w:id="912"/>
      <w:bookmarkEnd w:id="913"/>
      <w:bookmarkEnd w:id="914"/>
      <w:bookmarkEnd w:id="915"/>
      <w:bookmarkEnd w:id="916"/>
      <w:bookmarkEnd w:id="917"/>
    </w:p>
    <w:p w14:paraId="24CF850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szCs w:val="24"/>
          <w:highlight w:val="none"/>
        </w:rPr>
      </w:pPr>
      <w:bookmarkStart w:id="922" w:name="_Toc12969"/>
      <w:bookmarkStart w:id="923" w:name="_Toc30287"/>
      <w:r>
        <w:rPr>
          <w:rFonts w:hint="default" w:ascii="Times New Roman" w:hAnsi="Times New Roman" w:eastAsia="宋体" w:cs="Times New Roman"/>
          <w:caps w:val="0"/>
          <w:snapToGrid/>
          <w:color w:val="auto"/>
          <w:spacing w:val="0"/>
          <w:w w:val="100"/>
          <w:kern w:val="21"/>
          <w:position w:val="0"/>
          <w:szCs w:val="24"/>
          <w:highlight w:val="none"/>
        </w:rPr>
        <w:t>根据原国家环境保护总局《关于开展排放口规范化整治工作的通知》（环发〔1999〕24号）要求，“一切新建、扩建、改建和限期治理的排污单位必须在建设污染治理设施的同时建设规范化排污口”，排污口是企业排放污染物进入环境的通道，强化排污口的管理是实施污染物总量控制的基础工作之一，也是区域环境管理逐步实现污染物排放科学化、定量化的重要手段。</w:t>
      </w:r>
    </w:p>
    <w:p w14:paraId="38F43A5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在本项目竣工环境保护验收前，建设单位应对本项目的排污口进行规范化建设。排污口规范化建设遵循的原则和技术要求等详述如下。</w:t>
      </w:r>
    </w:p>
    <w:p w14:paraId="363F3DE7">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924" w:name="_Toc13802"/>
      <w:bookmarkStart w:id="925" w:name="_Toc1785"/>
      <w:bookmarkStart w:id="926" w:name="_Toc29185"/>
      <w:r>
        <w:rPr>
          <w:rFonts w:hint="default"/>
          <w:color w:val="auto"/>
          <w:spacing w:val="0"/>
          <w:w w:val="100"/>
          <w:position w:val="0"/>
          <w:highlight w:val="none"/>
          <w:lang w:val="en-US" w:eastAsia="zh-CN"/>
        </w:rPr>
        <w:t>8.6.1排污口规范化管理的基本原则</w:t>
      </w:r>
      <w:bookmarkEnd w:id="924"/>
      <w:bookmarkEnd w:id="925"/>
      <w:bookmarkEnd w:id="926"/>
    </w:p>
    <w:p w14:paraId="732749C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szCs w:val="24"/>
          <w:highlight w:val="none"/>
        </w:rPr>
      </w:pPr>
      <w:r>
        <w:rPr>
          <w:rFonts w:hint="default" w:ascii="Times New Roman" w:hAnsi="Times New Roman" w:eastAsia="宋体" w:cs="Times New Roman"/>
          <w:caps w:val="0"/>
          <w:snapToGrid/>
          <w:color w:val="auto"/>
          <w:spacing w:val="0"/>
          <w:w w:val="100"/>
          <w:kern w:val="21"/>
          <w:position w:val="0"/>
          <w:szCs w:val="24"/>
          <w:highlight w:val="none"/>
        </w:rPr>
        <w:t>（1）向环境排放污染物的排污口必须规范化。</w:t>
      </w:r>
    </w:p>
    <w:p w14:paraId="77782F6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szCs w:val="24"/>
          <w:highlight w:val="none"/>
        </w:rPr>
      </w:pPr>
      <w:r>
        <w:rPr>
          <w:rFonts w:hint="default" w:ascii="Times New Roman" w:hAnsi="Times New Roman" w:eastAsia="宋体" w:cs="Times New Roman"/>
          <w:caps w:val="0"/>
          <w:snapToGrid/>
          <w:color w:val="auto"/>
          <w:spacing w:val="0"/>
          <w:w w:val="100"/>
          <w:kern w:val="21"/>
          <w:position w:val="0"/>
          <w:szCs w:val="24"/>
          <w:highlight w:val="none"/>
        </w:rPr>
        <w:t>（2）排放列入总量控制指标污染物的排污口为管理重点。</w:t>
      </w:r>
    </w:p>
    <w:p w14:paraId="76E5F26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szCs w:val="24"/>
          <w:highlight w:val="none"/>
        </w:rPr>
      </w:pPr>
      <w:r>
        <w:rPr>
          <w:rFonts w:hint="default" w:ascii="Times New Roman" w:hAnsi="Times New Roman" w:eastAsia="宋体" w:cs="Times New Roman"/>
          <w:caps w:val="0"/>
          <w:snapToGrid/>
          <w:color w:val="auto"/>
          <w:spacing w:val="0"/>
          <w:w w:val="100"/>
          <w:kern w:val="21"/>
          <w:position w:val="0"/>
          <w:szCs w:val="24"/>
          <w:highlight w:val="none"/>
        </w:rPr>
        <w:t>（3）排污口应便于采样与计量监测，便于日常现场监督检查。</w:t>
      </w:r>
    </w:p>
    <w:p w14:paraId="6B49B377">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927" w:name="_Toc18478"/>
      <w:bookmarkStart w:id="928" w:name="_Toc5125"/>
      <w:bookmarkStart w:id="929" w:name="_Toc2147"/>
      <w:r>
        <w:rPr>
          <w:rFonts w:hint="default"/>
          <w:color w:val="auto"/>
          <w:spacing w:val="0"/>
          <w:w w:val="100"/>
          <w:position w:val="0"/>
          <w:highlight w:val="none"/>
          <w:lang w:val="en-US" w:eastAsia="zh-CN"/>
        </w:rPr>
        <w:t>8.6.2技术要求</w:t>
      </w:r>
      <w:bookmarkEnd w:id="927"/>
      <w:bookmarkEnd w:id="928"/>
      <w:bookmarkEnd w:id="929"/>
    </w:p>
    <w:p w14:paraId="16C70D8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szCs w:val="24"/>
          <w:highlight w:val="none"/>
        </w:rPr>
      </w:pPr>
      <w:r>
        <w:rPr>
          <w:rFonts w:hint="default" w:ascii="Times New Roman" w:hAnsi="Times New Roman" w:eastAsia="宋体" w:cs="Times New Roman"/>
          <w:caps w:val="0"/>
          <w:snapToGrid/>
          <w:color w:val="auto"/>
          <w:spacing w:val="0"/>
          <w:w w:val="100"/>
          <w:kern w:val="21"/>
          <w:position w:val="0"/>
          <w:szCs w:val="24"/>
          <w:highlight w:val="none"/>
        </w:rPr>
        <w:t>（1）排污口的位置必须合理确定，按规定要求进行规范化管理。</w:t>
      </w:r>
    </w:p>
    <w:p w14:paraId="47217C5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szCs w:val="24"/>
          <w:highlight w:val="none"/>
        </w:rPr>
      </w:pPr>
      <w:r>
        <w:rPr>
          <w:rFonts w:hint="default" w:ascii="Times New Roman" w:hAnsi="Times New Roman" w:eastAsia="宋体" w:cs="Times New Roman"/>
          <w:caps w:val="0"/>
          <w:snapToGrid/>
          <w:color w:val="auto"/>
          <w:spacing w:val="0"/>
          <w:w w:val="100"/>
          <w:kern w:val="21"/>
          <w:position w:val="0"/>
          <w:szCs w:val="24"/>
          <w:highlight w:val="none"/>
        </w:rPr>
        <w:t>（2）排放污染物的采样点设置应按《污染源监测技术规范》要求，设置在企业污染物总排口及治理设施的进出风口等处。</w:t>
      </w:r>
    </w:p>
    <w:p w14:paraId="2D3D5B44">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930" w:name="_Toc2734"/>
      <w:bookmarkStart w:id="931" w:name="_Toc20007"/>
      <w:bookmarkStart w:id="932" w:name="_Toc8844"/>
      <w:r>
        <w:rPr>
          <w:rFonts w:hint="default"/>
          <w:color w:val="auto"/>
          <w:spacing w:val="0"/>
          <w:w w:val="100"/>
          <w:position w:val="0"/>
          <w:highlight w:val="none"/>
          <w:lang w:val="en-US" w:eastAsia="zh-CN"/>
        </w:rPr>
        <w:t>8.6.3排污口立标管理</w:t>
      </w:r>
      <w:bookmarkEnd w:id="930"/>
      <w:bookmarkEnd w:id="931"/>
      <w:bookmarkEnd w:id="932"/>
    </w:p>
    <w:p w14:paraId="6C2D66E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szCs w:val="24"/>
          <w:highlight w:val="none"/>
        </w:rPr>
      </w:pPr>
      <w:r>
        <w:rPr>
          <w:rFonts w:hint="default" w:ascii="Times New Roman" w:hAnsi="Times New Roman" w:eastAsia="宋体" w:cs="Times New Roman"/>
          <w:caps w:val="0"/>
          <w:snapToGrid/>
          <w:color w:val="auto"/>
          <w:spacing w:val="0"/>
          <w:w w:val="100"/>
          <w:kern w:val="21"/>
          <w:position w:val="0"/>
          <w:highlight w:val="none"/>
        </w:rPr>
        <w:t>根据《排污许可证申请与核发技术规范 总则》（HJ942-2018）</w:t>
      </w:r>
      <w:r>
        <w:rPr>
          <w:rFonts w:hint="default" w:ascii="Times New Roman" w:hAnsi="Times New Roman" w:eastAsia="宋体" w:cs="Times New Roman"/>
          <w:caps w:val="0"/>
          <w:snapToGrid/>
          <w:color w:val="auto"/>
          <w:spacing w:val="0"/>
          <w:w w:val="100"/>
          <w:kern w:val="21"/>
          <w:position w:val="0"/>
          <w:highlight w:val="none"/>
          <w:lang w:eastAsia="zh-CN"/>
        </w:rPr>
        <w:t>，</w:t>
      </w:r>
      <w:r>
        <w:rPr>
          <w:rFonts w:hint="default" w:ascii="Times New Roman" w:hAnsi="Times New Roman" w:eastAsia="宋体" w:cs="Times New Roman"/>
          <w:caps w:val="0"/>
          <w:snapToGrid/>
          <w:color w:val="auto"/>
          <w:spacing w:val="0"/>
          <w:w w:val="100"/>
          <w:kern w:val="21"/>
          <w:position w:val="0"/>
          <w:szCs w:val="24"/>
          <w:highlight w:val="none"/>
        </w:rPr>
        <w:t>将废气排放口分为主要排放口、一般排放口和特殊排放口。废水排放口分为主要排放口和一般排放口。</w:t>
      </w:r>
    </w:p>
    <w:p w14:paraId="253C03F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企业污染物排放口的标志，应按《环境保护图形标志 排放口（源）》（15562.1-1995）、《环境保护图形标志 固体废物贮存（处置）场》（15562.2-1995）及其修改单，以及《危险废物识别标志设置技术规范》（HJ1276-2022）相关规定，设置环境保护图形标志牌。示例见表</w:t>
      </w:r>
      <w:r>
        <w:rPr>
          <w:rFonts w:hint="default" w:ascii="Times New Roman" w:hAnsi="Times New Roman" w:eastAsia="宋体" w:cs="Times New Roman"/>
          <w:caps w:val="0"/>
          <w:snapToGrid/>
          <w:color w:val="auto"/>
          <w:spacing w:val="0"/>
          <w:w w:val="100"/>
          <w:kern w:val="21"/>
          <w:position w:val="0"/>
          <w:highlight w:val="none"/>
          <w:lang w:val="en-US" w:eastAsia="zh-CN"/>
        </w:rPr>
        <w:t>8.6</w:t>
      </w:r>
      <w:r>
        <w:rPr>
          <w:rFonts w:hint="eastAsia" w:cs="Times New Roman"/>
          <w:caps w:val="0"/>
          <w:snapToGrid/>
          <w:color w:val="auto"/>
          <w:spacing w:val="0"/>
          <w:w w:val="100"/>
          <w:kern w:val="21"/>
          <w:position w:val="0"/>
          <w:highlight w:val="none"/>
          <w:lang w:val="en-US" w:eastAsia="zh-CN"/>
        </w:rPr>
        <w:t>.3</w:t>
      </w:r>
      <w:r>
        <w:rPr>
          <w:rFonts w:hint="default" w:ascii="Times New Roman" w:hAnsi="Times New Roman" w:eastAsia="宋体" w:cs="Times New Roman"/>
          <w:caps w:val="0"/>
          <w:snapToGrid/>
          <w:color w:val="auto"/>
          <w:spacing w:val="0"/>
          <w:w w:val="100"/>
          <w:kern w:val="21"/>
          <w:position w:val="0"/>
          <w:highlight w:val="none"/>
        </w:rPr>
        <w:t>-1及表</w:t>
      </w:r>
      <w:r>
        <w:rPr>
          <w:rFonts w:hint="default" w:ascii="Times New Roman" w:hAnsi="Times New Roman" w:eastAsia="宋体" w:cs="Times New Roman"/>
          <w:caps w:val="0"/>
          <w:snapToGrid/>
          <w:color w:val="auto"/>
          <w:spacing w:val="0"/>
          <w:w w:val="100"/>
          <w:kern w:val="21"/>
          <w:position w:val="0"/>
          <w:highlight w:val="none"/>
          <w:lang w:val="en-US" w:eastAsia="zh-CN"/>
        </w:rPr>
        <w:t>8.6</w:t>
      </w:r>
      <w:r>
        <w:rPr>
          <w:rFonts w:hint="eastAsia" w:cs="Times New Roman"/>
          <w:caps w:val="0"/>
          <w:snapToGrid/>
          <w:color w:val="auto"/>
          <w:spacing w:val="0"/>
          <w:w w:val="100"/>
          <w:kern w:val="21"/>
          <w:position w:val="0"/>
          <w:highlight w:val="none"/>
          <w:lang w:val="en-US" w:eastAsia="zh-CN"/>
        </w:rPr>
        <w:t>.3</w:t>
      </w:r>
      <w:r>
        <w:rPr>
          <w:rFonts w:hint="default" w:ascii="Times New Roman" w:hAnsi="Times New Roman" w:eastAsia="宋体" w:cs="Times New Roman"/>
          <w:caps w:val="0"/>
          <w:snapToGrid/>
          <w:color w:val="auto"/>
          <w:spacing w:val="0"/>
          <w:w w:val="100"/>
          <w:kern w:val="21"/>
          <w:position w:val="0"/>
          <w:highlight w:val="none"/>
        </w:rPr>
        <w:t>-2。</w:t>
      </w:r>
    </w:p>
    <w:p w14:paraId="7DEDC35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表</w:t>
      </w:r>
      <w:r>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rPr>
        <w:t>8.6</w:t>
      </w:r>
      <w:r>
        <w:rPr>
          <w:rFonts w:hint="eastAsia" w:cs="Times New Roman"/>
          <w:b/>
          <w:bCs/>
          <w:caps w:val="0"/>
          <w:snapToGrid/>
          <w:color w:val="auto"/>
          <w:spacing w:val="0"/>
          <w:w w:val="100"/>
          <w:kern w:val="21"/>
          <w:position w:val="0"/>
          <w:sz w:val="21"/>
          <w:szCs w:val="21"/>
          <w:highlight w:val="none"/>
          <w:lang w:val="en-US" w:eastAsia="zh-CN"/>
        </w:rPr>
        <w:t>.3</w:t>
      </w:r>
      <w:r>
        <w:rPr>
          <w:rFonts w:hint="default" w:ascii="Times New Roman" w:hAnsi="Times New Roman" w:eastAsia="宋体" w:cs="Times New Roman"/>
          <w:b/>
          <w:bCs/>
          <w:caps w:val="0"/>
          <w:snapToGrid/>
          <w:color w:val="auto"/>
          <w:spacing w:val="0"/>
          <w:w w:val="100"/>
          <w:kern w:val="21"/>
          <w:position w:val="0"/>
          <w:sz w:val="21"/>
          <w:szCs w:val="21"/>
          <w:highlight w:val="none"/>
        </w:rPr>
        <w:t>-1  排污口提示图形符号</w:t>
      </w:r>
    </w:p>
    <w:tbl>
      <w:tblPr>
        <w:tblStyle w:val="25"/>
        <w:tblW w:w="4997"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autofit"/>
        <w:tblCellMar>
          <w:top w:w="57" w:type="dxa"/>
          <w:left w:w="57" w:type="dxa"/>
          <w:bottom w:w="57" w:type="dxa"/>
          <w:right w:w="57" w:type="dxa"/>
        </w:tblCellMar>
      </w:tblPr>
      <w:tblGrid>
        <w:gridCol w:w="1296"/>
        <w:gridCol w:w="1725"/>
        <w:gridCol w:w="1725"/>
        <w:gridCol w:w="1901"/>
        <w:gridCol w:w="1768"/>
      </w:tblGrid>
      <w:tr w14:paraId="5766BE8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57" w:type="dxa"/>
            <w:left w:w="57" w:type="dxa"/>
            <w:bottom w:w="57" w:type="dxa"/>
            <w:right w:w="57" w:type="dxa"/>
          </w:tblCellMar>
        </w:tblPrEx>
        <w:trPr>
          <w:trHeight w:val="0" w:hRule="atLeast"/>
          <w:jc w:val="center"/>
        </w:trPr>
        <w:tc>
          <w:tcPr>
            <w:tcW w:w="770" w:type="pct"/>
            <w:tcBorders>
              <w:tl2br w:val="nil"/>
              <w:tr2bl w:val="nil"/>
            </w:tcBorders>
            <w:noWrap w:val="0"/>
            <w:vAlign w:val="center"/>
          </w:tcPr>
          <w:p w14:paraId="447386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排放口</w:t>
            </w:r>
          </w:p>
        </w:tc>
        <w:tc>
          <w:tcPr>
            <w:tcW w:w="1025" w:type="pct"/>
            <w:tcBorders>
              <w:tl2br w:val="nil"/>
              <w:tr2bl w:val="nil"/>
            </w:tcBorders>
            <w:noWrap w:val="0"/>
            <w:vAlign w:val="center"/>
          </w:tcPr>
          <w:p w14:paraId="1F2B6C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污水排放口</w:t>
            </w:r>
          </w:p>
        </w:tc>
        <w:tc>
          <w:tcPr>
            <w:tcW w:w="1025" w:type="pct"/>
            <w:tcBorders>
              <w:tl2br w:val="nil"/>
              <w:tr2bl w:val="nil"/>
            </w:tcBorders>
            <w:noWrap w:val="0"/>
            <w:vAlign w:val="center"/>
          </w:tcPr>
          <w:p w14:paraId="0BC00C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废气排放口</w:t>
            </w:r>
          </w:p>
        </w:tc>
        <w:tc>
          <w:tcPr>
            <w:tcW w:w="1129" w:type="pct"/>
            <w:tcBorders>
              <w:tl2br w:val="nil"/>
              <w:tr2bl w:val="nil"/>
            </w:tcBorders>
            <w:noWrap w:val="0"/>
            <w:vAlign w:val="center"/>
          </w:tcPr>
          <w:p w14:paraId="2BBC23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噪声排放源</w:t>
            </w:r>
          </w:p>
        </w:tc>
        <w:tc>
          <w:tcPr>
            <w:tcW w:w="1049" w:type="pct"/>
            <w:tcBorders>
              <w:tl2br w:val="nil"/>
              <w:tr2bl w:val="nil"/>
            </w:tcBorders>
            <w:noWrap w:val="0"/>
            <w:vAlign w:val="center"/>
          </w:tcPr>
          <w:p w14:paraId="0BE8A0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一般固体废物</w:t>
            </w:r>
          </w:p>
        </w:tc>
      </w:tr>
      <w:tr w14:paraId="5C5CBF2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57" w:type="dxa"/>
            <w:left w:w="57" w:type="dxa"/>
            <w:bottom w:w="57" w:type="dxa"/>
            <w:right w:w="57" w:type="dxa"/>
          </w:tblCellMar>
        </w:tblPrEx>
        <w:trPr>
          <w:trHeight w:val="0" w:hRule="atLeast"/>
          <w:jc w:val="center"/>
        </w:trPr>
        <w:tc>
          <w:tcPr>
            <w:tcW w:w="770" w:type="pct"/>
            <w:tcBorders>
              <w:tl2br w:val="nil"/>
              <w:tr2bl w:val="nil"/>
            </w:tcBorders>
            <w:noWrap w:val="0"/>
            <w:vAlign w:val="center"/>
          </w:tcPr>
          <w:p w14:paraId="481288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图形符号</w:t>
            </w:r>
          </w:p>
        </w:tc>
        <w:tc>
          <w:tcPr>
            <w:tcW w:w="1025" w:type="pct"/>
            <w:tcBorders>
              <w:tl2br w:val="nil"/>
              <w:tr2bl w:val="nil"/>
            </w:tcBorders>
            <w:noWrap w:val="0"/>
            <w:vAlign w:val="center"/>
          </w:tcPr>
          <w:p w14:paraId="236795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drawing>
                <wp:inline distT="0" distB="0" distL="114300" distR="114300">
                  <wp:extent cx="952500" cy="952500"/>
                  <wp:effectExtent l="0" t="0" r="0" b="0"/>
                  <wp:docPr id="6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5"/>
                          <pic:cNvPicPr>
                            <a:picLocks noChangeAspect="1"/>
                          </pic:cNvPicPr>
                        </pic:nvPicPr>
                        <pic:blipFill>
                          <a:blip r:embed="rId31"/>
                          <a:stretch>
                            <a:fillRect/>
                          </a:stretch>
                        </pic:blipFill>
                        <pic:spPr>
                          <a:xfrm>
                            <a:off x="0" y="0"/>
                            <a:ext cx="952500" cy="952500"/>
                          </a:xfrm>
                          <a:prstGeom prst="rect">
                            <a:avLst/>
                          </a:prstGeom>
                          <a:noFill/>
                          <a:ln>
                            <a:noFill/>
                          </a:ln>
                        </pic:spPr>
                      </pic:pic>
                    </a:graphicData>
                  </a:graphic>
                </wp:inline>
              </w:drawing>
            </w:r>
          </w:p>
        </w:tc>
        <w:tc>
          <w:tcPr>
            <w:tcW w:w="1025" w:type="pct"/>
            <w:tcBorders>
              <w:tl2br w:val="nil"/>
              <w:tr2bl w:val="nil"/>
            </w:tcBorders>
            <w:noWrap w:val="0"/>
            <w:vAlign w:val="center"/>
          </w:tcPr>
          <w:p w14:paraId="2A4880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drawing>
                <wp:inline distT="0" distB="0" distL="114300" distR="114300">
                  <wp:extent cx="952500" cy="952500"/>
                  <wp:effectExtent l="0" t="0" r="0" b="0"/>
                  <wp:docPr id="6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
                          <pic:cNvPicPr>
                            <a:picLocks noChangeAspect="1"/>
                          </pic:cNvPicPr>
                        </pic:nvPicPr>
                        <pic:blipFill>
                          <a:blip r:embed="rId32"/>
                          <a:stretch>
                            <a:fillRect/>
                          </a:stretch>
                        </pic:blipFill>
                        <pic:spPr>
                          <a:xfrm>
                            <a:off x="0" y="0"/>
                            <a:ext cx="952500" cy="952500"/>
                          </a:xfrm>
                          <a:prstGeom prst="rect">
                            <a:avLst/>
                          </a:prstGeom>
                          <a:noFill/>
                          <a:ln>
                            <a:noFill/>
                          </a:ln>
                        </pic:spPr>
                      </pic:pic>
                    </a:graphicData>
                  </a:graphic>
                </wp:inline>
              </w:drawing>
            </w:r>
          </w:p>
        </w:tc>
        <w:tc>
          <w:tcPr>
            <w:tcW w:w="1129" w:type="pct"/>
            <w:tcBorders>
              <w:tl2br w:val="nil"/>
              <w:tr2bl w:val="nil"/>
            </w:tcBorders>
            <w:noWrap w:val="0"/>
            <w:vAlign w:val="center"/>
          </w:tcPr>
          <w:p w14:paraId="4E25BC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drawing>
                <wp:inline distT="0" distB="0" distL="114300" distR="114300">
                  <wp:extent cx="952500" cy="952500"/>
                  <wp:effectExtent l="0" t="0" r="0" b="0"/>
                  <wp:docPr id="6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7"/>
                          <pic:cNvPicPr>
                            <a:picLocks noChangeAspect="1"/>
                          </pic:cNvPicPr>
                        </pic:nvPicPr>
                        <pic:blipFill>
                          <a:blip r:embed="rId33"/>
                          <a:stretch>
                            <a:fillRect/>
                          </a:stretch>
                        </pic:blipFill>
                        <pic:spPr>
                          <a:xfrm>
                            <a:off x="0" y="0"/>
                            <a:ext cx="952500" cy="952500"/>
                          </a:xfrm>
                          <a:prstGeom prst="rect">
                            <a:avLst/>
                          </a:prstGeom>
                          <a:noFill/>
                          <a:ln>
                            <a:noFill/>
                          </a:ln>
                        </pic:spPr>
                      </pic:pic>
                    </a:graphicData>
                  </a:graphic>
                </wp:inline>
              </w:drawing>
            </w:r>
          </w:p>
        </w:tc>
        <w:tc>
          <w:tcPr>
            <w:tcW w:w="1049" w:type="pct"/>
            <w:tcBorders>
              <w:tl2br w:val="nil"/>
              <w:tr2bl w:val="nil"/>
            </w:tcBorders>
            <w:noWrap w:val="0"/>
            <w:vAlign w:val="center"/>
          </w:tcPr>
          <w:p w14:paraId="37B2C8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drawing>
                <wp:inline distT="0" distB="0" distL="114300" distR="114300">
                  <wp:extent cx="957580" cy="984250"/>
                  <wp:effectExtent l="0" t="0" r="7620" b="6350"/>
                  <wp:docPr id="6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8"/>
                          <pic:cNvPicPr>
                            <a:picLocks noChangeAspect="1"/>
                          </pic:cNvPicPr>
                        </pic:nvPicPr>
                        <pic:blipFill>
                          <a:blip r:embed="rId34"/>
                          <a:stretch>
                            <a:fillRect/>
                          </a:stretch>
                        </pic:blipFill>
                        <pic:spPr>
                          <a:xfrm>
                            <a:off x="0" y="0"/>
                            <a:ext cx="957580" cy="984250"/>
                          </a:xfrm>
                          <a:prstGeom prst="rect">
                            <a:avLst/>
                          </a:prstGeom>
                          <a:noFill/>
                          <a:ln>
                            <a:noFill/>
                          </a:ln>
                        </pic:spPr>
                      </pic:pic>
                    </a:graphicData>
                  </a:graphic>
                </wp:inline>
              </w:drawing>
            </w:r>
          </w:p>
        </w:tc>
      </w:tr>
      <w:tr w14:paraId="1641F95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57" w:type="dxa"/>
            <w:left w:w="57" w:type="dxa"/>
            <w:bottom w:w="57" w:type="dxa"/>
            <w:right w:w="57" w:type="dxa"/>
          </w:tblCellMar>
        </w:tblPrEx>
        <w:trPr>
          <w:trHeight w:val="0" w:hRule="atLeast"/>
          <w:jc w:val="center"/>
        </w:trPr>
        <w:tc>
          <w:tcPr>
            <w:tcW w:w="770" w:type="pct"/>
            <w:tcBorders>
              <w:tl2br w:val="nil"/>
              <w:tr2bl w:val="nil"/>
            </w:tcBorders>
            <w:noWrap w:val="0"/>
            <w:vAlign w:val="center"/>
          </w:tcPr>
          <w:p w14:paraId="5F568C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提示标志</w:t>
            </w:r>
          </w:p>
        </w:tc>
        <w:tc>
          <w:tcPr>
            <w:tcW w:w="4229" w:type="pct"/>
            <w:gridSpan w:val="4"/>
            <w:tcBorders>
              <w:tl2br w:val="nil"/>
              <w:tr2bl w:val="nil"/>
            </w:tcBorders>
            <w:noWrap w:val="0"/>
            <w:vAlign w:val="center"/>
          </w:tcPr>
          <w:p w14:paraId="67B528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正方形边框</w:t>
            </w:r>
          </w:p>
        </w:tc>
      </w:tr>
      <w:tr w14:paraId="1B00B39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57" w:type="dxa"/>
            <w:left w:w="57" w:type="dxa"/>
            <w:bottom w:w="57" w:type="dxa"/>
            <w:right w:w="57" w:type="dxa"/>
          </w:tblCellMar>
        </w:tblPrEx>
        <w:trPr>
          <w:trHeight w:val="0" w:hRule="atLeast"/>
          <w:jc w:val="center"/>
        </w:trPr>
        <w:tc>
          <w:tcPr>
            <w:tcW w:w="770" w:type="pct"/>
            <w:tcBorders>
              <w:tl2br w:val="nil"/>
              <w:tr2bl w:val="nil"/>
            </w:tcBorders>
            <w:noWrap w:val="0"/>
            <w:vAlign w:val="center"/>
          </w:tcPr>
          <w:p w14:paraId="5DC6E7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背景颜色</w:t>
            </w:r>
          </w:p>
        </w:tc>
        <w:tc>
          <w:tcPr>
            <w:tcW w:w="4229" w:type="pct"/>
            <w:gridSpan w:val="4"/>
            <w:tcBorders>
              <w:tl2br w:val="nil"/>
              <w:tr2bl w:val="nil"/>
            </w:tcBorders>
            <w:noWrap w:val="0"/>
            <w:vAlign w:val="center"/>
          </w:tcPr>
          <w:p w14:paraId="1E0599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绿色</w:t>
            </w:r>
          </w:p>
        </w:tc>
      </w:tr>
      <w:tr w14:paraId="273D005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57" w:type="dxa"/>
            <w:left w:w="57" w:type="dxa"/>
            <w:bottom w:w="57" w:type="dxa"/>
            <w:right w:w="57" w:type="dxa"/>
          </w:tblCellMar>
        </w:tblPrEx>
        <w:trPr>
          <w:trHeight w:val="0" w:hRule="atLeast"/>
          <w:jc w:val="center"/>
        </w:trPr>
        <w:tc>
          <w:tcPr>
            <w:tcW w:w="770" w:type="pct"/>
            <w:tcBorders>
              <w:tl2br w:val="nil"/>
              <w:tr2bl w:val="nil"/>
            </w:tcBorders>
            <w:noWrap w:val="0"/>
            <w:vAlign w:val="center"/>
          </w:tcPr>
          <w:p w14:paraId="4048C8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图形颜色</w:t>
            </w:r>
          </w:p>
        </w:tc>
        <w:tc>
          <w:tcPr>
            <w:tcW w:w="4229" w:type="pct"/>
            <w:gridSpan w:val="4"/>
            <w:tcBorders>
              <w:tl2br w:val="nil"/>
              <w:tr2bl w:val="nil"/>
            </w:tcBorders>
            <w:noWrap w:val="0"/>
            <w:vAlign w:val="center"/>
          </w:tcPr>
          <w:p w14:paraId="7F33C5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白色</w:t>
            </w:r>
          </w:p>
        </w:tc>
      </w:tr>
    </w:tbl>
    <w:p w14:paraId="6F9C5710">
      <w:pPr>
        <w:keepNext w:val="0"/>
        <w:keepLines w:val="0"/>
        <w:pageBreakBefore w:val="0"/>
        <w:widowControl w:val="0"/>
        <w:kinsoku/>
        <w:wordWrap/>
        <w:overflowPunct/>
        <w:topLinePunct w:val="0"/>
        <w:autoSpaceDE/>
        <w:autoSpaceDN/>
        <w:bidi w:val="0"/>
        <w:adjustRightInd/>
        <w:snapToGrid/>
        <w:spacing w:before="157" w:beforeLines="5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表</w:t>
      </w:r>
      <w:r>
        <w:rPr>
          <w:rFonts w:hint="default" w:ascii="Times New Roman" w:hAnsi="Times New Roman" w:eastAsia="宋体" w:cs="Times New Roman"/>
          <w:b/>
          <w:bCs/>
          <w:caps w:val="0"/>
          <w:snapToGrid/>
          <w:color w:val="auto"/>
          <w:spacing w:val="0"/>
          <w:w w:val="100"/>
          <w:kern w:val="21"/>
          <w:position w:val="0"/>
          <w:sz w:val="21"/>
          <w:szCs w:val="21"/>
          <w:highlight w:val="none"/>
          <w:lang w:val="en-US" w:eastAsia="zh-CN"/>
        </w:rPr>
        <w:t>8.6</w:t>
      </w:r>
      <w:r>
        <w:rPr>
          <w:rFonts w:hint="eastAsia" w:cs="Times New Roman"/>
          <w:b/>
          <w:bCs/>
          <w:caps w:val="0"/>
          <w:snapToGrid/>
          <w:color w:val="auto"/>
          <w:spacing w:val="0"/>
          <w:w w:val="100"/>
          <w:kern w:val="21"/>
          <w:position w:val="0"/>
          <w:sz w:val="21"/>
          <w:szCs w:val="21"/>
          <w:highlight w:val="none"/>
          <w:lang w:val="en-US" w:eastAsia="zh-CN"/>
        </w:rPr>
        <w:t>.3</w:t>
      </w:r>
      <w:r>
        <w:rPr>
          <w:rFonts w:hint="default" w:ascii="Times New Roman" w:hAnsi="Times New Roman" w:eastAsia="宋体" w:cs="Times New Roman"/>
          <w:b/>
          <w:bCs/>
          <w:caps w:val="0"/>
          <w:snapToGrid/>
          <w:color w:val="auto"/>
          <w:spacing w:val="0"/>
          <w:w w:val="100"/>
          <w:kern w:val="21"/>
          <w:position w:val="0"/>
          <w:sz w:val="21"/>
          <w:szCs w:val="21"/>
          <w:highlight w:val="none"/>
        </w:rPr>
        <w:t>-2  排污口警告图形符号</w:t>
      </w:r>
    </w:p>
    <w:tbl>
      <w:tblPr>
        <w:tblStyle w:val="25"/>
        <w:tblW w:w="4997"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4" w:space="0"/>
        </w:tblBorders>
        <w:tblLayout w:type="autofit"/>
        <w:tblCellMar>
          <w:top w:w="57" w:type="dxa"/>
          <w:left w:w="57" w:type="dxa"/>
          <w:bottom w:w="57" w:type="dxa"/>
          <w:right w:w="57" w:type="dxa"/>
        </w:tblCellMar>
      </w:tblPr>
      <w:tblGrid>
        <w:gridCol w:w="1300"/>
        <w:gridCol w:w="1283"/>
        <w:gridCol w:w="1308"/>
        <w:gridCol w:w="1259"/>
        <w:gridCol w:w="1715"/>
        <w:gridCol w:w="1550"/>
      </w:tblGrid>
      <w:tr w14:paraId="7EEAD69D">
        <w:tblPrEx>
          <w:tblBorders>
            <w:top w:val="single" w:color="000000" w:sz="12" w:space="0"/>
            <w:left w:val="none" w:color="auto" w:sz="0" w:space="0"/>
            <w:bottom w:val="single" w:color="000000" w:sz="12" w:space="0"/>
            <w:right w:val="none" w:color="auto" w:sz="0" w:space="0"/>
            <w:insideH w:val="single" w:color="000000" w:sz="6" w:space="0"/>
            <w:insideV w:val="single" w:color="000000" w:sz="4" w:space="0"/>
          </w:tblBorders>
          <w:tblCellMar>
            <w:top w:w="57" w:type="dxa"/>
            <w:left w:w="57" w:type="dxa"/>
            <w:bottom w:w="57" w:type="dxa"/>
            <w:right w:w="57" w:type="dxa"/>
          </w:tblCellMar>
        </w:tblPrEx>
        <w:trPr>
          <w:trHeight w:val="0" w:hRule="atLeast"/>
          <w:jc w:val="center"/>
        </w:trPr>
        <w:tc>
          <w:tcPr>
            <w:tcW w:w="772" w:type="pct"/>
            <w:tcBorders>
              <w:tl2br w:val="nil"/>
              <w:tr2bl w:val="nil"/>
            </w:tcBorders>
            <w:noWrap w:val="0"/>
            <w:vAlign w:val="center"/>
          </w:tcPr>
          <w:p w14:paraId="62F325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排放口</w:t>
            </w:r>
          </w:p>
        </w:tc>
        <w:tc>
          <w:tcPr>
            <w:tcW w:w="762" w:type="pct"/>
            <w:tcBorders>
              <w:tl2br w:val="nil"/>
              <w:tr2bl w:val="nil"/>
            </w:tcBorders>
            <w:noWrap w:val="0"/>
            <w:vAlign w:val="center"/>
          </w:tcPr>
          <w:p w14:paraId="26CFBD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污水排放口</w:t>
            </w:r>
          </w:p>
        </w:tc>
        <w:tc>
          <w:tcPr>
            <w:tcW w:w="777" w:type="pct"/>
            <w:tcBorders>
              <w:tl2br w:val="nil"/>
              <w:tr2bl w:val="nil"/>
            </w:tcBorders>
            <w:noWrap w:val="0"/>
            <w:vAlign w:val="center"/>
          </w:tcPr>
          <w:p w14:paraId="4DF835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废气排放口</w:t>
            </w:r>
          </w:p>
        </w:tc>
        <w:tc>
          <w:tcPr>
            <w:tcW w:w="748" w:type="pct"/>
            <w:tcBorders>
              <w:tl2br w:val="nil"/>
              <w:tr2bl w:val="nil"/>
            </w:tcBorders>
            <w:noWrap w:val="0"/>
            <w:vAlign w:val="center"/>
          </w:tcPr>
          <w:p w14:paraId="606EE8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噪声排放源</w:t>
            </w:r>
          </w:p>
        </w:tc>
        <w:tc>
          <w:tcPr>
            <w:tcW w:w="1019" w:type="pct"/>
            <w:tcBorders>
              <w:tl2br w:val="nil"/>
              <w:tr2bl w:val="nil"/>
            </w:tcBorders>
            <w:noWrap w:val="0"/>
            <w:vAlign w:val="center"/>
          </w:tcPr>
          <w:p w14:paraId="13CB94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一般固体废物</w:t>
            </w:r>
          </w:p>
        </w:tc>
        <w:tc>
          <w:tcPr>
            <w:tcW w:w="919" w:type="pct"/>
            <w:tcBorders>
              <w:tl2br w:val="nil"/>
              <w:tr2bl w:val="nil"/>
            </w:tcBorders>
            <w:noWrap w:val="0"/>
            <w:vAlign w:val="center"/>
          </w:tcPr>
          <w:p w14:paraId="17D4E4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aps w:val="0"/>
                <w:snapToGrid/>
                <w:color w:val="auto"/>
                <w:spacing w:val="0"/>
                <w:w w:val="100"/>
                <w:kern w:val="21"/>
                <w:position w:val="0"/>
                <w:sz w:val="21"/>
                <w:szCs w:val="21"/>
                <w:highlight w:val="none"/>
              </w:rPr>
            </w:pPr>
            <w:r>
              <w:rPr>
                <w:rFonts w:hint="default" w:ascii="Times New Roman" w:hAnsi="Times New Roman" w:eastAsia="宋体" w:cs="Times New Roman"/>
                <w:b/>
                <w:bCs/>
                <w:caps w:val="0"/>
                <w:snapToGrid/>
                <w:color w:val="auto"/>
                <w:spacing w:val="0"/>
                <w:w w:val="100"/>
                <w:kern w:val="21"/>
                <w:position w:val="0"/>
                <w:sz w:val="21"/>
                <w:szCs w:val="21"/>
                <w:highlight w:val="none"/>
              </w:rPr>
              <w:t>危险废物</w:t>
            </w:r>
          </w:p>
        </w:tc>
      </w:tr>
      <w:tr w14:paraId="1532985E">
        <w:tblPrEx>
          <w:tblBorders>
            <w:top w:val="single" w:color="000000" w:sz="12" w:space="0"/>
            <w:left w:val="none" w:color="auto" w:sz="0" w:space="0"/>
            <w:bottom w:val="single" w:color="000000" w:sz="12" w:space="0"/>
            <w:right w:val="none" w:color="auto" w:sz="0" w:space="0"/>
            <w:insideH w:val="single" w:color="000000" w:sz="6" w:space="0"/>
            <w:insideV w:val="single" w:color="000000" w:sz="4" w:space="0"/>
          </w:tblBorders>
          <w:tblCellMar>
            <w:top w:w="57" w:type="dxa"/>
            <w:left w:w="57" w:type="dxa"/>
            <w:bottom w:w="57" w:type="dxa"/>
            <w:right w:w="57" w:type="dxa"/>
          </w:tblCellMar>
        </w:tblPrEx>
        <w:trPr>
          <w:trHeight w:val="0" w:hRule="atLeast"/>
          <w:jc w:val="center"/>
        </w:trPr>
        <w:tc>
          <w:tcPr>
            <w:tcW w:w="772" w:type="pct"/>
            <w:tcBorders>
              <w:tl2br w:val="nil"/>
              <w:tr2bl w:val="nil"/>
            </w:tcBorders>
            <w:noWrap w:val="0"/>
            <w:vAlign w:val="center"/>
          </w:tcPr>
          <w:p w14:paraId="76B857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图形符号</w:t>
            </w:r>
          </w:p>
        </w:tc>
        <w:tc>
          <w:tcPr>
            <w:tcW w:w="762" w:type="pct"/>
            <w:tcBorders>
              <w:tl2br w:val="nil"/>
              <w:tr2bl w:val="nil"/>
            </w:tcBorders>
            <w:noWrap w:val="0"/>
            <w:vAlign w:val="center"/>
          </w:tcPr>
          <w:p w14:paraId="22A7F8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drawing>
                <wp:inline distT="0" distB="0" distL="114300" distR="114300">
                  <wp:extent cx="612140" cy="539750"/>
                  <wp:effectExtent l="0" t="0" r="10160" b="6350"/>
                  <wp:docPr id="6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9"/>
                          <pic:cNvPicPr>
                            <a:picLocks noChangeAspect="1"/>
                          </pic:cNvPicPr>
                        </pic:nvPicPr>
                        <pic:blipFill>
                          <a:blip r:embed="rId35"/>
                          <a:stretch>
                            <a:fillRect/>
                          </a:stretch>
                        </pic:blipFill>
                        <pic:spPr>
                          <a:xfrm>
                            <a:off x="0" y="0"/>
                            <a:ext cx="612140" cy="539750"/>
                          </a:xfrm>
                          <a:prstGeom prst="rect">
                            <a:avLst/>
                          </a:prstGeom>
                          <a:noFill/>
                          <a:ln>
                            <a:noFill/>
                          </a:ln>
                        </pic:spPr>
                      </pic:pic>
                    </a:graphicData>
                  </a:graphic>
                </wp:inline>
              </w:drawing>
            </w:r>
          </w:p>
        </w:tc>
        <w:tc>
          <w:tcPr>
            <w:tcW w:w="777" w:type="pct"/>
            <w:tcBorders>
              <w:tl2br w:val="nil"/>
              <w:tr2bl w:val="nil"/>
            </w:tcBorders>
            <w:noWrap w:val="0"/>
            <w:vAlign w:val="center"/>
          </w:tcPr>
          <w:p w14:paraId="6A83B0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drawing>
                <wp:inline distT="0" distB="0" distL="114300" distR="114300">
                  <wp:extent cx="612140" cy="539750"/>
                  <wp:effectExtent l="0" t="0" r="10160" b="6350"/>
                  <wp:docPr id="6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0"/>
                          <pic:cNvPicPr>
                            <a:picLocks noChangeAspect="1"/>
                          </pic:cNvPicPr>
                        </pic:nvPicPr>
                        <pic:blipFill>
                          <a:blip r:embed="rId36"/>
                          <a:stretch>
                            <a:fillRect/>
                          </a:stretch>
                        </pic:blipFill>
                        <pic:spPr>
                          <a:xfrm>
                            <a:off x="0" y="0"/>
                            <a:ext cx="612140" cy="539750"/>
                          </a:xfrm>
                          <a:prstGeom prst="rect">
                            <a:avLst/>
                          </a:prstGeom>
                          <a:noFill/>
                          <a:ln>
                            <a:noFill/>
                          </a:ln>
                        </pic:spPr>
                      </pic:pic>
                    </a:graphicData>
                  </a:graphic>
                </wp:inline>
              </w:drawing>
            </w:r>
          </w:p>
        </w:tc>
        <w:tc>
          <w:tcPr>
            <w:tcW w:w="748" w:type="pct"/>
            <w:tcBorders>
              <w:tl2br w:val="nil"/>
              <w:tr2bl w:val="nil"/>
            </w:tcBorders>
            <w:noWrap w:val="0"/>
            <w:vAlign w:val="center"/>
          </w:tcPr>
          <w:p w14:paraId="5E3074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drawing>
                <wp:inline distT="0" distB="0" distL="114300" distR="114300">
                  <wp:extent cx="612140" cy="539750"/>
                  <wp:effectExtent l="0" t="0" r="10160" b="6350"/>
                  <wp:docPr id="6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1"/>
                          <pic:cNvPicPr>
                            <a:picLocks noChangeAspect="1"/>
                          </pic:cNvPicPr>
                        </pic:nvPicPr>
                        <pic:blipFill>
                          <a:blip r:embed="rId37"/>
                          <a:stretch>
                            <a:fillRect/>
                          </a:stretch>
                        </pic:blipFill>
                        <pic:spPr>
                          <a:xfrm>
                            <a:off x="0" y="0"/>
                            <a:ext cx="612140" cy="539750"/>
                          </a:xfrm>
                          <a:prstGeom prst="rect">
                            <a:avLst/>
                          </a:prstGeom>
                          <a:noFill/>
                          <a:ln>
                            <a:noFill/>
                          </a:ln>
                        </pic:spPr>
                      </pic:pic>
                    </a:graphicData>
                  </a:graphic>
                </wp:inline>
              </w:drawing>
            </w:r>
          </w:p>
        </w:tc>
        <w:tc>
          <w:tcPr>
            <w:tcW w:w="1019" w:type="pct"/>
            <w:tcBorders>
              <w:tl2br w:val="nil"/>
              <w:tr2bl w:val="nil"/>
            </w:tcBorders>
            <w:noWrap w:val="0"/>
            <w:vAlign w:val="center"/>
          </w:tcPr>
          <w:p w14:paraId="39010F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drawing>
                <wp:inline distT="0" distB="0" distL="114300" distR="114300">
                  <wp:extent cx="612140" cy="539750"/>
                  <wp:effectExtent l="0" t="0" r="10160" b="6350"/>
                  <wp:docPr id="7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12"/>
                          <pic:cNvPicPr>
                            <a:picLocks noChangeAspect="1"/>
                          </pic:cNvPicPr>
                        </pic:nvPicPr>
                        <pic:blipFill>
                          <a:blip r:embed="rId38"/>
                          <a:stretch>
                            <a:fillRect/>
                          </a:stretch>
                        </pic:blipFill>
                        <pic:spPr>
                          <a:xfrm>
                            <a:off x="0" y="0"/>
                            <a:ext cx="612140" cy="539750"/>
                          </a:xfrm>
                          <a:prstGeom prst="rect">
                            <a:avLst/>
                          </a:prstGeom>
                          <a:noFill/>
                          <a:ln>
                            <a:noFill/>
                          </a:ln>
                        </pic:spPr>
                      </pic:pic>
                    </a:graphicData>
                  </a:graphic>
                </wp:inline>
              </w:drawing>
            </w:r>
          </w:p>
        </w:tc>
        <w:tc>
          <w:tcPr>
            <w:tcW w:w="919" w:type="pct"/>
            <w:tcBorders>
              <w:tl2br w:val="nil"/>
              <w:tr2bl w:val="nil"/>
            </w:tcBorders>
            <w:noWrap w:val="0"/>
            <w:vAlign w:val="center"/>
          </w:tcPr>
          <w:p w14:paraId="7C3659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drawing>
                <wp:inline distT="0" distB="0" distL="114300" distR="114300">
                  <wp:extent cx="612140" cy="539750"/>
                  <wp:effectExtent l="0" t="0" r="10160" b="6350"/>
                  <wp:docPr id="7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13"/>
                          <pic:cNvPicPr>
                            <a:picLocks noChangeAspect="1"/>
                          </pic:cNvPicPr>
                        </pic:nvPicPr>
                        <pic:blipFill>
                          <a:blip r:embed="rId39"/>
                          <a:stretch>
                            <a:fillRect/>
                          </a:stretch>
                        </pic:blipFill>
                        <pic:spPr>
                          <a:xfrm>
                            <a:off x="0" y="0"/>
                            <a:ext cx="612140" cy="539750"/>
                          </a:xfrm>
                          <a:prstGeom prst="rect">
                            <a:avLst/>
                          </a:prstGeom>
                          <a:noFill/>
                          <a:ln>
                            <a:noFill/>
                          </a:ln>
                        </pic:spPr>
                      </pic:pic>
                    </a:graphicData>
                  </a:graphic>
                </wp:inline>
              </w:drawing>
            </w:r>
          </w:p>
        </w:tc>
      </w:tr>
      <w:tr w14:paraId="188650B0">
        <w:tblPrEx>
          <w:tblBorders>
            <w:top w:val="single" w:color="000000" w:sz="12" w:space="0"/>
            <w:left w:val="none" w:color="auto" w:sz="0" w:space="0"/>
            <w:bottom w:val="single" w:color="000000" w:sz="12" w:space="0"/>
            <w:right w:val="none" w:color="auto" w:sz="0" w:space="0"/>
            <w:insideH w:val="single" w:color="000000" w:sz="6" w:space="0"/>
            <w:insideV w:val="single" w:color="000000" w:sz="4" w:space="0"/>
          </w:tblBorders>
          <w:tblCellMar>
            <w:top w:w="57" w:type="dxa"/>
            <w:left w:w="57" w:type="dxa"/>
            <w:bottom w:w="57" w:type="dxa"/>
            <w:right w:w="57" w:type="dxa"/>
          </w:tblCellMar>
        </w:tblPrEx>
        <w:trPr>
          <w:trHeight w:val="0" w:hRule="atLeast"/>
          <w:jc w:val="center"/>
        </w:trPr>
        <w:tc>
          <w:tcPr>
            <w:tcW w:w="772" w:type="pct"/>
            <w:tcBorders>
              <w:tl2br w:val="nil"/>
              <w:tr2bl w:val="nil"/>
            </w:tcBorders>
            <w:noWrap w:val="0"/>
            <w:vAlign w:val="center"/>
          </w:tcPr>
          <w:p w14:paraId="20E111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警告标志</w:t>
            </w:r>
          </w:p>
        </w:tc>
        <w:tc>
          <w:tcPr>
            <w:tcW w:w="4227" w:type="pct"/>
            <w:gridSpan w:val="5"/>
            <w:tcBorders>
              <w:tl2br w:val="nil"/>
              <w:tr2bl w:val="nil"/>
            </w:tcBorders>
            <w:noWrap w:val="0"/>
            <w:vAlign w:val="center"/>
          </w:tcPr>
          <w:p w14:paraId="507D8C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三角形边框</w:t>
            </w:r>
          </w:p>
        </w:tc>
      </w:tr>
      <w:tr w14:paraId="792021B7">
        <w:tblPrEx>
          <w:tblBorders>
            <w:top w:val="single" w:color="000000" w:sz="12" w:space="0"/>
            <w:left w:val="none" w:color="auto" w:sz="0" w:space="0"/>
            <w:bottom w:val="single" w:color="000000" w:sz="12" w:space="0"/>
            <w:right w:val="none" w:color="auto" w:sz="0" w:space="0"/>
            <w:insideH w:val="single" w:color="000000" w:sz="6" w:space="0"/>
            <w:insideV w:val="single" w:color="000000" w:sz="4" w:space="0"/>
          </w:tblBorders>
          <w:tblCellMar>
            <w:top w:w="57" w:type="dxa"/>
            <w:left w:w="57" w:type="dxa"/>
            <w:bottom w:w="57" w:type="dxa"/>
            <w:right w:w="57" w:type="dxa"/>
          </w:tblCellMar>
        </w:tblPrEx>
        <w:trPr>
          <w:trHeight w:val="0" w:hRule="atLeast"/>
          <w:jc w:val="center"/>
        </w:trPr>
        <w:tc>
          <w:tcPr>
            <w:tcW w:w="772" w:type="pct"/>
            <w:tcBorders>
              <w:tl2br w:val="nil"/>
              <w:tr2bl w:val="nil"/>
            </w:tcBorders>
            <w:noWrap w:val="0"/>
            <w:vAlign w:val="center"/>
          </w:tcPr>
          <w:p w14:paraId="5ED7EF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背景颜色</w:t>
            </w:r>
          </w:p>
        </w:tc>
        <w:tc>
          <w:tcPr>
            <w:tcW w:w="4227" w:type="pct"/>
            <w:gridSpan w:val="5"/>
            <w:tcBorders>
              <w:tl2br w:val="nil"/>
              <w:tr2bl w:val="nil"/>
            </w:tcBorders>
            <w:noWrap w:val="0"/>
            <w:vAlign w:val="center"/>
          </w:tcPr>
          <w:p w14:paraId="2EBC0A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黄色</w:t>
            </w:r>
          </w:p>
        </w:tc>
      </w:tr>
      <w:tr w14:paraId="5D031F3F">
        <w:tblPrEx>
          <w:tblBorders>
            <w:top w:val="single" w:color="000000" w:sz="12" w:space="0"/>
            <w:left w:val="none" w:color="auto" w:sz="0" w:space="0"/>
            <w:bottom w:val="single" w:color="000000" w:sz="12" w:space="0"/>
            <w:right w:val="none" w:color="auto" w:sz="0" w:space="0"/>
            <w:insideH w:val="single" w:color="000000" w:sz="6" w:space="0"/>
            <w:insideV w:val="single" w:color="000000" w:sz="4" w:space="0"/>
          </w:tblBorders>
          <w:tblCellMar>
            <w:top w:w="57" w:type="dxa"/>
            <w:left w:w="57" w:type="dxa"/>
            <w:bottom w:w="57" w:type="dxa"/>
            <w:right w:w="57" w:type="dxa"/>
          </w:tblCellMar>
        </w:tblPrEx>
        <w:trPr>
          <w:trHeight w:val="0" w:hRule="atLeast"/>
          <w:jc w:val="center"/>
        </w:trPr>
        <w:tc>
          <w:tcPr>
            <w:tcW w:w="772" w:type="pct"/>
            <w:tcBorders>
              <w:tl2br w:val="nil"/>
              <w:tr2bl w:val="nil"/>
            </w:tcBorders>
            <w:noWrap w:val="0"/>
            <w:vAlign w:val="center"/>
          </w:tcPr>
          <w:p w14:paraId="39018F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图形颜色</w:t>
            </w:r>
          </w:p>
        </w:tc>
        <w:tc>
          <w:tcPr>
            <w:tcW w:w="4227" w:type="pct"/>
            <w:gridSpan w:val="5"/>
            <w:tcBorders>
              <w:tl2br w:val="nil"/>
              <w:tr2bl w:val="nil"/>
            </w:tcBorders>
            <w:noWrap w:val="0"/>
            <w:vAlign w:val="center"/>
          </w:tcPr>
          <w:p w14:paraId="5BD81F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aps w:val="0"/>
                <w:snapToGrid/>
                <w:color w:val="auto"/>
                <w:spacing w:val="0"/>
                <w:w w:val="100"/>
                <w:kern w:val="21"/>
                <w:position w:val="0"/>
                <w:sz w:val="21"/>
                <w:szCs w:val="21"/>
                <w:highlight w:val="none"/>
              </w:rPr>
            </w:pPr>
            <w:r>
              <w:rPr>
                <w:rFonts w:hint="default" w:ascii="Times New Roman" w:hAnsi="Times New Roman" w:eastAsia="宋体" w:cs="Times New Roman"/>
                <w:caps w:val="0"/>
                <w:snapToGrid/>
                <w:color w:val="auto"/>
                <w:spacing w:val="0"/>
                <w:w w:val="100"/>
                <w:kern w:val="21"/>
                <w:position w:val="0"/>
                <w:sz w:val="21"/>
                <w:szCs w:val="21"/>
                <w:highlight w:val="none"/>
              </w:rPr>
              <w:t>黑色</w:t>
            </w:r>
          </w:p>
        </w:tc>
      </w:tr>
    </w:tbl>
    <w:p w14:paraId="503772BE">
      <w:pPr>
        <w:keepNext w:val="0"/>
        <w:keepLines w:val="0"/>
        <w:pageBreakBefore w:val="0"/>
        <w:widowControl w:val="0"/>
        <w:kinsoku/>
        <w:wordWrap/>
        <w:overflowPunct/>
        <w:topLinePunct w:val="0"/>
        <w:autoSpaceDE/>
        <w:autoSpaceDN/>
        <w:bidi w:val="0"/>
        <w:adjustRightInd/>
        <w:snapToGrid/>
        <w:ind w:left="0" w:leftChars="0" w:right="0" w:rightChars="0" w:firstLine="0" w:firstLineChars="0"/>
        <w:textAlignment w:val="auto"/>
        <w:outlineLvl w:val="2"/>
        <w:rPr>
          <w:rFonts w:hint="default" w:ascii="Times New Roman" w:hAnsi="Times New Roman" w:eastAsia="宋体" w:cs="Times New Roman"/>
          <w:b/>
          <w:bCs/>
          <w:caps w:val="0"/>
          <w:snapToGrid/>
          <w:color w:val="auto"/>
          <w:spacing w:val="0"/>
          <w:w w:val="100"/>
          <w:kern w:val="0"/>
          <w:position w:val="0"/>
          <w:sz w:val="24"/>
          <w:szCs w:val="28"/>
          <w:highlight w:val="none"/>
          <w:lang w:val="en-US" w:eastAsia="zh-CN"/>
        </w:rPr>
      </w:pPr>
      <w:bookmarkStart w:id="933" w:name="_Toc14832"/>
      <w:bookmarkStart w:id="934" w:name="_Toc15951"/>
      <w:bookmarkStart w:id="935" w:name="_Toc21677"/>
      <w:r>
        <w:rPr>
          <w:rFonts w:hint="default" w:ascii="Times New Roman" w:hAnsi="Times New Roman" w:eastAsia="宋体" w:cs="Times New Roman"/>
          <w:b/>
          <w:bCs/>
          <w:caps w:val="0"/>
          <w:snapToGrid/>
          <w:color w:val="auto"/>
          <w:spacing w:val="0"/>
          <w:w w:val="100"/>
          <w:kern w:val="0"/>
          <w:position w:val="0"/>
          <w:sz w:val="24"/>
          <w:szCs w:val="28"/>
          <w:highlight w:val="none"/>
          <w:lang w:val="en-US" w:eastAsia="zh-CN"/>
        </w:rPr>
        <w:t>8.6.4排污口规范化管理</w:t>
      </w:r>
    </w:p>
    <w:p w14:paraId="470296B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highlight w:val="none"/>
          <w:lang w:eastAsia="zh-CN"/>
        </w:rPr>
      </w:pPr>
      <w:r>
        <w:rPr>
          <w:rFonts w:hint="default" w:ascii="Times New Roman" w:hAnsi="Times New Roman" w:eastAsia="宋体" w:cs="Times New Roman"/>
          <w:caps w:val="0"/>
          <w:snapToGrid/>
          <w:color w:val="auto"/>
          <w:spacing w:val="0"/>
          <w:w w:val="100"/>
          <w:kern w:val="0"/>
          <w:position w:val="0"/>
          <w:highlight w:val="none"/>
        </w:rPr>
        <w:t>排污口规范化与主体工程必须同时进行，并按照污染源监测技术规范相关要求设置规范的、便于测量流量、流速的测流段和采样点，排放口规范化的工作需由具有专业资质的单位负责施工建设。具体要求如下：</w:t>
      </w:r>
    </w:p>
    <w:p w14:paraId="277CEBD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highlight w:val="none"/>
        </w:rPr>
      </w:pPr>
      <w:r>
        <w:rPr>
          <w:rFonts w:hint="default" w:ascii="Times New Roman" w:hAnsi="Times New Roman" w:eastAsia="宋体" w:cs="Times New Roman"/>
          <w:caps w:val="0"/>
          <w:snapToGrid/>
          <w:color w:val="auto"/>
          <w:spacing w:val="0"/>
          <w:w w:val="100"/>
          <w:kern w:val="0"/>
          <w:position w:val="0"/>
          <w:highlight w:val="none"/>
        </w:rPr>
        <w:t>（1）废气排放口要求</w:t>
      </w:r>
    </w:p>
    <w:p w14:paraId="6BFFE47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highlight w:val="none"/>
        </w:rPr>
      </w:pPr>
      <w:r>
        <w:rPr>
          <w:rFonts w:hint="default" w:ascii="Times New Roman" w:hAnsi="Times New Roman" w:eastAsia="宋体" w:cs="Times New Roman"/>
          <w:caps w:val="0"/>
          <w:snapToGrid/>
          <w:color w:val="auto"/>
          <w:spacing w:val="0"/>
          <w:w w:val="100"/>
          <w:kern w:val="0"/>
          <w:position w:val="0"/>
          <w:highlight w:val="none"/>
        </w:rPr>
        <w:t>废气的进气口及排气口均应设置便于采样、监测的采样口和监测平台，设置直径不小于75mm的采样口。</w:t>
      </w:r>
    </w:p>
    <w:p w14:paraId="6D43F42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highlight w:val="none"/>
        </w:rPr>
      </w:pPr>
      <w:r>
        <w:rPr>
          <w:rFonts w:hint="default" w:ascii="Times New Roman" w:hAnsi="Times New Roman" w:eastAsia="宋体" w:cs="Times New Roman"/>
          <w:caps w:val="0"/>
          <w:snapToGrid/>
          <w:color w:val="auto"/>
          <w:spacing w:val="0"/>
          <w:w w:val="100"/>
          <w:kern w:val="0"/>
          <w:position w:val="0"/>
          <w:highlight w:val="none"/>
        </w:rPr>
        <w:t>（2）废水排放口要求</w:t>
      </w:r>
    </w:p>
    <w:p w14:paraId="5B9A298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highlight w:val="none"/>
          <w:lang w:eastAsia="zh-CN"/>
        </w:rPr>
      </w:pPr>
      <w:r>
        <w:rPr>
          <w:rFonts w:hint="default" w:ascii="Times New Roman" w:hAnsi="Times New Roman" w:eastAsia="宋体" w:cs="Times New Roman"/>
          <w:caps w:val="0"/>
          <w:snapToGrid/>
          <w:color w:val="auto"/>
          <w:spacing w:val="0"/>
          <w:w w:val="100"/>
          <w:kern w:val="0"/>
          <w:position w:val="0"/>
          <w:highlight w:val="none"/>
        </w:rPr>
        <w:t>废水总排口要按照要求设置排污口</w:t>
      </w:r>
      <w:r>
        <w:rPr>
          <w:rFonts w:hint="default" w:ascii="Times New Roman" w:hAnsi="Times New Roman" w:eastAsia="宋体" w:cs="Times New Roman"/>
          <w:caps w:val="0"/>
          <w:snapToGrid/>
          <w:color w:val="auto"/>
          <w:spacing w:val="0"/>
          <w:w w:val="100"/>
          <w:kern w:val="0"/>
          <w:position w:val="0"/>
          <w:highlight w:val="none"/>
          <w:lang w:eastAsia="zh-CN"/>
        </w:rPr>
        <w:t>，</w:t>
      </w:r>
      <w:r>
        <w:rPr>
          <w:rFonts w:hint="default" w:ascii="Times New Roman" w:hAnsi="Times New Roman" w:eastAsia="宋体" w:cs="Times New Roman"/>
          <w:caps w:val="0"/>
          <w:snapToGrid/>
          <w:color w:val="auto"/>
          <w:spacing w:val="0"/>
          <w:w w:val="100"/>
          <w:kern w:val="0"/>
          <w:position w:val="0"/>
          <w:highlight w:val="none"/>
        </w:rPr>
        <w:t>并按照要求安装三角堰、矩形堰等测流装置等。</w:t>
      </w:r>
    </w:p>
    <w:p w14:paraId="72E6FC5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highlight w:val="none"/>
        </w:rPr>
      </w:pPr>
      <w:r>
        <w:rPr>
          <w:rFonts w:hint="default" w:ascii="Times New Roman" w:hAnsi="Times New Roman" w:eastAsia="宋体" w:cs="Times New Roman"/>
          <w:caps w:val="0"/>
          <w:snapToGrid/>
          <w:color w:val="auto"/>
          <w:spacing w:val="0"/>
          <w:w w:val="100"/>
          <w:kern w:val="0"/>
          <w:position w:val="0"/>
          <w:highlight w:val="none"/>
        </w:rPr>
        <w:t>（3）设置标识牌</w:t>
      </w:r>
    </w:p>
    <w:p w14:paraId="0CA4418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highlight w:val="none"/>
          <w:lang w:val="en-US" w:eastAsia="zh-CN"/>
        </w:rPr>
      </w:pPr>
      <w:r>
        <w:rPr>
          <w:rFonts w:hint="default" w:ascii="Times New Roman" w:hAnsi="Times New Roman" w:eastAsia="宋体" w:cs="Times New Roman"/>
          <w:caps w:val="0"/>
          <w:snapToGrid/>
          <w:color w:val="auto"/>
          <w:spacing w:val="0"/>
          <w:w w:val="100"/>
          <w:kern w:val="0"/>
          <w:position w:val="0"/>
          <w:highlight w:val="none"/>
        </w:rPr>
        <w:t>污染物排放口的环境保护图形标志牌应设置在靠近采样点的醒目处，标志牌设置高度为其上缘距地面2m。排污口附近1m范围内有建筑物的，设平面式标志牌，无建筑物设立式标志牌。规范化排污口的有关设置（如图形标志牌、计量装置、监控装置等）</w:t>
      </w:r>
      <w:r>
        <w:rPr>
          <w:rFonts w:hint="default" w:ascii="Times New Roman" w:hAnsi="Times New Roman" w:eastAsia="宋体" w:cs="Times New Roman"/>
          <w:caps w:val="0"/>
          <w:snapToGrid/>
          <w:color w:val="auto"/>
          <w:spacing w:val="0"/>
          <w:w w:val="100"/>
          <w:kern w:val="0"/>
          <w:position w:val="0"/>
          <w:highlight w:val="none"/>
          <w:lang w:eastAsia="zh-CN"/>
        </w:rPr>
        <w:t>属于</w:t>
      </w:r>
      <w:r>
        <w:rPr>
          <w:rFonts w:hint="default" w:ascii="Times New Roman" w:hAnsi="Times New Roman" w:eastAsia="宋体" w:cs="Times New Roman"/>
          <w:caps w:val="0"/>
          <w:snapToGrid/>
          <w:color w:val="auto"/>
          <w:spacing w:val="0"/>
          <w:w w:val="100"/>
          <w:kern w:val="0"/>
          <w:position w:val="0"/>
          <w:highlight w:val="none"/>
        </w:rPr>
        <w:t>生态环境保护设施，排污单位必须负责日常的维护保养，任何单位和个人不得擅自拆除。</w:t>
      </w:r>
      <w:r>
        <w:rPr>
          <w:rFonts w:hint="default" w:ascii="Times New Roman" w:hAnsi="Times New Roman" w:eastAsia="宋体" w:cs="Times New Roman"/>
          <w:caps w:val="0"/>
          <w:snapToGrid/>
          <w:color w:val="auto"/>
          <w:spacing w:val="0"/>
          <w:w w:val="100"/>
          <w:kern w:val="0"/>
          <w:position w:val="0"/>
          <w:highlight w:val="none"/>
          <w:lang w:val="en-US" w:eastAsia="zh-CN"/>
        </w:rPr>
        <w:t>废气排放口设置示例见图8.</w:t>
      </w:r>
      <w:r>
        <w:rPr>
          <w:rFonts w:hint="eastAsia" w:ascii="Times New Roman" w:hAnsi="Times New Roman" w:eastAsia="宋体" w:cs="Times New Roman"/>
          <w:caps w:val="0"/>
          <w:snapToGrid/>
          <w:color w:val="auto"/>
          <w:spacing w:val="0"/>
          <w:w w:val="100"/>
          <w:kern w:val="0"/>
          <w:position w:val="0"/>
          <w:highlight w:val="none"/>
          <w:lang w:val="en-US" w:eastAsia="zh-CN"/>
        </w:rPr>
        <w:t>6</w:t>
      </w:r>
      <w:r>
        <w:rPr>
          <w:rFonts w:hint="eastAsia" w:cs="Times New Roman"/>
          <w:caps w:val="0"/>
          <w:snapToGrid/>
          <w:color w:val="auto"/>
          <w:spacing w:val="0"/>
          <w:w w:val="100"/>
          <w:kern w:val="0"/>
          <w:position w:val="0"/>
          <w:highlight w:val="none"/>
          <w:lang w:val="en-US" w:eastAsia="zh-CN"/>
        </w:rPr>
        <w:t>.4</w:t>
      </w:r>
      <w:r>
        <w:rPr>
          <w:rFonts w:hint="default" w:ascii="Times New Roman" w:hAnsi="Times New Roman" w:eastAsia="宋体" w:cs="Times New Roman"/>
          <w:caps w:val="0"/>
          <w:snapToGrid/>
          <w:color w:val="auto"/>
          <w:spacing w:val="0"/>
          <w:w w:val="100"/>
          <w:kern w:val="0"/>
          <w:position w:val="0"/>
          <w:highlight w:val="none"/>
          <w:lang w:val="en-US" w:eastAsia="zh-CN"/>
        </w:rPr>
        <w:t>-1。</w:t>
      </w:r>
    </w:p>
    <w:p w14:paraId="275408A0">
      <w:pPr>
        <w:pStyle w:val="53"/>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b/>
          <w:bCs/>
          <w:color w:val="auto"/>
          <w:spacing w:val="0"/>
          <w:w w:val="100"/>
          <w:position w:val="0"/>
          <w:sz w:val="24"/>
          <w:szCs w:val="24"/>
          <w:highlight w:val="none"/>
          <w:lang w:val="en-US" w:eastAsia="zh-CN" w:bidi="en-US"/>
        </w:rPr>
      </w:pPr>
      <w:r>
        <w:rPr>
          <w:rFonts w:hint="default" w:ascii="Times New Roman" w:hAnsi="Times New Roman" w:eastAsia="宋体" w:cs="Times New Roman"/>
          <w:color w:val="auto"/>
          <w:spacing w:val="0"/>
          <w:w w:val="100"/>
          <w:position w:val="0"/>
          <w:sz w:val="24"/>
          <w:szCs w:val="24"/>
          <w:highlight w:val="none"/>
          <w:vertAlign w:val="baseline"/>
          <w:lang w:eastAsia="zh-CN" w:bidi="en-US"/>
        </w:rPr>
        <w:drawing>
          <wp:inline distT="0" distB="0" distL="114300" distR="114300">
            <wp:extent cx="2200910" cy="1800225"/>
            <wp:effectExtent l="0" t="0" r="8890" b="9525"/>
            <wp:docPr id="149" name="图片 149" descr="1744088801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9" descr="1744088801603"/>
                    <pic:cNvPicPr>
                      <a:picLocks noChangeAspect="1"/>
                    </pic:cNvPicPr>
                  </pic:nvPicPr>
                  <pic:blipFill>
                    <a:blip r:embed="rId40"/>
                    <a:stretch>
                      <a:fillRect/>
                    </a:stretch>
                  </pic:blipFill>
                  <pic:spPr>
                    <a:xfrm>
                      <a:off x="0" y="0"/>
                      <a:ext cx="2200910" cy="1800225"/>
                    </a:xfrm>
                    <a:prstGeom prst="rect">
                      <a:avLst/>
                    </a:prstGeom>
                  </pic:spPr>
                </pic:pic>
              </a:graphicData>
            </a:graphic>
          </wp:inline>
        </w:drawing>
      </w:r>
    </w:p>
    <w:p w14:paraId="66D39B72">
      <w:pPr>
        <w:pStyle w:val="33"/>
        <w:keepNext w:val="0"/>
        <w:keepLines w:val="0"/>
        <w:pageBreakBefore w:val="0"/>
        <w:widowControl w:val="0"/>
        <w:kinsoku/>
        <w:wordWrap/>
        <w:overflowPunct/>
        <w:topLinePunct w:val="0"/>
        <w:autoSpaceDE/>
        <w:autoSpaceDN/>
        <w:bidi w:val="0"/>
        <w:rPr>
          <w:rFonts w:hint="default"/>
          <w:color w:val="auto"/>
          <w:spacing w:val="0"/>
          <w:w w:val="100"/>
          <w:position w:val="0"/>
          <w:lang w:val="en-US" w:eastAsia="zh-CN"/>
        </w:rPr>
      </w:pPr>
      <w:r>
        <w:rPr>
          <w:rFonts w:hint="default"/>
          <w:color w:val="auto"/>
          <w:spacing w:val="0"/>
          <w:w w:val="100"/>
          <w:position w:val="0"/>
          <w:lang w:val="en-US" w:eastAsia="zh-CN"/>
        </w:rPr>
        <w:t>图8.</w:t>
      </w:r>
      <w:r>
        <w:rPr>
          <w:rFonts w:hint="eastAsia"/>
          <w:color w:val="auto"/>
          <w:spacing w:val="0"/>
          <w:w w:val="100"/>
          <w:position w:val="0"/>
          <w:lang w:val="en-US" w:eastAsia="zh-CN"/>
        </w:rPr>
        <w:t>6.4</w:t>
      </w:r>
      <w:r>
        <w:rPr>
          <w:rFonts w:hint="default"/>
          <w:color w:val="auto"/>
          <w:spacing w:val="0"/>
          <w:w w:val="100"/>
          <w:position w:val="0"/>
          <w:lang w:val="en-US" w:eastAsia="zh-CN"/>
        </w:rPr>
        <w:t>-1  废气监测点位信息标志牌示例</w:t>
      </w:r>
    </w:p>
    <w:bookmarkEnd w:id="933"/>
    <w:bookmarkEnd w:id="934"/>
    <w:bookmarkEnd w:id="935"/>
    <w:p w14:paraId="2B1AA3B1">
      <w:pPr>
        <w:pStyle w:val="3"/>
        <w:keepNext w:val="0"/>
        <w:keepLines w:val="0"/>
        <w:pageBreakBefore w:val="0"/>
        <w:widowControl w:val="0"/>
        <w:kinsoku/>
        <w:wordWrap/>
        <w:overflowPunct/>
        <w:topLinePunct w:val="0"/>
        <w:autoSpaceDE/>
        <w:autoSpaceDN/>
        <w:bidi w:val="0"/>
        <w:adjustRightInd/>
        <w:snapToGrid/>
        <w:rPr>
          <w:rFonts w:hint="default" w:eastAsia="宋体"/>
          <w:color w:val="auto"/>
          <w:spacing w:val="0"/>
          <w:w w:val="100"/>
          <w:position w:val="0"/>
          <w:highlight w:val="none"/>
          <w:lang w:val="en-US" w:eastAsia="zh-CN"/>
        </w:rPr>
      </w:pPr>
      <w:bookmarkStart w:id="936" w:name="_Toc23551"/>
      <w:r>
        <w:rPr>
          <w:rFonts w:hint="default" w:eastAsia="宋体"/>
          <w:color w:val="auto"/>
          <w:spacing w:val="0"/>
          <w:w w:val="100"/>
          <w:position w:val="0"/>
          <w:highlight w:val="none"/>
          <w:lang w:val="en-US" w:eastAsia="zh-CN"/>
        </w:rPr>
        <w:t>8.</w:t>
      </w:r>
      <w:r>
        <w:rPr>
          <w:rFonts w:hint="eastAsia" w:eastAsia="宋体"/>
          <w:color w:val="auto"/>
          <w:spacing w:val="0"/>
          <w:w w:val="100"/>
          <w:position w:val="0"/>
          <w:highlight w:val="none"/>
          <w:lang w:val="en-US" w:eastAsia="zh"/>
        </w:rPr>
        <w:t>7</w:t>
      </w:r>
      <w:r>
        <w:rPr>
          <w:rFonts w:hint="eastAsia" w:eastAsia="宋体"/>
          <w:color w:val="auto"/>
          <w:spacing w:val="0"/>
          <w:w w:val="100"/>
          <w:position w:val="0"/>
          <w:highlight w:val="none"/>
          <w:lang w:val="en-US" w:eastAsia="zh-CN"/>
        </w:rPr>
        <w:t>与排污许可证制度衔接的要求</w:t>
      </w:r>
      <w:bookmarkEnd w:id="936"/>
    </w:p>
    <w:p w14:paraId="0050FAB6">
      <w:pPr>
        <w:keepNext w:val="0"/>
        <w:keepLines w:val="0"/>
        <w:pageBreakBefore w:val="0"/>
        <w:widowControl w:val="0"/>
        <w:suppressLineNumbers w:val="0"/>
        <w:tabs>
          <w:tab w:val="left" w:pos="0"/>
        </w:tabs>
        <w:kinsoku/>
        <w:wordWrap/>
        <w:overflowPunct/>
        <w:topLinePunct w:val="0"/>
        <w:autoSpaceDE/>
        <w:autoSpaceDN/>
        <w:bidi w:val="0"/>
        <w:adjustRightInd w:val="0"/>
        <w:snapToGrid w:val="0"/>
        <w:spacing w:before="0" w:beforeAutospacing="0" w:after="0" w:afterAutospacing="0" w:line="360" w:lineRule="auto"/>
        <w:ind w:left="0" w:right="0" w:rightChars="0" w:firstLine="480" w:firstLineChars="200"/>
        <w:jc w:val="both"/>
        <w:textAlignment w:val="baseline"/>
        <w:rPr>
          <w:rFonts w:hint="default" w:ascii="Times New Roman" w:hAnsi="Times New Roman" w:eastAsia="宋体" w:cs="Times New Roman"/>
          <w:color w:val="auto"/>
          <w:spacing w:val="0"/>
          <w:w w:val="100"/>
          <w:kern w:val="2"/>
          <w:position w:val="0"/>
          <w:sz w:val="24"/>
          <w:szCs w:val="24"/>
        </w:rPr>
      </w:pPr>
      <w:r>
        <w:rPr>
          <w:rFonts w:hint="eastAsia" w:ascii="宋体" w:hAnsi="宋体" w:eastAsia="宋体" w:cs="宋体"/>
          <w:snapToGrid/>
          <w:color w:val="auto"/>
          <w:spacing w:val="0"/>
          <w:w w:val="100"/>
          <w:kern w:val="2"/>
          <w:position w:val="0"/>
          <w:sz w:val="24"/>
          <w:szCs w:val="24"/>
          <w:lang w:val="en-US" w:eastAsia="zh-CN" w:bidi="ar"/>
        </w:rPr>
        <w:t>根据《关于做好环境影响评价制度与排污许可制衔接相关工作的通知》（环办环评</w:t>
      </w:r>
      <w:r>
        <w:rPr>
          <w:rFonts w:hint="default" w:ascii="Times New Roman" w:hAnsi="Times New Roman" w:eastAsia="宋体" w:cs="Times New Roman"/>
          <w:snapToGrid/>
          <w:color w:val="auto"/>
          <w:spacing w:val="0"/>
          <w:w w:val="100"/>
          <w:kern w:val="2"/>
          <w:position w:val="0"/>
          <w:sz w:val="24"/>
          <w:szCs w:val="24"/>
          <w:lang w:val="en-US" w:eastAsia="zh-CN" w:bidi="ar"/>
        </w:rPr>
        <w:t>[2017]84</w:t>
      </w:r>
      <w:r>
        <w:rPr>
          <w:rFonts w:hint="eastAsia" w:ascii="宋体" w:hAnsi="宋体" w:eastAsia="宋体" w:cs="宋体"/>
          <w:snapToGrid/>
          <w:color w:val="auto"/>
          <w:spacing w:val="0"/>
          <w:w w:val="100"/>
          <w:kern w:val="2"/>
          <w:position w:val="0"/>
          <w:sz w:val="24"/>
          <w:szCs w:val="24"/>
          <w:lang w:val="en-US" w:eastAsia="zh-CN" w:bidi="ar"/>
        </w:rPr>
        <w:t>号）提出：依据国家或地方污染物排放标准、环境质量标准和总量控制要求等管理规定，按照污染源源强核算技术指南、环境影响评价要素导则等技术文件，严格核定排放口数量、位置以及每个排放口的污染物种类、允许排放浓度和允许排放量、排放方式、排放去向、自行监测计划等与污染物排放相关的主要内容。</w:t>
      </w:r>
    </w:p>
    <w:p w14:paraId="58571827">
      <w:pPr>
        <w:pStyle w:val="4"/>
        <w:keepNext w:val="0"/>
        <w:keepLines w:val="0"/>
        <w:pageBreakBefore w:val="0"/>
        <w:widowControl w:val="0"/>
        <w:suppressLineNumbers w:val="0"/>
        <w:tabs>
          <w:tab w:val="left" w:pos="0"/>
        </w:tabs>
        <w:kinsoku/>
        <w:wordWrap/>
        <w:overflowPunct/>
        <w:topLinePunct w:val="0"/>
        <w:autoSpaceDE/>
        <w:autoSpaceDN/>
        <w:bidi w:val="0"/>
        <w:adjustRightInd w:val="0"/>
        <w:snapToGrid w:val="0"/>
        <w:spacing w:line="360" w:lineRule="auto"/>
        <w:ind w:left="0" w:leftChars="0" w:right="0" w:rightChars="0" w:firstLine="0" w:firstLineChars="0"/>
        <w:jc w:val="both"/>
        <w:textAlignment w:val="baseline"/>
        <w:rPr>
          <w:rFonts w:hint="default" w:ascii="Times New Roman" w:hAnsi="Times New Roman" w:eastAsia="宋体" w:cstheme="minorBidi"/>
          <w:color w:val="auto"/>
          <w:spacing w:val="0"/>
          <w:w w:val="100"/>
          <w:kern w:val="2"/>
          <w:position w:val="0"/>
          <w:highlight w:val="none"/>
          <w:lang w:val="en-US" w:eastAsia="zh-CN" w:bidi="ar-SA"/>
        </w:rPr>
      </w:pPr>
      <w:r>
        <w:rPr>
          <w:rFonts w:hint="eastAsia" w:ascii="Times New Roman" w:hAnsi="Times New Roman" w:eastAsia="宋体" w:cstheme="minorBidi"/>
          <w:color w:val="auto"/>
          <w:spacing w:val="0"/>
          <w:w w:val="100"/>
          <w:kern w:val="2"/>
          <w:position w:val="0"/>
          <w:highlight w:val="none"/>
          <w:lang w:val="en-US" w:eastAsia="zh" w:bidi="ar-SA"/>
        </w:rPr>
        <w:t>8.7.1</w:t>
      </w:r>
      <w:r>
        <w:rPr>
          <w:rFonts w:hint="eastAsia" w:ascii="Times New Roman" w:hAnsi="Times New Roman" w:eastAsia="宋体" w:cstheme="minorBidi"/>
          <w:color w:val="auto"/>
          <w:spacing w:val="0"/>
          <w:w w:val="100"/>
          <w:kern w:val="2"/>
          <w:position w:val="0"/>
          <w:highlight w:val="none"/>
          <w:lang w:val="en-US" w:eastAsia="zh-CN" w:bidi="ar-SA"/>
        </w:rPr>
        <w:t>落实按证排污责任</w:t>
      </w:r>
    </w:p>
    <w:p w14:paraId="4D44066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color w:val="auto"/>
          <w:spacing w:val="0"/>
          <w:w w:val="100"/>
          <w:kern w:val="2"/>
          <w:position w:val="0"/>
          <w:sz w:val="24"/>
          <w:szCs w:val="24"/>
        </w:rPr>
      </w:pPr>
      <w:r>
        <w:rPr>
          <w:rFonts w:hint="eastAsia" w:ascii="宋体" w:hAnsi="宋体" w:eastAsia="宋体" w:cs="宋体"/>
          <w:snapToGrid/>
          <w:color w:val="auto"/>
          <w:spacing w:val="0"/>
          <w:w w:val="100"/>
          <w:kern w:val="2"/>
          <w:position w:val="0"/>
          <w:sz w:val="24"/>
          <w:szCs w:val="24"/>
          <w:lang w:val="en-US" w:eastAsia="zh-CN" w:bidi="ar"/>
        </w:rPr>
        <w:t>建设单位必须按期持证排污、按证排污，不得无证排污，及时申领排污许可证，对申请材料的真实性、准确性和完整性承担法律责任，承诺按照排污许可证的规定排污并严格执行；落实污染物排放控制措施和其他各项环境管理要求，确保污染物排放种类、浓度和排放量等达到许可要求；明确单位负责人和相关人员环境保护责任，不断提高污染治理和环境管理水平，自觉接受监督检查。</w:t>
      </w:r>
    </w:p>
    <w:p w14:paraId="4E2BBD8E">
      <w:pPr>
        <w:pStyle w:val="4"/>
        <w:keepNext w:val="0"/>
        <w:keepLines w:val="0"/>
        <w:pageBreakBefore w:val="0"/>
        <w:widowControl w:val="0"/>
        <w:suppressLineNumbers w:val="0"/>
        <w:tabs>
          <w:tab w:val="left" w:pos="0"/>
        </w:tabs>
        <w:kinsoku/>
        <w:wordWrap/>
        <w:overflowPunct/>
        <w:topLinePunct w:val="0"/>
        <w:autoSpaceDE/>
        <w:autoSpaceDN/>
        <w:bidi w:val="0"/>
        <w:adjustRightInd w:val="0"/>
        <w:snapToGrid w:val="0"/>
        <w:spacing w:line="360" w:lineRule="auto"/>
        <w:ind w:left="0" w:leftChars="0" w:right="0" w:rightChars="0" w:firstLine="0" w:firstLineChars="0"/>
        <w:jc w:val="both"/>
        <w:textAlignment w:val="baseline"/>
        <w:rPr>
          <w:rFonts w:hint="default" w:ascii="Times New Roman" w:hAnsi="Times New Roman" w:eastAsia="宋体" w:cstheme="minorBidi"/>
          <w:color w:val="auto"/>
          <w:spacing w:val="0"/>
          <w:w w:val="100"/>
          <w:kern w:val="2"/>
          <w:position w:val="0"/>
          <w:highlight w:val="none"/>
          <w:lang w:val="en-US" w:eastAsia="zh" w:bidi="ar-SA"/>
        </w:rPr>
      </w:pPr>
      <w:r>
        <w:rPr>
          <w:rFonts w:hint="eastAsia" w:ascii="Times New Roman" w:hAnsi="Times New Roman" w:eastAsia="宋体" w:cstheme="minorBidi"/>
          <w:color w:val="auto"/>
          <w:spacing w:val="0"/>
          <w:w w:val="100"/>
          <w:kern w:val="2"/>
          <w:position w:val="0"/>
          <w:highlight w:val="none"/>
          <w:lang w:val="en-US" w:eastAsia="zh" w:bidi="ar-SA"/>
        </w:rPr>
        <w:t>8.7.2</w:t>
      </w:r>
      <w:r>
        <w:rPr>
          <w:rFonts w:hint="eastAsia" w:ascii="Times New Roman" w:hAnsi="Times New Roman" w:eastAsia="宋体" w:cstheme="minorBidi"/>
          <w:color w:val="auto"/>
          <w:spacing w:val="0"/>
          <w:w w:val="100"/>
          <w:kern w:val="2"/>
          <w:position w:val="0"/>
          <w:highlight w:val="none"/>
          <w:lang w:val="en-US" w:eastAsia="zh-CN" w:bidi="ar-SA"/>
        </w:rPr>
        <w:t>排污许可证执行要求</w:t>
      </w:r>
    </w:p>
    <w:p w14:paraId="36AD5C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color w:val="auto"/>
          <w:spacing w:val="0"/>
          <w:w w:val="100"/>
          <w:kern w:val="2"/>
          <w:position w:val="0"/>
          <w:sz w:val="24"/>
          <w:szCs w:val="24"/>
        </w:rPr>
      </w:pPr>
      <w:r>
        <w:rPr>
          <w:rFonts w:hint="eastAsia" w:ascii="宋体" w:hAnsi="宋体" w:eastAsia="宋体" w:cs="宋体"/>
          <w:snapToGrid/>
          <w:color w:val="auto"/>
          <w:spacing w:val="0"/>
          <w:w w:val="100"/>
          <w:kern w:val="2"/>
          <w:position w:val="0"/>
          <w:sz w:val="24"/>
          <w:szCs w:val="24"/>
          <w:lang w:val="en-US" w:eastAsia="zh-CN" w:bidi="ar"/>
        </w:rPr>
        <w:t>排污单位应当按照排污许可证规定的内容、频次和时间要求，向审批部门提交排污许可证执行报告，如实报告污染物排放行为、排放浓度、排放量等。</w:t>
      </w:r>
    </w:p>
    <w:p w14:paraId="09A4041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color w:val="auto"/>
          <w:spacing w:val="0"/>
          <w:w w:val="100"/>
          <w:kern w:val="2"/>
          <w:position w:val="0"/>
          <w:sz w:val="24"/>
          <w:szCs w:val="24"/>
        </w:rPr>
      </w:pPr>
      <w:r>
        <w:rPr>
          <w:rFonts w:hint="eastAsia" w:ascii="宋体" w:hAnsi="宋体" w:eastAsia="宋体" w:cs="宋体"/>
          <w:snapToGrid/>
          <w:color w:val="auto"/>
          <w:spacing w:val="0"/>
          <w:w w:val="100"/>
          <w:kern w:val="2"/>
          <w:position w:val="0"/>
          <w:sz w:val="24"/>
          <w:szCs w:val="24"/>
          <w:lang w:val="en-US" w:eastAsia="zh-CN" w:bidi="ar"/>
        </w:rPr>
        <w:t>排污许可证有效期内发生停产的，排污单位应当在排污许可证执行报告中如实报告污染物排放变化情况并说明原因。</w:t>
      </w:r>
    </w:p>
    <w:p w14:paraId="4D8E51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color w:val="auto"/>
          <w:spacing w:val="0"/>
          <w:w w:val="100"/>
          <w:kern w:val="2"/>
          <w:position w:val="0"/>
          <w:sz w:val="24"/>
          <w:szCs w:val="24"/>
        </w:rPr>
      </w:pPr>
      <w:r>
        <w:rPr>
          <w:rFonts w:hint="eastAsia" w:ascii="宋体" w:hAnsi="宋体" w:eastAsia="宋体" w:cs="宋体"/>
          <w:snapToGrid/>
          <w:color w:val="auto"/>
          <w:spacing w:val="0"/>
          <w:w w:val="100"/>
          <w:kern w:val="2"/>
          <w:position w:val="0"/>
          <w:sz w:val="24"/>
          <w:szCs w:val="24"/>
          <w:lang w:val="en-US" w:eastAsia="zh-CN" w:bidi="ar"/>
        </w:rPr>
        <w:t>排污许可证执行报告中报告的污染物排放量可以作为年度生态环境统计、重点污染物排放总量考核、污染源排放清单编制的依据。</w:t>
      </w:r>
    </w:p>
    <w:p w14:paraId="4F99CD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color w:val="auto"/>
          <w:spacing w:val="0"/>
          <w:w w:val="100"/>
          <w:kern w:val="2"/>
          <w:position w:val="0"/>
          <w:sz w:val="24"/>
          <w:szCs w:val="24"/>
        </w:rPr>
      </w:pPr>
      <w:r>
        <w:rPr>
          <w:rFonts w:hint="eastAsia" w:ascii="宋体" w:hAnsi="宋体" w:eastAsia="宋体" w:cs="宋体"/>
          <w:snapToGrid/>
          <w:color w:val="auto"/>
          <w:spacing w:val="0"/>
          <w:w w:val="100"/>
          <w:kern w:val="2"/>
          <w:position w:val="0"/>
          <w:sz w:val="24"/>
          <w:szCs w:val="24"/>
          <w:lang w:val="en-US" w:eastAsia="zh-CN" w:bidi="ar"/>
        </w:rPr>
        <w:t>排污单位应当按照排污许可证规定，如实在全国排污许可证管理信息平台上公开污染物排放信息。</w:t>
      </w:r>
    </w:p>
    <w:p w14:paraId="57E41BD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color w:val="auto"/>
          <w:spacing w:val="0"/>
          <w:w w:val="100"/>
          <w:kern w:val="2"/>
          <w:position w:val="0"/>
          <w:sz w:val="24"/>
          <w:szCs w:val="24"/>
        </w:rPr>
      </w:pPr>
      <w:r>
        <w:rPr>
          <w:rFonts w:hint="eastAsia" w:ascii="宋体" w:hAnsi="宋体" w:eastAsia="宋体" w:cs="宋体"/>
          <w:snapToGrid/>
          <w:color w:val="auto"/>
          <w:spacing w:val="0"/>
          <w:w w:val="100"/>
          <w:kern w:val="2"/>
          <w:position w:val="0"/>
          <w:sz w:val="24"/>
          <w:szCs w:val="24"/>
          <w:lang w:val="en-US" w:eastAsia="zh-CN" w:bidi="ar"/>
        </w:rPr>
        <w:t>污染物排放信息应当包括污染物排放种类、排放浓度和排放量，以及污染防治设施的建设运行情况、排污许可证执行报告、自行监测数据等；其中，水污染物排入市政排水管网的，还应当包括污水接入市政排水管网位置、排放方式等信息。</w:t>
      </w:r>
    </w:p>
    <w:p w14:paraId="1121D4C9">
      <w:pPr>
        <w:pStyle w:val="4"/>
        <w:keepNext w:val="0"/>
        <w:keepLines w:val="0"/>
        <w:pageBreakBefore w:val="0"/>
        <w:widowControl w:val="0"/>
        <w:suppressLineNumbers w:val="0"/>
        <w:tabs>
          <w:tab w:val="left" w:pos="0"/>
        </w:tabs>
        <w:kinsoku/>
        <w:wordWrap/>
        <w:overflowPunct/>
        <w:topLinePunct w:val="0"/>
        <w:autoSpaceDE/>
        <w:autoSpaceDN/>
        <w:bidi w:val="0"/>
        <w:adjustRightInd w:val="0"/>
        <w:snapToGrid w:val="0"/>
        <w:spacing w:line="360" w:lineRule="auto"/>
        <w:ind w:left="0" w:leftChars="0" w:right="0" w:rightChars="0" w:firstLine="0" w:firstLineChars="0"/>
        <w:jc w:val="both"/>
        <w:textAlignment w:val="baseline"/>
        <w:rPr>
          <w:rFonts w:hint="default" w:ascii="Times New Roman" w:hAnsi="Times New Roman" w:eastAsia="宋体" w:cstheme="minorBidi"/>
          <w:color w:val="auto"/>
          <w:spacing w:val="0"/>
          <w:w w:val="100"/>
          <w:kern w:val="2"/>
          <w:position w:val="0"/>
          <w:highlight w:val="none"/>
          <w:lang w:val="en-US" w:eastAsia="zh" w:bidi="ar-SA"/>
        </w:rPr>
      </w:pPr>
      <w:r>
        <w:rPr>
          <w:rFonts w:hint="eastAsia" w:eastAsia="宋体" w:cstheme="minorBidi"/>
          <w:color w:val="auto"/>
          <w:spacing w:val="0"/>
          <w:w w:val="100"/>
          <w:kern w:val="2"/>
          <w:position w:val="0"/>
          <w:highlight w:val="none"/>
          <w:lang w:val="en-US" w:eastAsia="zh" w:bidi="ar-SA"/>
        </w:rPr>
        <w:t>8.7.3</w:t>
      </w:r>
      <w:r>
        <w:rPr>
          <w:rFonts w:hint="eastAsia" w:ascii="Times New Roman" w:hAnsi="Times New Roman" w:eastAsia="宋体" w:cstheme="minorBidi"/>
          <w:color w:val="auto"/>
          <w:spacing w:val="0"/>
          <w:w w:val="100"/>
          <w:kern w:val="2"/>
          <w:position w:val="0"/>
          <w:highlight w:val="none"/>
          <w:lang w:val="en-US" w:eastAsia="zh-CN" w:bidi="ar-SA"/>
        </w:rPr>
        <w:t>实行自行监测和定期报告制度</w:t>
      </w:r>
    </w:p>
    <w:p w14:paraId="5D724CF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color w:val="auto"/>
          <w:spacing w:val="0"/>
          <w:w w:val="100"/>
          <w:kern w:val="2"/>
          <w:position w:val="0"/>
          <w:sz w:val="24"/>
          <w:szCs w:val="24"/>
        </w:rPr>
      </w:pPr>
      <w:r>
        <w:rPr>
          <w:rFonts w:hint="eastAsia" w:ascii="宋体" w:hAnsi="宋体" w:eastAsia="宋体" w:cs="宋体"/>
          <w:snapToGrid/>
          <w:color w:val="auto"/>
          <w:spacing w:val="0"/>
          <w:w w:val="100"/>
          <w:kern w:val="2"/>
          <w:position w:val="0"/>
          <w:sz w:val="24"/>
          <w:szCs w:val="24"/>
          <w:lang w:val="en-US" w:eastAsia="zh-CN" w:bidi="ar"/>
        </w:rPr>
        <w:t>依法开展自行监测，安装或使用监测设备应符合国家有关环境监测、计量认证规定和技术规范，保障数据合法有效，保证设备正常运行，妥善保存原始记录，建立准确完整的环境管理台账。如实向环境保护部门报告排污许可证执行情况，依法向社会公开污染物排放数据并对数据真实性负责。排放情况与排污许可证要求不符的，应及时向环境保护部门报告。</w:t>
      </w:r>
    </w:p>
    <w:p w14:paraId="3624300D">
      <w:pPr>
        <w:pStyle w:val="4"/>
        <w:keepNext w:val="0"/>
        <w:keepLines w:val="0"/>
        <w:pageBreakBefore w:val="0"/>
        <w:widowControl w:val="0"/>
        <w:suppressLineNumbers w:val="0"/>
        <w:tabs>
          <w:tab w:val="left" w:pos="0"/>
        </w:tabs>
        <w:kinsoku/>
        <w:wordWrap/>
        <w:overflowPunct/>
        <w:topLinePunct w:val="0"/>
        <w:autoSpaceDE/>
        <w:autoSpaceDN/>
        <w:bidi w:val="0"/>
        <w:adjustRightInd w:val="0"/>
        <w:snapToGrid w:val="0"/>
        <w:spacing w:line="360" w:lineRule="auto"/>
        <w:ind w:left="0" w:leftChars="0" w:right="0" w:rightChars="0" w:firstLine="0" w:firstLineChars="0"/>
        <w:jc w:val="both"/>
        <w:textAlignment w:val="baseline"/>
        <w:rPr>
          <w:rFonts w:hint="default" w:ascii="Times New Roman" w:hAnsi="Times New Roman" w:eastAsia="宋体" w:cstheme="minorBidi"/>
          <w:color w:val="auto"/>
          <w:spacing w:val="0"/>
          <w:w w:val="100"/>
          <w:kern w:val="2"/>
          <w:position w:val="0"/>
          <w:highlight w:val="none"/>
          <w:lang w:val="en-US" w:eastAsia="zh-CN" w:bidi="ar-SA"/>
        </w:rPr>
      </w:pPr>
      <w:r>
        <w:rPr>
          <w:rFonts w:hint="eastAsia" w:eastAsia="宋体" w:cstheme="minorBidi"/>
          <w:color w:val="auto"/>
          <w:spacing w:val="0"/>
          <w:w w:val="100"/>
          <w:kern w:val="2"/>
          <w:position w:val="0"/>
          <w:highlight w:val="none"/>
          <w:lang w:val="en-US" w:eastAsia="zh" w:bidi="ar-SA"/>
        </w:rPr>
        <w:t>8.7.4</w:t>
      </w:r>
      <w:r>
        <w:rPr>
          <w:rFonts w:hint="eastAsia" w:ascii="Times New Roman" w:hAnsi="Times New Roman" w:eastAsia="宋体" w:cstheme="minorBidi"/>
          <w:color w:val="auto"/>
          <w:spacing w:val="0"/>
          <w:w w:val="100"/>
          <w:kern w:val="2"/>
          <w:position w:val="0"/>
          <w:highlight w:val="none"/>
          <w:lang w:val="en-US" w:eastAsia="zh-CN" w:bidi="ar-SA"/>
        </w:rPr>
        <w:t>排污许可证管理</w:t>
      </w:r>
    </w:p>
    <w:p w14:paraId="0FA479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baseline"/>
        <w:rPr>
          <w:rFonts w:hint="default" w:ascii="Times New Roman" w:hAnsi="Times New Roman" w:cs="Times New Roman"/>
          <w:snapToGrid/>
          <w:color w:val="auto"/>
          <w:spacing w:val="0"/>
          <w:w w:val="100"/>
          <w:kern w:val="2"/>
          <w:position w:val="0"/>
          <w:sz w:val="24"/>
          <w:szCs w:val="24"/>
          <w:lang w:val="en-US" w:eastAsia="zh-CN" w:bidi="ar"/>
        </w:rPr>
      </w:pPr>
      <w:r>
        <w:rPr>
          <w:rFonts w:hint="default" w:ascii="Times New Roman" w:hAnsi="Times New Roman" w:eastAsia="宋体" w:cs="Times New Roman"/>
          <w:snapToGrid/>
          <w:color w:val="auto"/>
          <w:spacing w:val="0"/>
          <w:w w:val="100"/>
          <w:kern w:val="2"/>
          <w:position w:val="0"/>
          <w:sz w:val="24"/>
          <w:szCs w:val="24"/>
          <w:lang w:val="en-US" w:eastAsia="zh" w:bidi="ar"/>
        </w:rPr>
        <w:t>（1）</w:t>
      </w:r>
      <w:r>
        <w:rPr>
          <w:rFonts w:hint="default" w:ascii="Times New Roman" w:hAnsi="Times New Roman" w:eastAsia="宋体" w:cs="Times New Roman"/>
          <w:snapToGrid/>
          <w:color w:val="auto"/>
          <w:spacing w:val="0"/>
          <w:w w:val="100"/>
          <w:kern w:val="2"/>
          <w:position w:val="0"/>
          <w:sz w:val="24"/>
          <w:szCs w:val="24"/>
          <w:lang w:val="en-US" w:eastAsia="zh-CN" w:bidi="ar"/>
        </w:rPr>
        <w:t>排污许可证的</w:t>
      </w:r>
      <w:r>
        <w:rPr>
          <w:rFonts w:hint="default" w:ascii="Times New Roman" w:hAnsi="Times New Roman" w:cs="Times New Roman"/>
          <w:snapToGrid/>
          <w:color w:val="auto"/>
          <w:spacing w:val="0"/>
          <w:w w:val="100"/>
          <w:kern w:val="2"/>
          <w:position w:val="0"/>
          <w:sz w:val="24"/>
          <w:szCs w:val="24"/>
          <w:lang w:val="en-US" w:eastAsia="zh-CN" w:bidi="ar"/>
        </w:rPr>
        <w:t>申请</w:t>
      </w:r>
    </w:p>
    <w:p w14:paraId="186CD72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rPr>
          <w:rFonts w:hint="default" w:ascii="Times New Roman" w:hAnsi="Times New Roman" w:cs="Times New Roman"/>
          <w:color w:val="auto"/>
          <w:spacing w:val="0"/>
          <w:w w:val="100"/>
          <w:kern w:val="24"/>
          <w:position w:val="0"/>
          <w:sz w:val="24"/>
          <w:highlight w:val="none"/>
        </w:rPr>
      </w:pPr>
      <w:r>
        <w:rPr>
          <w:rFonts w:hint="default" w:ascii="Times New Roman" w:hAnsi="Times New Roman" w:cs="Times New Roman"/>
          <w:color w:val="auto"/>
          <w:spacing w:val="0"/>
          <w:w w:val="100"/>
          <w:kern w:val="24"/>
          <w:position w:val="0"/>
          <w:sz w:val="24"/>
          <w:highlight w:val="none"/>
        </w:rPr>
        <w:t>根据《固定污染源排污许可分类管理名录（2019年版）》，本项目为</w:t>
      </w:r>
      <w:r>
        <w:rPr>
          <w:rFonts w:hint="eastAsia" w:cs="Times New Roman"/>
          <w:color w:val="auto"/>
          <w:spacing w:val="0"/>
          <w:w w:val="100"/>
          <w:kern w:val="24"/>
          <w:position w:val="0"/>
          <w:sz w:val="24"/>
          <w:highlight w:val="none"/>
          <w:lang w:val="en-US" w:eastAsia="zh-CN"/>
        </w:rPr>
        <w:t>简化</w:t>
      </w:r>
      <w:r>
        <w:rPr>
          <w:rFonts w:hint="default" w:ascii="Times New Roman" w:hAnsi="Times New Roman" w:cs="Times New Roman"/>
          <w:color w:val="auto"/>
          <w:spacing w:val="0"/>
          <w:w w:val="100"/>
          <w:kern w:val="24"/>
          <w:position w:val="0"/>
          <w:sz w:val="24"/>
          <w:highlight w:val="none"/>
        </w:rPr>
        <w:t>管理，《排污许可管理办法（试行）》（2019年修订）要求，建设单位应在项目建设完成投入运行之前按照要求</w:t>
      </w:r>
      <w:r>
        <w:rPr>
          <w:rFonts w:hint="eastAsia" w:cs="Times New Roman"/>
          <w:color w:val="auto"/>
          <w:spacing w:val="0"/>
          <w:w w:val="100"/>
          <w:kern w:val="24"/>
          <w:position w:val="0"/>
          <w:sz w:val="24"/>
          <w:highlight w:val="none"/>
          <w:lang w:val="en-US" w:eastAsia="zh-CN"/>
        </w:rPr>
        <w:t>申请</w:t>
      </w:r>
      <w:r>
        <w:rPr>
          <w:rFonts w:hint="default" w:ascii="Times New Roman" w:hAnsi="Times New Roman" w:cs="Times New Roman"/>
          <w:color w:val="auto"/>
          <w:spacing w:val="0"/>
          <w:w w:val="100"/>
          <w:kern w:val="24"/>
          <w:position w:val="0"/>
          <w:sz w:val="24"/>
          <w:highlight w:val="none"/>
        </w:rPr>
        <w:t>排污许可</w:t>
      </w:r>
      <w:r>
        <w:rPr>
          <w:rFonts w:hint="eastAsia" w:cs="Times New Roman"/>
          <w:color w:val="auto"/>
          <w:spacing w:val="0"/>
          <w:w w:val="100"/>
          <w:kern w:val="24"/>
          <w:position w:val="0"/>
          <w:sz w:val="24"/>
          <w:highlight w:val="none"/>
          <w:lang w:val="en-US" w:eastAsia="zh-CN"/>
        </w:rPr>
        <w:t>证</w:t>
      </w:r>
      <w:r>
        <w:rPr>
          <w:rFonts w:hint="default" w:ascii="Times New Roman" w:hAnsi="Times New Roman" w:cs="Times New Roman"/>
          <w:color w:val="auto"/>
          <w:spacing w:val="0"/>
          <w:w w:val="100"/>
          <w:kern w:val="24"/>
          <w:position w:val="0"/>
          <w:sz w:val="24"/>
          <w:highlight w:val="none"/>
        </w:rPr>
        <w:t>，并严格按照排污许可证规定的污染物排放种类、浓度、总量等排污。</w:t>
      </w:r>
    </w:p>
    <w:p w14:paraId="094F694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snapToGrid/>
          <w:color w:val="auto"/>
          <w:spacing w:val="0"/>
          <w:w w:val="100"/>
          <w:kern w:val="2"/>
          <w:position w:val="0"/>
          <w:sz w:val="24"/>
          <w:szCs w:val="24"/>
          <w:lang w:val="en-US" w:eastAsia="zh-CN" w:bidi="ar"/>
        </w:rPr>
      </w:pPr>
      <w:r>
        <w:rPr>
          <w:rFonts w:hint="default" w:ascii="Times New Roman" w:hAnsi="Times New Roman" w:eastAsia="宋体" w:cs="Times New Roman"/>
          <w:snapToGrid/>
          <w:color w:val="auto"/>
          <w:spacing w:val="0"/>
          <w:w w:val="100"/>
          <w:kern w:val="2"/>
          <w:position w:val="0"/>
          <w:sz w:val="24"/>
          <w:szCs w:val="24"/>
          <w:lang w:val="en-US" w:eastAsia="zh-CN" w:bidi="ar"/>
        </w:rPr>
        <w:t>（2）排污许可的变更</w:t>
      </w:r>
    </w:p>
    <w:p w14:paraId="75E489A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color w:val="auto"/>
          <w:spacing w:val="0"/>
          <w:w w:val="100"/>
          <w:kern w:val="2"/>
          <w:position w:val="0"/>
          <w:sz w:val="24"/>
          <w:szCs w:val="24"/>
        </w:rPr>
      </w:pPr>
      <w:r>
        <w:rPr>
          <w:rFonts w:hint="default" w:ascii="Times New Roman" w:hAnsi="Times New Roman" w:eastAsia="宋体" w:cs="Times New Roman"/>
          <w:snapToGrid/>
          <w:color w:val="auto"/>
          <w:spacing w:val="0"/>
          <w:w w:val="100"/>
          <w:kern w:val="2"/>
          <w:position w:val="0"/>
          <w:sz w:val="24"/>
          <w:szCs w:val="24"/>
          <w:lang w:val="en-US" w:eastAsia="zh" w:bidi="ar"/>
        </w:rPr>
        <w:t>1）</w:t>
      </w:r>
      <w:r>
        <w:rPr>
          <w:rFonts w:hint="default" w:ascii="Times New Roman" w:hAnsi="Times New Roman" w:eastAsia="宋体" w:cs="Times New Roman"/>
          <w:snapToGrid/>
          <w:color w:val="auto"/>
          <w:spacing w:val="0"/>
          <w:w w:val="100"/>
          <w:kern w:val="2"/>
          <w:position w:val="0"/>
          <w:sz w:val="24"/>
          <w:szCs w:val="24"/>
          <w:lang w:val="en-US" w:eastAsia="zh-CN" w:bidi="ar"/>
        </w:rPr>
        <w:t>在排污许可证有效期内，建设单位发生以下事项变化的，应当在规定时间内向原核发机关提出变更排污许可证的申请：排污单位名称、注册地址、法定代表人或者实际负责人等正本中载明的基本信息发生变更之日起二十日内。</w:t>
      </w:r>
    </w:p>
    <w:p w14:paraId="52F24FB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color w:val="auto"/>
          <w:spacing w:val="0"/>
          <w:w w:val="100"/>
          <w:kern w:val="2"/>
          <w:position w:val="0"/>
          <w:sz w:val="24"/>
          <w:szCs w:val="24"/>
        </w:rPr>
      </w:pPr>
      <w:r>
        <w:rPr>
          <w:rFonts w:hint="default" w:ascii="Times New Roman" w:hAnsi="Times New Roman" w:eastAsia="宋体" w:cs="Times New Roman"/>
          <w:snapToGrid/>
          <w:color w:val="auto"/>
          <w:spacing w:val="0"/>
          <w:w w:val="100"/>
          <w:kern w:val="2"/>
          <w:position w:val="0"/>
          <w:sz w:val="24"/>
          <w:szCs w:val="24"/>
          <w:lang w:val="en-US" w:eastAsia="zh" w:bidi="ar"/>
        </w:rPr>
        <w:t>2）</w:t>
      </w:r>
      <w:r>
        <w:rPr>
          <w:rFonts w:hint="default" w:ascii="Times New Roman" w:hAnsi="Times New Roman" w:eastAsia="宋体" w:cs="Times New Roman"/>
          <w:snapToGrid/>
          <w:color w:val="auto"/>
          <w:spacing w:val="0"/>
          <w:w w:val="100"/>
          <w:kern w:val="2"/>
          <w:position w:val="0"/>
          <w:sz w:val="24"/>
          <w:szCs w:val="24"/>
          <w:lang w:val="en-US" w:eastAsia="zh-CN" w:bidi="ar"/>
        </w:rPr>
        <w:t>排污单位在原场址内实施新改扩建项目应当开展环境影响评价的，在通过环境影响评价审批或者备案后，产生实际排污行为之前二十日内。</w:t>
      </w:r>
    </w:p>
    <w:p w14:paraId="51CABD9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color w:val="auto"/>
          <w:spacing w:val="0"/>
          <w:w w:val="100"/>
          <w:kern w:val="2"/>
          <w:position w:val="0"/>
          <w:sz w:val="24"/>
          <w:szCs w:val="24"/>
        </w:rPr>
      </w:pPr>
      <w:r>
        <w:rPr>
          <w:rFonts w:hint="default" w:ascii="Times New Roman" w:hAnsi="Times New Roman" w:eastAsia="宋体" w:cs="Times New Roman"/>
          <w:snapToGrid/>
          <w:color w:val="auto"/>
          <w:spacing w:val="0"/>
          <w:w w:val="100"/>
          <w:kern w:val="2"/>
          <w:position w:val="0"/>
          <w:sz w:val="24"/>
          <w:szCs w:val="24"/>
          <w:lang w:val="en-US" w:eastAsia="zh" w:bidi="ar"/>
        </w:rPr>
        <w:t>3）</w:t>
      </w:r>
      <w:r>
        <w:rPr>
          <w:rFonts w:hint="default" w:ascii="Times New Roman" w:hAnsi="Times New Roman" w:eastAsia="宋体" w:cs="Times New Roman"/>
          <w:snapToGrid/>
          <w:color w:val="auto"/>
          <w:spacing w:val="0"/>
          <w:w w:val="100"/>
          <w:kern w:val="2"/>
          <w:position w:val="0"/>
          <w:sz w:val="24"/>
          <w:szCs w:val="24"/>
          <w:lang w:val="en-US" w:eastAsia="zh-CN" w:bidi="ar"/>
        </w:rPr>
        <w:t>国家或地方实施新污染物排放标准的，核发机关应主动通知排污单位进行变更，排污单位在接到通知后二十日内申请变更。</w:t>
      </w:r>
    </w:p>
    <w:p w14:paraId="1A7C2C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color w:val="auto"/>
          <w:spacing w:val="0"/>
          <w:w w:val="100"/>
          <w:kern w:val="2"/>
          <w:position w:val="0"/>
          <w:sz w:val="24"/>
          <w:szCs w:val="24"/>
        </w:rPr>
      </w:pPr>
      <w:r>
        <w:rPr>
          <w:rFonts w:hint="default" w:ascii="Times New Roman" w:hAnsi="Times New Roman" w:eastAsia="宋体" w:cs="Times New Roman"/>
          <w:snapToGrid/>
          <w:color w:val="auto"/>
          <w:spacing w:val="0"/>
          <w:w w:val="100"/>
          <w:kern w:val="2"/>
          <w:position w:val="0"/>
          <w:sz w:val="24"/>
          <w:szCs w:val="24"/>
          <w:lang w:val="en-US" w:eastAsia="zh" w:bidi="ar"/>
        </w:rPr>
        <w:t>4）</w:t>
      </w:r>
      <w:r>
        <w:rPr>
          <w:rFonts w:hint="default" w:ascii="Times New Roman" w:hAnsi="Times New Roman" w:eastAsia="宋体" w:cs="Times New Roman"/>
          <w:snapToGrid/>
          <w:color w:val="auto"/>
          <w:spacing w:val="0"/>
          <w:w w:val="100"/>
          <w:kern w:val="2"/>
          <w:position w:val="0"/>
          <w:sz w:val="24"/>
          <w:szCs w:val="24"/>
          <w:lang w:val="en-US" w:eastAsia="zh-CN" w:bidi="ar"/>
        </w:rPr>
        <w:t>政府相关文件或与其他企业达成协议，进行区域替代实现减量排放的，应在文件或协议规定时限内提出变更申请。</w:t>
      </w:r>
    </w:p>
    <w:p w14:paraId="53F128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color w:val="auto"/>
          <w:spacing w:val="0"/>
          <w:w w:val="100"/>
          <w:kern w:val="2"/>
          <w:position w:val="0"/>
          <w:sz w:val="24"/>
          <w:szCs w:val="24"/>
        </w:rPr>
      </w:pPr>
      <w:r>
        <w:rPr>
          <w:rFonts w:hint="default" w:ascii="Times New Roman" w:hAnsi="Times New Roman" w:eastAsia="宋体" w:cs="Times New Roman"/>
          <w:snapToGrid/>
          <w:color w:val="auto"/>
          <w:spacing w:val="0"/>
          <w:w w:val="100"/>
          <w:kern w:val="2"/>
          <w:position w:val="0"/>
          <w:sz w:val="24"/>
          <w:szCs w:val="24"/>
          <w:lang w:val="en-US" w:eastAsia="zh" w:bidi="ar"/>
        </w:rPr>
        <w:t>5）</w:t>
      </w:r>
      <w:r>
        <w:rPr>
          <w:rFonts w:hint="default" w:ascii="Times New Roman" w:hAnsi="Times New Roman" w:eastAsia="宋体" w:cs="Times New Roman"/>
          <w:snapToGrid/>
          <w:color w:val="auto"/>
          <w:spacing w:val="0"/>
          <w:w w:val="100"/>
          <w:kern w:val="2"/>
          <w:position w:val="0"/>
          <w:sz w:val="24"/>
          <w:szCs w:val="24"/>
          <w:lang w:val="en-US" w:eastAsia="zh-CN" w:bidi="ar"/>
        </w:rPr>
        <w:t>需要进行变更的其他情形。</w:t>
      </w:r>
    </w:p>
    <w:p w14:paraId="0FB509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color w:val="auto"/>
          <w:spacing w:val="0"/>
          <w:w w:val="100"/>
          <w:kern w:val="2"/>
          <w:position w:val="0"/>
          <w:sz w:val="24"/>
          <w:szCs w:val="24"/>
        </w:rPr>
      </w:pPr>
      <w:r>
        <w:rPr>
          <w:rFonts w:hint="default" w:ascii="Times New Roman" w:hAnsi="Times New Roman" w:eastAsia="宋体" w:cs="Times New Roman"/>
          <w:snapToGrid/>
          <w:color w:val="auto"/>
          <w:spacing w:val="0"/>
          <w:w w:val="100"/>
          <w:kern w:val="2"/>
          <w:position w:val="0"/>
          <w:sz w:val="24"/>
          <w:szCs w:val="24"/>
          <w:lang w:val="en-US" w:eastAsia="zh" w:bidi="ar"/>
        </w:rPr>
        <w:t>（</w:t>
      </w:r>
      <w:r>
        <w:rPr>
          <w:rFonts w:hint="default" w:ascii="Times New Roman" w:hAnsi="Times New Roman" w:cs="Times New Roman"/>
          <w:snapToGrid/>
          <w:color w:val="auto"/>
          <w:spacing w:val="0"/>
          <w:w w:val="100"/>
          <w:kern w:val="2"/>
          <w:position w:val="0"/>
          <w:sz w:val="24"/>
          <w:szCs w:val="24"/>
          <w:lang w:val="en-US" w:eastAsia="zh-CN" w:bidi="ar"/>
        </w:rPr>
        <w:t>3</w:t>
      </w:r>
      <w:r>
        <w:rPr>
          <w:rFonts w:hint="default" w:ascii="Times New Roman" w:hAnsi="Times New Roman" w:eastAsia="宋体" w:cs="Times New Roman"/>
          <w:snapToGrid/>
          <w:color w:val="auto"/>
          <w:spacing w:val="0"/>
          <w:w w:val="100"/>
          <w:kern w:val="2"/>
          <w:position w:val="0"/>
          <w:sz w:val="24"/>
          <w:szCs w:val="24"/>
          <w:lang w:val="en-US" w:eastAsia="zh" w:bidi="ar"/>
        </w:rPr>
        <w:t>）</w:t>
      </w:r>
      <w:r>
        <w:rPr>
          <w:rFonts w:hint="default" w:ascii="Times New Roman" w:hAnsi="Times New Roman" w:eastAsia="宋体" w:cs="Times New Roman"/>
          <w:snapToGrid/>
          <w:color w:val="auto"/>
          <w:spacing w:val="0"/>
          <w:w w:val="100"/>
          <w:kern w:val="2"/>
          <w:position w:val="0"/>
          <w:sz w:val="24"/>
          <w:szCs w:val="24"/>
          <w:lang w:val="en-US" w:eastAsia="zh-CN" w:bidi="ar"/>
        </w:rPr>
        <w:t>排污许可证的补办</w:t>
      </w:r>
    </w:p>
    <w:p w14:paraId="61A894A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snapToGrid/>
          <w:color w:val="auto"/>
          <w:spacing w:val="0"/>
          <w:w w:val="100"/>
          <w:kern w:val="2"/>
          <w:position w:val="0"/>
          <w:sz w:val="24"/>
          <w:szCs w:val="24"/>
          <w:lang w:val="en-US" w:eastAsia="zh-CN" w:bidi="ar"/>
        </w:rPr>
      </w:pPr>
      <w:r>
        <w:rPr>
          <w:rFonts w:hint="default" w:ascii="Times New Roman" w:hAnsi="Times New Roman" w:eastAsia="宋体" w:cs="Times New Roman"/>
          <w:snapToGrid/>
          <w:color w:val="auto"/>
          <w:spacing w:val="0"/>
          <w:w w:val="100"/>
          <w:kern w:val="2"/>
          <w:position w:val="0"/>
          <w:sz w:val="24"/>
          <w:szCs w:val="24"/>
          <w:lang w:val="en-US" w:eastAsia="zh-CN" w:bidi="ar"/>
        </w:rPr>
        <w:t>排污许可证发生遗失、损毁的，建设单位应当在三十日内向原核发机关申请补领排污许可证，遗失排污许可证的还应同时提交遗失声明，损毁排污许可证的还应同时交回被损毁的许可证。核发机关应当在收到补领申请后十日内补发排污许可证，并及时在国家排污许可证管理信息平台上进行公告。</w:t>
      </w:r>
    </w:p>
    <w:p w14:paraId="26230DB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snapToGrid/>
          <w:color w:val="auto"/>
          <w:spacing w:val="0"/>
          <w:w w:val="100"/>
          <w:kern w:val="2"/>
          <w:position w:val="0"/>
          <w:sz w:val="24"/>
          <w:szCs w:val="24"/>
          <w:lang w:val="en-US" w:eastAsia="zh-CN" w:bidi="ar"/>
        </w:rPr>
      </w:pPr>
      <w:r>
        <w:rPr>
          <w:rFonts w:hint="default" w:ascii="Times New Roman" w:hAnsi="Times New Roman" w:eastAsia="宋体" w:cs="Times New Roman"/>
          <w:snapToGrid/>
          <w:color w:val="auto"/>
          <w:spacing w:val="0"/>
          <w:w w:val="100"/>
          <w:kern w:val="2"/>
          <w:position w:val="0"/>
          <w:sz w:val="24"/>
          <w:szCs w:val="24"/>
          <w:lang w:val="en-US" w:eastAsia="zh" w:bidi="ar"/>
        </w:rPr>
        <w:t>（</w:t>
      </w:r>
      <w:r>
        <w:rPr>
          <w:rFonts w:hint="default" w:ascii="Times New Roman" w:hAnsi="Times New Roman" w:cs="Times New Roman"/>
          <w:snapToGrid/>
          <w:color w:val="auto"/>
          <w:spacing w:val="0"/>
          <w:w w:val="100"/>
          <w:kern w:val="2"/>
          <w:position w:val="0"/>
          <w:sz w:val="24"/>
          <w:szCs w:val="24"/>
          <w:lang w:val="en-US" w:eastAsia="zh-CN" w:bidi="ar"/>
        </w:rPr>
        <w:t>4</w:t>
      </w:r>
      <w:r>
        <w:rPr>
          <w:rFonts w:hint="default" w:ascii="Times New Roman" w:hAnsi="Times New Roman" w:eastAsia="宋体" w:cs="Times New Roman"/>
          <w:snapToGrid/>
          <w:color w:val="auto"/>
          <w:spacing w:val="0"/>
          <w:w w:val="100"/>
          <w:kern w:val="2"/>
          <w:position w:val="0"/>
          <w:sz w:val="24"/>
          <w:szCs w:val="24"/>
          <w:lang w:val="en-US" w:eastAsia="zh" w:bidi="ar"/>
        </w:rPr>
        <w:t>）</w:t>
      </w:r>
      <w:r>
        <w:rPr>
          <w:rFonts w:hint="default" w:ascii="Times New Roman" w:hAnsi="Times New Roman" w:eastAsia="宋体" w:cs="Times New Roman"/>
          <w:snapToGrid/>
          <w:color w:val="auto"/>
          <w:spacing w:val="0"/>
          <w:w w:val="100"/>
          <w:kern w:val="2"/>
          <w:position w:val="0"/>
          <w:sz w:val="24"/>
          <w:szCs w:val="24"/>
          <w:lang w:val="en-US" w:eastAsia="zh-CN" w:bidi="ar"/>
        </w:rPr>
        <w:t>排污许可证的更新</w:t>
      </w:r>
    </w:p>
    <w:p w14:paraId="37006C6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color w:val="auto"/>
          <w:spacing w:val="0"/>
          <w:w w:val="100"/>
          <w:kern w:val="2"/>
          <w:position w:val="0"/>
          <w:sz w:val="24"/>
          <w:szCs w:val="24"/>
        </w:rPr>
      </w:pPr>
      <w:r>
        <w:rPr>
          <w:rFonts w:hint="default" w:ascii="Times New Roman" w:hAnsi="Times New Roman" w:eastAsia="宋体" w:cs="Times New Roman"/>
          <w:snapToGrid/>
          <w:color w:val="auto"/>
          <w:spacing w:val="0"/>
          <w:w w:val="100"/>
          <w:kern w:val="2"/>
          <w:position w:val="0"/>
          <w:sz w:val="24"/>
          <w:szCs w:val="24"/>
          <w:lang w:val="en-US" w:eastAsia="zh-CN" w:bidi="ar"/>
        </w:rPr>
        <w:t>根据《固定污染源排污登记工作指南（试行）》，排污登记表自登记编号之日起生效。对已登记排污单位，自其登记之日起满5年的，排污许可证管理信息平台自动发送登记信息更新提醒。地方各级生态环境主管部门要督促登记信息发生变化的排污单位及时更新。</w:t>
      </w:r>
    </w:p>
    <w:p w14:paraId="4B88C1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color w:val="auto"/>
          <w:spacing w:val="0"/>
          <w:w w:val="100"/>
          <w:kern w:val="2"/>
          <w:position w:val="0"/>
          <w:sz w:val="24"/>
          <w:szCs w:val="24"/>
        </w:rPr>
      </w:pPr>
      <w:r>
        <w:rPr>
          <w:rFonts w:hint="default" w:ascii="Times New Roman" w:hAnsi="Times New Roman" w:eastAsia="宋体" w:cs="Times New Roman"/>
          <w:snapToGrid/>
          <w:color w:val="auto"/>
          <w:spacing w:val="0"/>
          <w:w w:val="100"/>
          <w:kern w:val="2"/>
          <w:position w:val="0"/>
          <w:sz w:val="24"/>
          <w:szCs w:val="24"/>
          <w:lang w:val="en-US" w:eastAsia="zh" w:bidi="ar"/>
        </w:rPr>
        <w:t>（</w:t>
      </w:r>
      <w:r>
        <w:rPr>
          <w:rFonts w:hint="default" w:ascii="Times New Roman" w:hAnsi="Times New Roman" w:cs="Times New Roman"/>
          <w:snapToGrid/>
          <w:color w:val="auto"/>
          <w:spacing w:val="0"/>
          <w:w w:val="100"/>
          <w:kern w:val="2"/>
          <w:position w:val="0"/>
          <w:sz w:val="24"/>
          <w:szCs w:val="24"/>
          <w:lang w:val="en-US" w:eastAsia="zh-CN" w:bidi="ar"/>
        </w:rPr>
        <w:t>5</w:t>
      </w:r>
      <w:r>
        <w:rPr>
          <w:rFonts w:hint="default" w:ascii="Times New Roman" w:hAnsi="Times New Roman" w:eastAsia="宋体" w:cs="Times New Roman"/>
          <w:snapToGrid/>
          <w:color w:val="auto"/>
          <w:spacing w:val="0"/>
          <w:w w:val="100"/>
          <w:kern w:val="2"/>
          <w:position w:val="0"/>
          <w:sz w:val="24"/>
          <w:szCs w:val="24"/>
          <w:lang w:val="en-US" w:eastAsia="zh" w:bidi="ar"/>
        </w:rPr>
        <w:t>）</w:t>
      </w:r>
      <w:r>
        <w:rPr>
          <w:rFonts w:hint="default" w:ascii="Times New Roman" w:hAnsi="Times New Roman" w:eastAsia="宋体" w:cs="Times New Roman"/>
          <w:snapToGrid/>
          <w:color w:val="auto"/>
          <w:spacing w:val="0"/>
          <w:w w:val="100"/>
          <w:kern w:val="2"/>
          <w:position w:val="0"/>
          <w:sz w:val="24"/>
          <w:szCs w:val="24"/>
          <w:lang w:val="en-US" w:eastAsia="zh-CN" w:bidi="ar"/>
        </w:rPr>
        <w:t>其他相关要求</w:t>
      </w:r>
    </w:p>
    <w:p w14:paraId="0CA769F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color w:val="auto"/>
          <w:spacing w:val="0"/>
          <w:w w:val="100"/>
          <w:kern w:val="2"/>
          <w:position w:val="0"/>
          <w:sz w:val="24"/>
          <w:szCs w:val="24"/>
        </w:rPr>
      </w:pPr>
      <w:r>
        <w:rPr>
          <w:rFonts w:hint="default" w:ascii="Times New Roman" w:hAnsi="Times New Roman" w:eastAsia="宋体" w:cs="Times New Roman"/>
          <w:snapToGrid/>
          <w:color w:val="auto"/>
          <w:spacing w:val="0"/>
          <w:w w:val="100"/>
          <w:kern w:val="2"/>
          <w:position w:val="0"/>
          <w:sz w:val="24"/>
          <w:szCs w:val="24"/>
          <w:lang w:val="en-US" w:eastAsia="zh" w:bidi="ar"/>
        </w:rPr>
        <w:t>1）</w:t>
      </w:r>
      <w:r>
        <w:rPr>
          <w:rFonts w:hint="default" w:ascii="Times New Roman" w:hAnsi="Times New Roman" w:eastAsia="宋体" w:cs="Times New Roman"/>
          <w:snapToGrid/>
          <w:color w:val="auto"/>
          <w:spacing w:val="0"/>
          <w:w w:val="100"/>
          <w:kern w:val="2"/>
          <w:position w:val="0"/>
          <w:sz w:val="24"/>
          <w:szCs w:val="24"/>
          <w:lang w:val="en-US" w:eastAsia="zh-CN" w:bidi="ar"/>
        </w:rPr>
        <w:t>排污口位置和数量、排放方式、排放去向、排放污染物种类、排放浓度和排放量、执行的排放标准等符合排污许可证的规定，不得私设暗管或以其他方式逃避监管。</w:t>
      </w:r>
    </w:p>
    <w:p w14:paraId="71BFD7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color w:val="auto"/>
          <w:spacing w:val="0"/>
          <w:w w:val="100"/>
          <w:kern w:val="2"/>
          <w:position w:val="0"/>
          <w:sz w:val="24"/>
          <w:szCs w:val="24"/>
        </w:rPr>
      </w:pPr>
      <w:r>
        <w:rPr>
          <w:rFonts w:hint="default" w:ascii="Times New Roman" w:hAnsi="Times New Roman" w:eastAsia="宋体" w:cs="Times New Roman"/>
          <w:snapToGrid/>
          <w:color w:val="auto"/>
          <w:spacing w:val="0"/>
          <w:w w:val="100"/>
          <w:kern w:val="2"/>
          <w:position w:val="0"/>
          <w:sz w:val="24"/>
          <w:szCs w:val="24"/>
          <w:lang w:val="en-US" w:eastAsia="zh" w:bidi="ar"/>
        </w:rPr>
        <w:t>2）</w:t>
      </w:r>
      <w:r>
        <w:rPr>
          <w:rFonts w:hint="default" w:ascii="Times New Roman" w:hAnsi="Times New Roman" w:eastAsia="宋体" w:cs="Times New Roman"/>
          <w:snapToGrid/>
          <w:color w:val="auto"/>
          <w:spacing w:val="0"/>
          <w:w w:val="100"/>
          <w:kern w:val="2"/>
          <w:position w:val="0"/>
          <w:sz w:val="24"/>
          <w:szCs w:val="24"/>
          <w:lang w:val="en-US" w:eastAsia="zh-CN" w:bidi="ar"/>
        </w:rPr>
        <w:t>落实重污染天气应急管控措施、遵守法律规定的最新环境保护要求等。按排污许可证规定的监测点位、监测因子、监测频次和相关监测技术规范开展自行监测并公开。</w:t>
      </w:r>
    </w:p>
    <w:p w14:paraId="6FE8A94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color w:val="auto"/>
          <w:spacing w:val="0"/>
          <w:w w:val="100"/>
          <w:kern w:val="2"/>
          <w:position w:val="0"/>
          <w:sz w:val="24"/>
          <w:szCs w:val="24"/>
        </w:rPr>
      </w:pPr>
      <w:r>
        <w:rPr>
          <w:rFonts w:hint="default" w:ascii="Times New Roman" w:hAnsi="Times New Roman" w:eastAsia="宋体" w:cs="Times New Roman"/>
          <w:snapToGrid/>
          <w:color w:val="auto"/>
          <w:spacing w:val="0"/>
          <w:w w:val="100"/>
          <w:kern w:val="2"/>
          <w:position w:val="0"/>
          <w:sz w:val="24"/>
          <w:szCs w:val="24"/>
          <w:lang w:val="en-US" w:eastAsia="zh" w:bidi="ar"/>
        </w:rPr>
        <w:t>3）</w:t>
      </w:r>
      <w:r>
        <w:rPr>
          <w:rFonts w:hint="default" w:ascii="Times New Roman" w:hAnsi="Times New Roman" w:eastAsia="宋体" w:cs="Times New Roman"/>
          <w:snapToGrid/>
          <w:color w:val="auto"/>
          <w:spacing w:val="0"/>
          <w:w w:val="100"/>
          <w:kern w:val="2"/>
          <w:position w:val="0"/>
          <w:sz w:val="24"/>
          <w:szCs w:val="24"/>
          <w:lang w:val="en-US" w:eastAsia="zh-CN" w:bidi="ar"/>
        </w:rPr>
        <w:t>按规范进行台账记录，主要内容包括生产信息、燃料、原辅材料使用情况、污染防治设施运行记录、监测数据等。</w:t>
      </w:r>
    </w:p>
    <w:p w14:paraId="3A00D0F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color w:val="auto"/>
          <w:spacing w:val="0"/>
          <w:w w:val="100"/>
          <w:kern w:val="2"/>
          <w:position w:val="0"/>
          <w:sz w:val="24"/>
          <w:szCs w:val="24"/>
        </w:rPr>
      </w:pPr>
      <w:r>
        <w:rPr>
          <w:rFonts w:hint="default" w:ascii="Times New Roman" w:hAnsi="Times New Roman" w:eastAsia="宋体" w:cs="Times New Roman"/>
          <w:snapToGrid/>
          <w:color w:val="auto"/>
          <w:spacing w:val="0"/>
          <w:w w:val="100"/>
          <w:kern w:val="2"/>
          <w:position w:val="0"/>
          <w:sz w:val="24"/>
          <w:szCs w:val="24"/>
          <w:lang w:val="en-US" w:eastAsia="zh" w:bidi="ar"/>
        </w:rPr>
        <w:t>4）</w:t>
      </w:r>
      <w:r>
        <w:rPr>
          <w:rFonts w:hint="default" w:ascii="Times New Roman" w:hAnsi="Times New Roman" w:eastAsia="宋体" w:cs="Times New Roman"/>
          <w:snapToGrid/>
          <w:color w:val="auto"/>
          <w:spacing w:val="0"/>
          <w:w w:val="100"/>
          <w:kern w:val="2"/>
          <w:position w:val="0"/>
          <w:sz w:val="24"/>
          <w:szCs w:val="24"/>
          <w:lang w:val="en-US" w:eastAsia="zh-CN" w:bidi="ar"/>
        </w:rPr>
        <w:t>按排污许可证规定，定期在国家排污许可证管理信息平台填报信息，编制排污许可证执行报告，及时报送有核发权的环境保护主管部门并公开，执行报告主要内容包括生产信息、污染防治设施运行情况、污染物按证排放情况等。</w:t>
      </w:r>
    </w:p>
    <w:p w14:paraId="0738E22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color w:val="auto"/>
          <w:spacing w:val="0"/>
          <w:w w:val="100"/>
          <w:kern w:val="2"/>
          <w:position w:val="0"/>
          <w:sz w:val="24"/>
          <w:szCs w:val="24"/>
        </w:rPr>
      </w:pPr>
      <w:r>
        <w:rPr>
          <w:rFonts w:hint="default" w:ascii="Times New Roman" w:hAnsi="Times New Roman" w:eastAsia="宋体" w:cs="Times New Roman"/>
          <w:snapToGrid/>
          <w:color w:val="auto"/>
          <w:spacing w:val="0"/>
          <w:w w:val="100"/>
          <w:kern w:val="2"/>
          <w:position w:val="0"/>
          <w:sz w:val="24"/>
          <w:szCs w:val="24"/>
          <w:lang w:val="en-US" w:eastAsia="zh" w:bidi="ar"/>
        </w:rPr>
        <w:t>5）</w:t>
      </w:r>
      <w:r>
        <w:rPr>
          <w:rFonts w:hint="default" w:ascii="Times New Roman" w:hAnsi="Times New Roman" w:eastAsia="宋体" w:cs="Times New Roman"/>
          <w:snapToGrid/>
          <w:color w:val="auto"/>
          <w:spacing w:val="0"/>
          <w:w w:val="100"/>
          <w:kern w:val="2"/>
          <w:position w:val="0"/>
          <w:sz w:val="24"/>
          <w:szCs w:val="24"/>
          <w:lang w:val="en-US" w:eastAsia="zh-CN" w:bidi="ar"/>
        </w:rPr>
        <w:t>法律法规规定的其他义务。</w:t>
      </w:r>
    </w:p>
    <w:p w14:paraId="1153FE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color w:val="auto"/>
          <w:spacing w:val="0"/>
          <w:w w:val="100"/>
          <w:kern w:val="2"/>
          <w:position w:val="0"/>
          <w:sz w:val="24"/>
          <w:szCs w:val="24"/>
        </w:rPr>
      </w:pPr>
      <w:r>
        <w:rPr>
          <w:rFonts w:hint="default" w:ascii="Times New Roman" w:hAnsi="Times New Roman" w:eastAsia="宋体" w:cs="Times New Roman"/>
          <w:snapToGrid/>
          <w:color w:val="auto"/>
          <w:spacing w:val="0"/>
          <w:w w:val="100"/>
          <w:kern w:val="2"/>
          <w:position w:val="0"/>
          <w:sz w:val="24"/>
          <w:szCs w:val="24"/>
          <w:lang w:val="en-US" w:eastAsia="zh" w:bidi="ar"/>
        </w:rPr>
        <w:t>（</w:t>
      </w:r>
      <w:r>
        <w:rPr>
          <w:rFonts w:hint="default" w:ascii="Times New Roman" w:hAnsi="Times New Roman" w:cs="Times New Roman"/>
          <w:snapToGrid/>
          <w:color w:val="auto"/>
          <w:spacing w:val="0"/>
          <w:w w:val="100"/>
          <w:kern w:val="2"/>
          <w:position w:val="0"/>
          <w:sz w:val="24"/>
          <w:szCs w:val="24"/>
          <w:lang w:val="en-US" w:eastAsia="zh-CN" w:bidi="ar"/>
        </w:rPr>
        <w:t>6</w:t>
      </w:r>
      <w:r>
        <w:rPr>
          <w:rFonts w:hint="default" w:ascii="Times New Roman" w:hAnsi="Times New Roman" w:eastAsia="宋体" w:cs="Times New Roman"/>
          <w:snapToGrid/>
          <w:color w:val="auto"/>
          <w:spacing w:val="0"/>
          <w:w w:val="100"/>
          <w:kern w:val="2"/>
          <w:position w:val="0"/>
          <w:sz w:val="24"/>
          <w:szCs w:val="24"/>
          <w:lang w:val="en-US" w:eastAsia="zh" w:bidi="ar"/>
        </w:rPr>
        <w:t>）</w:t>
      </w:r>
      <w:r>
        <w:rPr>
          <w:rFonts w:hint="default" w:ascii="Times New Roman" w:hAnsi="Times New Roman" w:eastAsia="宋体" w:cs="Times New Roman"/>
          <w:snapToGrid/>
          <w:color w:val="auto"/>
          <w:spacing w:val="0"/>
          <w:w w:val="100"/>
          <w:kern w:val="2"/>
          <w:position w:val="0"/>
          <w:sz w:val="24"/>
          <w:szCs w:val="24"/>
          <w:lang w:val="en-US" w:eastAsia="zh-CN" w:bidi="ar"/>
        </w:rPr>
        <w:t>根据《固定污染源排污许可分类管理名录》（2019年版），本项目须申报排污许可。应在项目环保设施竣工验收前，在全国排污许可证管理信息平台申领排污许可证，登记基本信息、污染物排放去向、执行的污染物排放标准以及采取的污染防治措施等信息。</w:t>
      </w:r>
    </w:p>
    <w:p w14:paraId="7F91F9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color w:val="auto"/>
          <w:spacing w:val="0"/>
          <w:w w:val="100"/>
          <w:kern w:val="2"/>
          <w:position w:val="0"/>
          <w:sz w:val="24"/>
          <w:szCs w:val="24"/>
        </w:rPr>
      </w:pPr>
      <w:r>
        <w:rPr>
          <w:rFonts w:hint="default" w:ascii="Times New Roman" w:hAnsi="Times New Roman" w:eastAsia="宋体" w:cs="Times New Roman"/>
          <w:snapToGrid/>
          <w:color w:val="auto"/>
          <w:spacing w:val="0"/>
          <w:w w:val="100"/>
          <w:kern w:val="2"/>
          <w:position w:val="0"/>
          <w:sz w:val="24"/>
          <w:szCs w:val="24"/>
          <w:lang w:val="en-US" w:eastAsia="zh-CN" w:bidi="ar"/>
        </w:rPr>
        <w:t>根据《关于做好环境影响评价制度与排污许可制衔接相关工作的通知》（环办环评〔2017〕84号），本项目与排污许可制衔接工作如下：</w:t>
      </w:r>
    </w:p>
    <w:p w14:paraId="661B2A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color w:val="auto"/>
          <w:spacing w:val="0"/>
          <w:w w:val="100"/>
          <w:kern w:val="2"/>
          <w:position w:val="0"/>
          <w:sz w:val="24"/>
          <w:szCs w:val="24"/>
        </w:rPr>
      </w:pPr>
      <w:r>
        <w:rPr>
          <w:rFonts w:hint="default" w:ascii="Times New Roman" w:hAnsi="Times New Roman" w:eastAsia="宋体" w:cs="Times New Roman"/>
          <w:snapToGrid/>
          <w:color w:val="auto"/>
          <w:spacing w:val="0"/>
          <w:w w:val="100"/>
          <w:kern w:val="2"/>
          <w:position w:val="0"/>
          <w:sz w:val="24"/>
          <w:szCs w:val="24"/>
          <w:lang w:val="en-US" w:eastAsia="zh" w:bidi="ar"/>
        </w:rPr>
        <w:t>1）</w:t>
      </w:r>
      <w:r>
        <w:rPr>
          <w:rFonts w:hint="default" w:ascii="Times New Roman" w:hAnsi="Times New Roman" w:eastAsia="宋体" w:cs="Times New Roman"/>
          <w:snapToGrid/>
          <w:color w:val="auto"/>
          <w:spacing w:val="0"/>
          <w:w w:val="100"/>
          <w:kern w:val="2"/>
          <w:position w:val="0"/>
          <w:sz w:val="24"/>
          <w:szCs w:val="24"/>
          <w:lang w:val="en-US" w:eastAsia="zh-CN" w:bidi="ar"/>
        </w:rPr>
        <w:t>在排污许可管理中，应严格按照本评价的要求核发排污许可证；</w:t>
      </w:r>
    </w:p>
    <w:p w14:paraId="0D1568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snapToGrid/>
          <w:color w:val="auto"/>
          <w:spacing w:val="0"/>
          <w:w w:val="100"/>
          <w:kern w:val="2"/>
          <w:position w:val="0"/>
          <w:sz w:val="24"/>
          <w:szCs w:val="24"/>
          <w:lang w:val="en-US" w:eastAsia="zh-CN" w:bidi="ar"/>
        </w:rPr>
      </w:pPr>
      <w:r>
        <w:rPr>
          <w:rFonts w:hint="default" w:ascii="Times New Roman" w:hAnsi="Times New Roman" w:eastAsia="宋体" w:cs="Times New Roman"/>
          <w:snapToGrid/>
          <w:color w:val="auto"/>
          <w:spacing w:val="0"/>
          <w:w w:val="100"/>
          <w:kern w:val="2"/>
          <w:position w:val="0"/>
          <w:sz w:val="24"/>
          <w:szCs w:val="24"/>
          <w:lang w:val="en-US" w:eastAsia="zh" w:bidi="ar"/>
        </w:rPr>
        <w:t>2）</w:t>
      </w:r>
      <w:r>
        <w:rPr>
          <w:rFonts w:hint="default" w:ascii="Times New Roman" w:hAnsi="Times New Roman" w:eastAsia="宋体" w:cs="Times New Roman"/>
          <w:snapToGrid/>
          <w:color w:val="auto"/>
          <w:spacing w:val="0"/>
          <w:w w:val="100"/>
          <w:kern w:val="2"/>
          <w:position w:val="0"/>
          <w:sz w:val="24"/>
          <w:szCs w:val="24"/>
          <w:lang w:val="en-US" w:eastAsia="zh-CN" w:bidi="ar"/>
        </w:rPr>
        <w:t>在核发排污许可证时应严格核定排放口数量、位置以及每个排放口的污染物种类、允许排放浓度和允许排放量、排放方式、排放去向、自行监测计划等与污染物排放相关的主要内容；</w:t>
      </w:r>
    </w:p>
    <w:p w14:paraId="75A83B4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baseline"/>
        <w:rPr>
          <w:rFonts w:hint="default" w:ascii="Times New Roman" w:hAnsi="Times New Roman" w:eastAsia="宋体" w:cs="Times New Roman"/>
          <w:snapToGrid/>
          <w:color w:val="auto"/>
          <w:spacing w:val="0"/>
          <w:w w:val="100"/>
          <w:kern w:val="2"/>
          <w:position w:val="0"/>
          <w:sz w:val="24"/>
          <w:szCs w:val="24"/>
          <w:lang w:val="en-US" w:eastAsia="zh-CN" w:bidi="ar"/>
        </w:rPr>
      </w:pPr>
      <w:r>
        <w:rPr>
          <w:rFonts w:hint="default" w:ascii="Times New Roman" w:hAnsi="Times New Roman" w:eastAsia="宋体" w:cs="Times New Roman"/>
          <w:snapToGrid/>
          <w:color w:val="auto"/>
          <w:spacing w:val="0"/>
          <w:w w:val="100"/>
          <w:kern w:val="2"/>
          <w:position w:val="0"/>
          <w:sz w:val="24"/>
          <w:szCs w:val="24"/>
          <w:lang w:val="en-US" w:eastAsia="zh" w:bidi="ar"/>
        </w:rPr>
        <w:t>3）</w:t>
      </w:r>
      <w:r>
        <w:rPr>
          <w:rFonts w:hint="default" w:ascii="Times New Roman" w:hAnsi="Times New Roman" w:eastAsia="宋体" w:cs="Times New Roman"/>
          <w:snapToGrid/>
          <w:color w:val="auto"/>
          <w:spacing w:val="0"/>
          <w:w w:val="100"/>
          <w:kern w:val="2"/>
          <w:position w:val="0"/>
          <w:sz w:val="24"/>
          <w:szCs w:val="24"/>
          <w:lang w:val="en-US" w:eastAsia="zh-CN" w:bidi="ar"/>
        </w:rPr>
        <w:t>项目在发生实际排污行为之前，排污单位应当按照国家环境保护相关法律法规及排污许可证申请与核发技术规范要求申请排污许可证，不得无证排污或不按证排污。</w:t>
      </w:r>
    </w:p>
    <w:p w14:paraId="396912FE">
      <w:pPr>
        <w:pStyle w:val="3"/>
        <w:keepNext w:val="0"/>
        <w:keepLines w:val="0"/>
        <w:pageBreakBefore w:val="0"/>
        <w:widowControl w:val="0"/>
        <w:kinsoku/>
        <w:wordWrap/>
        <w:overflowPunct/>
        <w:topLinePunct w:val="0"/>
        <w:autoSpaceDE/>
        <w:autoSpaceDN/>
        <w:bidi w:val="0"/>
        <w:rPr>
          <w:rFonts w:hint="default"/>
          <w:color w:val="auto"/>
          <w:spacing w:val="0"/>
          <w:w w:val="100"/>
          <w:position w:val="0"/>
        </w:rPr>
      </w:pPr>
      <w:bookmarkStart w:id="937" w:name="_Toc18010"/>
      <w:r>
        <w:rPr>
          <w:rFonts w:hint="default"/>
          <w:color w:val="auto"/>
          <w:spacing w:val="0"/>
          <w:w w:val="100"/>
          <w:position w:val="0"/>
        </w:rPr>
        <w:t>8.</w:t>
      </w:r>
      <w:r>
        <w:rPr>
          <w:rFonts w:hint="eastAsia"/>
          <w:color w:val="auto"/>
          <w:spacing w:val="0"/>
          <w:w w:val="100"/>
          <w:position w:val="0"/>
          <w:lang w:eastAsia="zh"/>
        </w:rPr>
        <w:t>8</w:t>
      </w:r>
      <w:r>
        <w:rPr>
          <w:rFonts w:hint="default"/>
          <w:color w:val="auto"/>
          <w:spacing w:val="0"/>
          <w:w w:val="100"/>
          <w:position w:val="0"/>
        </w:rPr>
        <w:t>污染物排放清单</w:t>
      </w:r>
      <w:bookmarkEnd w:id="937"/>
    </w:p>
    <w:p w14:paraId="44206644">
      <w:pPr>
        <w:pStyle w:val="32"/>
        <w:keepNext w:val="0"/>
        <w:keepLines w:val="0"/>
        <w:pageBreakBefore w:val="0"/>
        <w:widowControl w:val="0"/>
        <w:kinsoku/>
        <w:wordWrap/>
        <w:overflowPunct/>
        <w:topLinePunct w:val="0"/>
        <w:autoSpaceDE/>
        <w:autoSpaceDN/>
        <w:bidi w:val="0"/>
        <w:rPr>
          <w:rFonts w:hint="default"/>
          <w:color w:val="auto"/>
          <w:spacing w:val="0"/>
          <w:w w:val="100"/>
          <w:position w:val="0"/>
        </w:rPr>
      </w:pPr>
      <w:r>
        <w:rPr>
          <w:rFonts w:hint="default"/>
          <w:color w:val="auto"/>
          <w:spacing w:val="0"/>
          <w:w w:val="100"/>
          <w:position w:val="0"/>
        </w:rPr>
        <w:t>根据工程分析，对本项目污染物排放源及排放量进行梳理，形成污染源排放清单，见表8.</w:t>
      </w:r>
      <w:r>
        <w:rPr>
          <w:rFonts w:hint="eastAsia"/>
          <w:color w:val="auto"/>
          <w:spacing w:val="0"/>
          <w:w w:val="100"/>
          <w:position w:val="0"/>
          <w:lang w:eastAsia="zh"/>
        </w:rPr>
        <w:t>8</w:t>
      </w:r>
      <w:r>
        <w:rPr>
          <w:rFonts w:hint="default"/>
          <w:color w:val="auto"/>
          <w:spacing w:val="0"/>
          <w:w w:val="100"/>
          <w:position w:val="0"/>
        </w:rPr>
        <w:t>-1。</w:t>
      </w:r>
    </w:p>
    <w:p w14:paraId="3B2BA2AB">
      <w:pPr>
        <w:keepNext w:val="0"/>
        <w:keepLines w:val="0"/>
        <w:pageBreakBefore w:val="0"/>
        <w:widowControl w:val="0"/>
        <w:kinsoku/>
        <w:wordWrap/>
        <w:overflowPunct/>
        <w:topLinePunct w:val="0"/>
        <w:autoSpaceDE/>
        <w:autoSpaceDN/>
        <w:bidi w:val="0"/>
        <w:rPr>
          <w:rFonts w:hint="default"/>
          <w:color w:val="auto"/>
          <w:spacing w:val="0"/>
          <w:w w:val="100"/>
          <w:position w:val="0"/>
        </w:rPr>
        <w:sectPr>
          <w:pgSz w:w="11906" w:h="16838"/>
          <w:pgMar w:top="1440" w:right="1800" w:bottom="1440" w:left="1800" w:header="851" w:footer="850" w:gutter="0"/>
          <w:pgBorders>
            <w:top w:val="none" w:sz="0" w:space="0"/>
            <w:left w:val="none" w:sz="0" w:space="0"/>
            <w:bottom w:val="none" w:sz="0" w:space="0"/>
            <w:right w:val="none" w:sz="0" w:space="0"/>
          </w:pgBorders>
          <w:pgNumType w:fmt="decimal"/>
          <w:cols w:space="425" w:num="1"/>
          <w:docGrid w:type="lines" w:linePitch="312" w:charSpace="0"/>
        </w:sectPr>
      </w:pPr>
    </w:p>
    <w:p w14:paraId="26C5609C">
      <w:pPr>
        <w:pStyle w:val="51"/>
        <w:keepNext w:val="0"/>
        <w:keepLines w:val="0"/>
        <w:pageBreakBefore w:val="0"/>
        <w:widowControl w:val="0"/>
        <w:tabs>
          <w:tab w:val="clear" w:pos="360"/>
        </w:tabs>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caps w:val="0"/>
          <w:snapToGrid/>
          <w:color w:val="auto"/>
          <w:spacing w:val="0"/>
          <w:w w:val="100"/>
          <w:kern w:val="21"/>
          <w:position w:val="0"/>
          <w:sz w:val="21"/>
          <w:szCs w:val="21"/>
          <w:highlight w:val="none"/>
          <w:lang w:val="en-US" w:eastAsia="zh-CN" w:bidi="ar-SA"/>
        </w:rPr>
      </w:pPr>
      <w:r>
        <w:rPr>
          <w:rFonts w:hint="default" w:ascii="Times New Roman" w:hAnsi="Times New Roman" w:eastAsia="宋体" w:cs="Times New Roman"/>
          <w:b/>
          <w:caps w:val="0"/>
          <w:snapToGrid/>
          <w:color w:val="auto"/>
          <w:spacing w:val="0"/>
          <w:w w:val="100"/>
          <w:kern w:val="21"/>
          <w:position w:val="0"/>
          <w:sz w:val="21"/>
          <w:szCs w:val="21"/>
          <w:highlight w:val="none"/>
          <w:lang w:val="en-US" w:eastAsia="zh-CN" w:bidi="ar-SA"/>
        </w:rPr>
        <w:t>表8.</w:t>
      </w:r>
      <w:r>
        <w:rPr>
          <w:rFonts w:hint="eastAsia" w:cs="Times New Roman"/>
          <w:b/>
          <w:caps w:val="0"/>
          <w:snapToGrid/>
          <w:color w:val="auto"/>
          <w:spacing w:val="0"/>
          <w:w w:val="100"/>
          <w:kern w:val="21"/>
          <w:position w:val="0"/>
          <w:sz w:val="21"/>
          <w:szCs w:val="21"/>
          <w:highlight w:val="none"/>
          <w:lang w:val="en-US" w:eastAsia="zh" w:bidi="ar-SA"/>
        </w:rPr>
        <w:t>8</w:t>
      </w:r>
      <w:r>
        <w:rPr>
          <w:rFonts w:hint="default" w:ascii="Times New Roman" w:hAnsi="Times New Roman" w:eastAsia="宋体" w:cs="Times New Roman"/>
          <w:b/>
          <w:caps w:val="0"/>
          <w:snapToGrid/>
          <w:color w:val="auto"/>
          <w:spacing w:val="0"/>
          <w:w w:val="100"/>
          <w:kern w:val="21"/>
          <w:position w:val="0"/>
          <w:sz w:val="21"/>
          <w:szCs w:val="21"/>
          <w:highlight w:val="none"/>
          <w:lang w:val="en-US" w:eastAsia="zh-CN" w:bidi="ar-SA"/>
        </w:rPr>
        <w:t>-1  项目污染物排放清单</w:t>
      </w:r>
    </w:p>
    <w:tbl>
      <w:tblPr>
        <w:tblStyle w:val="25"/>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57" w:type="dxa"/>
          <w:left w:w="57" w:type="dxa"/>
          <w:bottom w:w="57" w:type="dxa"/>
          <w:right w:w="57" w:type="dxa"/>
        </w:tblCellMar>
      </w:tblPr>
      <w:tblGrid>
        <w:gridCol w:w="631"/>
        <w:gridCol w:w="853"/>
        <w:gridCol w:w="917"/>
        <w:gridCol w:w="1150"/>
        <w:gridCol w:w="2679"/>
        <w:gridCol w:w="1117"/>
        <w:gridCol w:w="1456"/>
        <w:gridCol w:w="1456"/>
        <w:gridCol w:w="975"/>
        <w:gridCol w:w="2648"/>
      </w:tblGrid>
      <w:tr w14:paraId="57FBD0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blHeader/>
          <w:jc w:val="center"/>
        </w:trPr>
        <w:tc>
          <w:tcPr>
            <w:tcW w:w="227" w:type="pct"/>
            <w:vMerge w:val="restart"/>
            <w:tcBorders>
              <w:tl2br w:val="nil"/>
              <w:tr2bl w:val="nil"/>
            </w:tcBorders>
            <w:vAlign w:val="center"/>
          </w:tcPr>
          <w:p w14:paraId="7A7A663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b/>
                <w:bCs/>
                <w:color w:val="auto"/>
                <w:spacing w:val="0"/>
                <w:w w:val="100"/>
                <w:kern w:val="21"/>
                <w:position w:val="0"/>
                <w:sz w:val="21"/>
              </w:rPr>
            </w:pPr>
            <w:r>
              <w:rPr>
                <w:rFonts w:hint="default"/>
                <w:b/>
                <w:bCs/>
                <w:color w:val="auto"/>
                <w:spacing w:val="0"/>
                <w:w w:val="100"/>
                <w:kern w:val="21"/>
                <w:position w:val="0"/>
                <w:sz w:val="21"/>
              </w:rPr>
              <w:t>污染物类别</w:t>
            </w:r>
          </w:p>
        </w:tc>
        <w:tc>
          <w:tcPr>
            <w:tcW w:w="307" w:type="pct"/>
            <w:vMerge w:val="restart"/>
            <w:tcBorders>
              <w:tl2br w:val="nil"/>
              <w:tr2bl w:val="nil"/>
            </w:tcBorders>
            <w:vAlign w:val="center"/>
          </w:tcPr>
          <w:p w14:paraId="70F329A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b/>
                <w:bCs/>
                <w:color w:val="auto"/>
                <w:spacing w:val="0"/>
                <w:w w:val="100"/>
                <w:kern w:val="21"/>
                <w:position w:val="0"/>
                <w:sz w:val="21"/>
              </w:rPr>
            </w:pPr>
            <w:r>
              <w:rPr>
                <w:rFonts w:hint="default"/>
                <w:b/>
                <w:bCs/>
                <w:color w:val="auto"/>
                <w:spacing w:val="0"/>
                <w:w w:val="100"/>
                <w:kern w:val="21"/>
                <w:position w:val="0"/>
                <w:sz w:val="21"/>
              </w:rPr>
              <w:t>产污环节</w:t>
            </w:r>
          </w:p>
        </w:tc>
        <w:tc>
          <w:tcPr>
            <w:tcW w:w="330" w:type="pct"/>
            <w:vMerge w:val="restart"/>
            <w:tcBorders>
              <w:tl2br w:val="nil"/>
              <w:tr2bl w:val="nil"/>
            </w:tcBorders>
            <w:vAlign w:val="center"/>
          </w:tcPr>
          <w:p w14:paraId="75901E3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b/>
                <w:bCs/>
                <w:color w:val="auto"/>
                <w:spacing w:val="0"/>
                <w:w w:val="100"/>
                <w:kern w:val="21"/>
                <w:position w:val="0"/>
                <w:sz w:val="21"/>
              </w:rPr>
            </w:pPr>
            <w:r>
              <w:rPr>
                <w:rFonts w:hint="default"/>
                <w:b/>
                <w:bCs/>
                <w:color w:val="auto"/>
                <w:spacing w:val="0"/>
                <w:w w:val="100"/>
                <w:kern w:val="21"/>
                <w:position w:val="0"/>
                <w:sz w:val="21"/>
              </w:rPr>
              <w:t>排放</w:t>
            </w:r>
          </w:p>
          <w:p w14:paraId="577E33D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b/>
                <w:bCs/>
                <w:color w:val="auto"/>
                <w:spacing w:val="0"/>
                <w:w w:val="100"/>
                <w:kern w:val="21"/>
                <w:position w:val="0"/>
                <w:sz w:val="21"/>
              </w:rPr>
            </w:pPr>
            <w:r>
              <w:rPr>
                <w:rFonts w:hint="default"/>
                <w:b/>
                <w:bCs/>
                <w:color w:val="auto"/>
                <w:spacing w:val="0"/>
                <w:w w:val="100"/>
                <w:kern w:val="21"/>
                <w:position w:val="0"/>
                <w:sz w:val="21"/>
              </w:rPr>
              <w:t>形式</w:t>
            </w:r>
          </w:p>
        </w:tc>
        <w:tc>
          <w:tcPr>
            <w:tcW w:w="414" w:type="pct"/>
            <w:vMerge w:val="restart"/>
            <w:tcBorders>
              <w:tl2br w:val="nil"/>
              <w:tr2bl w:val="nil"/>
            </w:tcBorders>
            <w:vAlign w:val="center"/>
          </w:tcPr>
          <w:p w14:paraId="095CD20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b/>
                <w:bCs/>
                <w:color w:val="auto"/>
                <w:spacing w:val="0"/>
                <w:w w:val="100"/>
                <w:kern w:val="21"/>
                <w:position w:val="0"/>
                <w:sz w:val="21"/>
              </w:rPr>
            </w:pPr>
            <w:r>
              <w:rPr>
                <w:rFonts w:hint="default"/>
                <w:b/>
                <w:bCs/>
                <w:color w:val="auto"/>
                <w:spacing w:val="0"/>
                <w:w w:val="100"/>
                <w:kern w:val="21"/>
                <w:position w:val="0"/>
                <w:sz w:val="21"/>
              </w:rPr>
              <w:t>污染物</w:t>
            </w:r>
          </w:p>
        </w:tc>
        <w:tc>
          <w:tcPr>
            <w:tcW w:w="964" w:type="pct"/>
            <w:vMerge w:val="restart"/>
            <w:tcBorders>
              <w:tl2br w:val="nil"/>
              <w:tr2bl w:val="nil"/>
            </w:tcBorders>
            <w:vAlign w:val="center"/>
          </w:tcPr>
          <w:p w14:paraId="5D58486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b/>
                <w:bCs/>
                <w:color w:val="auto"/>
                <w:spacing w:val="0"/>
                <w:w w:val="100"/>
                <w:kern w:val="21"/>
                <w:position w:val="0"/>
                <w:sz w:val="21"/>
              </w:rPr>
            </w:pPr>
            <w:r>
              <w:rPr>
                <w:rFonts w:hint="default"/>
                <w:b/>
                <w:bCs/>
                <w:color w:val="auto"/>
                <w:spacing w:val="0"/>
                <w:w w:val="100"/>
                <w:kern w:val="21"/>
                <w:position w:val="0"/>
                <w:sz w:val="21"/>
              </w:rPr>
              <w:t>治理措施</w:t>
            </w:r>
          </w:p>
        </w:tc>
        <w:tc>
          <w:tcPr>
            <w:tcW w:w="402" w:type="pct"/>
            <w:vMerge w:val="restart"/>
            <w:tcBorders>
              <w:tl2br w:val="nil"/>
              <w:tr2bl w:val="nil"/>
            </w:tcBorders>
            <w:vAlign w:val="center"/>
          </w:tcPr>
          <w:p w14:paraId="13B71DC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b/>
                <w:bCs/>
                <w:color w:val="auto"/>
                <w:spacing w:val="0"/>
                <w:w w:val="100"/>
                <w:kern w:val="21"/>
                <w:position w:val="0"/>
                <w:sz w:val="21"/>
              </w:rPr>
            </w:pPr>
            <w:r>
              <w:rPr>
                <w:rFonts w:hint="default"/>
                <w:b/>
                <w:bCs/>
                <w:color w:val="auto"/>
                <w:spacing w:val="0"/>
                <w:w w:val="100"/>
                <w:kern w:val="21"/>
                <w:position w:val="0"/>
                <w:sz w:val="21"/>
              </w:rPr>
              <w:t>排放</w:t>
            </w:r>
          </w:p>
          <w:p w14:paraId="59F22F9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b/>
                <w:bCs/>
                <w:color w:val="auto"/>
                <w:spacing w:val="0"/>
                <w:w w:val="100"/>
                <w:kern w:val="21"/>
                <w:position w:val="0"/>
                <w:sz w:val="21"/>
              </w:rPr>
            </w:pPr>
            <w:r>
              <w:rPr>
                <w:rFonts w:hint="default"/>
                <w:b/>
                <w:bCs/>
                <w:color w:val="auto"/>
                <w:spacing w:val="0"/>
                <w:w w:val="100"/>
                <w:kern w:val="21"/>
                <w:position w:val="0"/>
                <w:sz w:val="21"/>
              </w:rPr>
              <w:t>浓度</w:t>
            </w:r>
            <w:r>
              <w:rPr>
                <w:rFonts w:hint="eastAsia"/>
                <w:b/>
                <w:bCs/>
                <w:color w:val="auto"/>
                <w:spacing w:val="0"/>
                <w:w w:val="100"/>
                <w:kern w:val="21"/>
                <w:position w:val="0"/>
                <w:sz w:val="21"/>
                <w:lang w:eastAsia="zh-CN"/>
              </w:rPr>
              <w:t>（</w:t>
            </w:r>
            <w:r>
              <w:rPr>
                <w:rFonts w:hint="eastAsia"/>
                <w:b/>
                <w:bCs/>
                <w:color w:val="auto"/>
                <w:spacing w:val="0"/>
                <w:w w:val="100"/>
                <w:kern w:val="21"/>
                <w:position w:val="0"/>
                <w:sz w:val="21"/>
                <w:lang w:val="en-US" w:eastAsia="zh-CN"/>
              </w:rPr>
              <w:t>mg/m</w:t>
            </w:r>
            <w:r>
              <w:rPr>
                <w:rFonts w:hint="eastAsia"/>
                <w:b/>
                <w:bCs/>
                <w:color w:val="auto"/>
                <w:spacing w:val="0"/>
                <w:w w:val="100"/>
                <w:kern w:val="21"/>
                <w:position w:val="0"/>
                <w:sz w:val="21"/>
                <w:vertAlign w:val="superscript"/>
                <w:lang w:val="en-US" w:eastAsia="zh-CN"/>
              </w:rPr>
              <w:t>3</w:t>
            </w:r>
            <w:r>
              <w:rPr>
                <w:rFonts w:hint="eastAsia"/>
                <w:b/>
                <w:bCs/>
                <w:color w:val="auto"/>
                <w:spacing w:val="0"/>
                <w:w w:val="100"/>
                <w:kern w:val="21"/>
                <w:position w:val="0"/>
                <w:sz w:val="21"/>
                <w:lang w:eastAsia="zh-CN"/>
              </w:rPr>
              <w:t>）</w:t>
            </w:r>
          </w:p>
        </w:tc>
        <w:tc>
          <w:tcPr>
            <w:tcW w:w="524" w:type="pct"/>
            <w:vMerge w:val="restart"/>
            <w:tcBorders>
              <w:tl2br w:val="nil"/>
              <w:tr2bl w:val="nil"/>
            </w:tcBorders>
            <w:vAlign w:val="center"/>
          </w:tcPr>
          <w:p w14:paraId="3045DC5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eastAsia="宋体"/>
                <w:b/>
                <w:bCs/>
                <w:color w:val="auto"/>
                <w:spacing w:val="0"/>
                <w:w w:val="100"/>
                <w:kern w:val="21"/>
                <w:position w:val="0"/>
                <w:sz w:val="21"/>
                <w:lang w:val="en-US" w:eastAsia="zh-CN"/>
              </w:rPr>
            </w:pPr>
            <w:r>
              <w:rPr>
                <w:rFonts w:hint="eastAsia"/>
                <w:b/>
                <w:bCs/>
                <w:color w:val="auto"/>
                <w:spacing w:val="0"/>
                <w:w w:val="100"/>
                <w:kern w:val="21"/>
                <w:position w:val="0"/>
                <w:sz w:val="21"/>
                <w:lang w:val="en-US" w:eastAsia="zh-CN"/>
              </w:rPr>
              <w:t>排放速率（kg/h）</w:t>
            </w:r>
          </w:p>
        </w:tc>
        <w:tc>
          <w:tcPr>
            <w:tcW w:w="524" w:type="pct"/>
            <w:vMerge w:val="restart"/>
            <w:tcBorders>
              <w:tl2br w:val="nil"/>
              <w:tr2bl w:val="nil"/>
            </w:tcBorders>
            <w:vAlign w:val="center"/>
          </w:tcPr>
          <w:p w14:paraId="1A120E3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b/>
                <w:bCs/>
                <w:color w:val="auto"/>
                <w:spacing w:val="0"/>
                <w:w w:val="100"/>
                <w:kern w:val="21"/>
                <w:position w:val="0"/>
                <w:sz w:val="21"/>
              </w:rPr>
            </w:pPr>
            <w:r>
              <w:rPr>
                <w:rFonts w:hint="default"/>
                <w:b/>
                <w:bCs/>
                <w:color w:val="auto"/>
                <w:spacing w:val="0"/>
                <w:w w:val="100"/>
                <w:kern w:val="21"/>
                <w:position w:val="0"/>
                <w:sz w:val="21"/>
              </w:rPr>
              <w:t>年排放量（t/a）</w:t>
            </w:r>
          </w:p>
        </w:tc>
        <w:tc>
          <w:tcPr>
            <w:tcW w:w="1304" w:type="pct"/>
            <w:gridSpan w:val="2"/>
            <w:tcBorders>
              <w:tl2br w:val="nil"/>
              <w:tr2bl w:val="nil"/>
            </w:tcBorders>
            <w:vAlign w:val="center"/>
          </w:tcPr>
          <w:p w14:paraId="39B3E1B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b/>
                <w:bCs/>
                <w:color w:val="auto"/>
                <w:spacing w:val="0"/>
                <w:w w:val="100"/>
                <w:kern w:val="21"/>
                <w:position w:val="0"/>
                <w:sz w:val="21"/>
              </w:rPr>
            </w:pPr>
            <w:r>
              <w:rPr>
                <w:rFonts w:hint="default"/>
                <w:b/>
                <w:bCs/>
                <w:color w:val="auto"/>
                <w:spacing w:val="0"/>
                <w:w w:val="100"/>
                <w:kern w:val="21"/>
                <w:position w:val="0"/>
                <w:sz w:val="21"/>
              </w:rPr>
              <w:t>执行标准</w:t>
            </w:r>
          </w:p>
        </w:tc>
      </w:tr>
      <w:tr w14:paraId="303814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blHeader/>
          <w:jc w:val="center"/>
        </w:trPr>
        <w:tc>
          <w:tcPr>
            <w:tcW w:w="227" w:type="pct"/>
            <w:vMerge w:val="continue"/>
            <w:tcBorders>
              <w:tl2br w:val="nil"/>
              <w:tr2bl w:val="nil"/>
            </w:tcBorders>
            <w:vAlign w:val="center"/>
          </w:tcPr>
          <w:p w14:paraId="0EF23F5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b/>
                <w:bCs/>
                <w:color w:val="auto"/>
                <w:spacing w:val="0"/>
                <w:w w:val="100"/>
                <w:kern w:val="21"/>
                <w:position w:val="0"/>
                <w:sz w:val="21"/>
              </w:rPr>
            </w:pPr>
          </w:p>
        </w:tc>
        <w:tc>
          <w:tcPr>
            <w:tcW w:w="307" w:type="pct"/>
            <w:vMerge w:val="continue"/>
            <w:tcBorders>
              <w:tl2br w:val="nil"/>
              <w:tr2bl w:val="nil"/>
            </w:tcBorders>
            <w:vAlign w:val="center"/>
          </w:tcPr>
          <w:p w14:paraId="19658EF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b/>
                <w:bCs/>
                <w:color w:val="auto"/>
                <w:spacing w:val="0"/>
                <w:w w:val="100"/>
                <w:kern w:val="21"/>
                <w:position w:val="0"/>
                <w:sz w:val="21"/>
              </w:rPr>
            </w:pPr>
          </w:p>
        </w:tc>
        <w:tc>
          <w:tcPr>
            <w:tcW w:w="330" w:type="pct"/>
            <w:vMerge w:val="continue"/>
            <w:tcBorders>
              <w:tl2br w:val="nil"/>
              <w:tr2bl w:val="nil"/>
            </w:tcBorders>
            <w:vAlign w:val="center"/>
          </w:tcPr>
          <w:p w14:paraId="5579572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b/>
                <w:bCs/>
                <w:color w:val="auto"/>
                <w:spacing w:val="0"/>
                <w:w w:val="100"/>
                <w:kern w:val="21"/>
                <w:position w:val="0"/>
                <w:sz w:val="21"/>
              </w:rPr>
            </w:pPr>
          </w:p>
        </w:tc>
        <w:tc>
          <w:tcPr>
            <w:tcW w:w="414" w:type="pct"/>
            <w:vMerge w:val="continue"/>
            <w:tcBorders>
              <w:tl2br w:val="nil"/>
              <w:tr2bl w:val="nil"/>
            </w:tcBorders>
            <w:vAlign w:val="center"/>
          </w:tcPr>
          <w:p w14:paraId="6C253AC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b/>
                <w:bCs/>
                <w:color w:val="auto"/>
                <w:spacing w:val="0"/>
                <w:w w:val="100"/>
                <w:kern w:val="21"/>
                <w:position w:val="0"/>
                <w:sz w:val="21"/>
              </w:rPr>
            </w:pPr>
          </w:p>
        </w:tc>
        <w:tc>
          <w:tcPr>
            <w:tcW w:w="964" w:type="pct"/>
            <w:vMerge w:val="continue"/>
            <w:tcBorders>
              <w:tl2br w:val="nil"/>
              <w:tr2bl w:val="nil"/>
            </w:tcBorders>
            <w:vAlign w:val="center"/>
          </w:tcPr>
          <w:p w14:paraId="205768B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b/>
                <w:bCs/>
                <w:color w:val="auto"/>
                <w:spacing w:val="0"/>
                <w:w w:val="100"/>
                <w:kern w:val="21"/>
                <w:position w:val="0"/>
                <w:sz w:val="21"/>
              </w:rPr>
            </w:pPr>
          </w:p>
        </w:tc>
        <w:tc>
          <w:tcPr>
            <w:tcW w:w="402" w:type="pct"/>
            <w:vMerge w:val="continue"/>
            <w:tcBorders>
              <w:tl2br w:val="nil"/>
              <w:tr2bl w:val="nil"/>
            </w:tcBorders>
            <w:vAlign w:val="center"/>
          </w:tcPr>
          <w:p w14:paraId="6F3FB1B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b/>
                <w:bCs/>
                <w:color w:val="auto"/>
                <w:spacing w:val="0"/>
                <w:w w:val="100"/>
                <w:kern w:val="21"/>
                <w:position w:val="0"/>
                <w:sz w:val="21"/>
              </w:rPr>
            </w:pPr>
          </w:p>
        </w:tc>
        <w:tc>
          <w:tcPr>
            <w:tcW w:w="524" w:type="pct"/>
            <w:vMerge w:val="continue"/>
            <w:tcBorders>
              <w:tl2br w:val="nil"/>
              <w:tr2bl w:val="nil"/>
            </w:tcBorders>
            <w:vAlign w:val="center"/>
          </w:tcPr>
          <w:p w14:paraId="3E74A6D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b/>
                <w:bCs/>
                <w:color w:val="auto"/>
                <w:spacing w:val="0"/>
                <w:w w:val="100"/>
                <w:kern w:val="21"/>
                <w:position w:val="0"/>
                <w:sz w:val="21"/>
              </w:rPr>
            </w:pPr>
          </w:p>
        </w:tc>
        <w:tc>
          <w:tcPr>
            <w:tcW w:w="524" w:type="pct"/>
            <w:vMerge w:val="continue"/>
            <w:tcBorders>
              <w:tl2br w:val="nil"/>
              <w:tr2bl w:val="nil"/>
            </w:tcBorders>
            <w:vAlign w:val="center"/>
          </w:tcPr>
          <w:p w14:paraId="04FF28E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b/>
                <w:bCs/>
                <w:color w:val="auto"/>
                <w:spacing w:val="0"/>
                <w:w w:val="100"/>
                <w:kern w:val="21"/>
                <w:position w:val="0"/>
                <w:sz w:val="21"/>
              </w:rPr>
            </w:pPr>
          </w:p>
        </w:tc>
        <w:tc>
          <w:tcPr>
            <w:tcW w:w="351" w:type="pct"/>
            <w:tcBorders>
              <w:tl2br w:val="nil"/>
              <w:tr2bl w:val="nil"/>
            </w:tcBorders>
            <w:vAlign w:val="center"/>
          </w:tcPr>
          <w:p w14:paraId="7BD0C4E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b/>
                <w:bCs/>
                <w:color w:val="auto"/>
                <w:spacing w:val="0"/>
                <w:w w:val="100"/>
                <w:kern w:val="21"/>
                <w:position w:val="0"/>
                <w:sz w:val="21"/>
              </w:rPr>
            </w:pPr>
            <w:r>
              <w:rPr>
                <w:rFonts w:hint="default"/>
                <w:b/>
                <w:bCs/>
                <w:color w:val="auto"/>
                <w:spacing w:val="0"/>
                <w:w w:val="100"/>
                <w:kern w:val="21"/>
                <w:position w:val="0"/>
                <w:sz w:val="21"/>
              </w:rPr>
              <w:t>浓度</w:t>
            </w:r>
          </w:p>
        </w:tc>
        <w:tc>
          <w:tcPr>
            <w:tcW w:w="953" w:type="pct"/>
            <w:tcBorders>
              <w:tl2br w:val="nil"/>
              <w:tr2bl w:val="nil"/>
            </w:tcBorders>
            <w:vAlign w:val="center"/>
          </w:tcPr>
          <w:p w14:paraId="704871A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r>
              <w:rPr>
                <w:rFonts w:hint="default"/>
                <w:b/>
                <w:bCs/>
                <w:color w:val="auto"/>
                <w:spacing w:val="0"/>
                <w:w w:val="100"/>
                <w:kern w:val="21"/>
                <w:position w:val="0"/>
                <w:sz w:val="21"/>
              </w:rPr>
              <w:t>标准来源</w:t>
            </w:r>
          </w:p>
        </w:tc>
      </w:tr>
      <w:tr w14:paraId="3B4A09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227" w:type="pct"/>
            <w:vMerge w:val="restart"/>
            <w:tcBorders>
              <w:tl2br w:val="nil"/>
              <w:tr2bl w:val="nil"/>
            </w:tcBorders>
            <w:vAlign w:val="center"/>
          </w:tcPr>
          <w:p w14:paraId="4AEB00D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szCs w:val="21"/>
              </w:rPr>
            </w:pPr>
            <w:r>
              <w:rPr>
                <w:rFonts w:hint="default"/>
                <w:color w:val="auto"/>
                <w:spacing w:val="0"/>
                <w:w w:val="100"/>
                <w:kern w:val="21"/>
                <w:position w:val="0"/>
                <w:sz w:val="21"/>
                <w:szCs w:val="21"/>
              </w:rPr>
              <w:t>大气污染物</w:t>
            </w:r>
          </w:p>
        </w:tc>
        <w:tc>
          <w:tcPr>
            <w:tcW w:w="307" w:type="pct"/>
            <w:vMerge w:val="restart"/>
            <w:tcBorders>
              <w:tl2br w:val="nil"/>
              <w:tr2bl w:val="nil"/>
            </w:tcBorders>
            <w:vAlign w:val="center"/>
          </w:tcPr>
          <w:p w14:paraId="2E5EDB7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eastAsia="宋体"/>
                <w:color w:val="auto"/>
                <w:spacing w:val="0"/>
                <w:w w:val="100"/>
                <w:kern w:val="21"/>
                <w:position w:val="0"/>
                <w:sz w:val="21"/>
                <w:szCs w:val="21"/>
                <w:lang w:val="en-US" w:eastAsia="zh-CN"/>
              </w:rPr>
            </w:pPr>
            <w:r>
              <w:rPr>
                <w:rFonts w:hint="eastAsia"/>
                <w:color w:val="auto"/>
                <w:spacing w:val="0"/>
                <w:w w:val="100"/>
                <w:kern w:val="21"/>
                <w:position w:val="0"/>
                <w:sz w:val="21"/>
                <w:szCs w:val="21"/>
                <w:lang w:val="en-US" w:eastAsia="zh-CN"/>
              </w:rPr>
              <w:t>混料搅拌</w:t>
            </w:r>
          </w:p>
        </w:tc>
        <w:tc>
          <w:tcPr>
            <w:tcW w:w="330" w:type="pct"/>
            <w:tcBorders>
              <w:tl2br w:val="nil"/>
              <w:tr2bl w:val="nil"/>
            </w:tcBorders>
            <w:vAlign w:val="center"/>
          </w:tcPr>
          <w:p w14:paraId="7789776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szCs w:val="21"/>
              </w:rPr>
            </w:pPr>
            <w:r>
              <w:rPr>
                <w:rFonts w:hint="default"/>
                <w:color w:val="auto"/>
                <w:spacing w:val="0"/>
                <w:w w:val="100"/>
                <w:kern w:val="21"/>
                <w:position w:val="0"/>
                <w:sz w:val="21"/>
                <w:szCs w:val="21"/>
              </w:rPr>
              <w:t>有组织</w:t>
            </w:r>
          </w:p>
        </w:tc>
        <w:tc>
          <w:tcPr>
            <w:tcW w:w="414" w:type="pct"/>
            <w:vMerge w:val="restart"/>
            <w:tcBorders>
              <w:tl2br w:val="nil"/>
              <w:tr2bl w:val="nil"/>
            </w:tcBorders>
            <w:vAlign w:val="center"/>
          </w:tcPr>
          <w:p w14:paraId="46BCFE9B">
            <w:pPr>
              <w:pStyle w:val="9"/>
              <w:keepNext w:val="0"/>
              <w:keepLines w:val="0"/>
              <w:pageBreakBefore w:val="0"/>
              <w:widowControl w:val="0"/>
              <w:numPr>
                <w:ilvl w:val="0"/>
                <w:numId w:val="0"/>
              </w:numPr>
              <w:kinsoku/>
              <w:wordWrap/>
              <w:overflowPunct/>
              <w:topLinePunct w:val="0"/>
              <w:autoSpaceDE/>
              <w:autoSpaceDN/>
              <w:bidi w:val="0"/>
              <w:spacing w:before="0" w:beforeAutospacing="0" w:after="0" w:afterAutospacing="0"/>
              <w:ind w:right="0"/>
              <w:jc w:val="center"/>
              <w:rPr>
                <w:color w:val="auto"/>
                <w:spacing w:val="0"/>
                <w:w w:val="100"/>
                <w:kern w:val="21"/>
                <w:position w:val="0"/>
                <w:sz w:val="21"/>
                <w:szCs w:val="21"/>
              </w:rPr>
            </w:pPr>
            <w:r>
              <w:rPr>
                <w:color w:val="auto"/>
                <w:spacing w:val="0"/>
                <w:w w:val="100"/>
                <w:kern w:val="21"/>
                <w:position w:val="0"/>
                <w:sz w:val="21"/>
                <w:szCs w:val="21"/>
              </w:rPr>
              <w:t>颗粒物</w:t>
            </w:r>
          </w:p>
        </w:tc>
        <w:tc>
          <w:tcPr>
            <w:tcW w:w="964" w:type="pct"/>
            <w:tcBorders>
              <w:tl2br w:val="nil"/>
              <w:tr2bl w:val="nil"/>
            </w:tcBorders>
            <w:vAlign w:val="center"/>
          </w:tcPr>
          <w:p w14:paraId="32D896D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szCs w:val="21"/>
              </w:rPr>
            </w:pPr>
            <w:r>
              <w:rPr>
                <w:rFonts w:hint="default"/>
                <w:color w:val="auto"/>
                <w:spacing w:val="0"/>
                <w:w w:val="100"/>
                <w:kern w:val="21"/>
                <w:position w:val="0"/>
                <w:sz w:val="21"/>
                <w:szCs w:val="21"/>
              </w:rPr>
              <w:t>布袋除尘器+15m排气筒（</w:t>
            </w:r>
            <w:r>
              <w:rPr>
                <w:rFonts w:hint="eastAsia"/>
                <w:color w:val="auto"/>
                <w:spacing w:val="0"/>
                <w:w w:val="100"/>
                <w:kern w:val="21"/>
                <w:position w:val="0"/>
                <w:sz w:val="21"/>
                <w:szCs w:val="21"/>
              </w:rPr>
              <w:t>DA00</w:t>
            </w:r>
            <w:r>
              <w:rPr>
                <w:rFonts w:hint="eastAsia"/>
                <w:color w:val="auto"/>
                <w:spacing w:val="0"/>
                <w:w w:val="100"/>
                <w:kern w:val="21"/>
                <w:position w:val="0"/>
                <w:sz w:val="21"/>
                <w:szCs w:val="21"/>
                <w:lang w:val="en-US" w:eastAsia="zh-CN"/>
              </w:rPr>
              <w:t>1</w:t>
            </w:r>
            <w:r>
              <w:rPr>
                <w:rFonts w:hint="default"/>
                <w:color w:val="auto"/>
                <w:spacing w:val="0"/>
                <w:w w:val="100"/>
                <w:kern w:val="21"/>
                <w:position w:val="0"/>
                <w:sz w:val="21"/>
                <w:szCs w:val="21"/>
              </w:rPr>
              <w:t>）</w:t>
            </w:r>
          </w:p>
        </w:tc>
        <w:tc>
          <w:tcPr>
            <w:tcW w:w="402" w:type="pct"/>
            <w:tcBorders>
              <w:tl2br w:val="nil"/>
              <w:tr2bl w:val="nil"/>
            </w:tcBorders>
            <w:vAlign w:val="center"/>
          </w:tcPr>
          <w:p w14:paraId="48ABEE2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eastAsia="宋体"/>
                <w:color w:val="auto"/>
                <w:spacing w:val="0"/>
                <w:w w:val="100"/>
                <w:kern w:val="21"/>
                <w:position w:val="0"/>
                <w:sz w:val="21"/>
                <w:szCs w:val="21"/>
                <w:lang w:val="en-US" w:eastAsia="zh-CN"/>
              </w:rPr>
            </w:pPr>
            <w:r>
              <w:rPr>
                <w:rFonts w:hint="eastAsia"/>
                <w:color w:val="auto"/>
                <w:spacing w:val="0"/>
                <w:w w:val="100"/>
                <w:kern w:val="21"/>
                <w:position w:val="0"/>
                <w:sz w:val="21"/>
                <w:szCs w:val="21"/>
                <w:lang w:val="en-US" w:eastAsia="zh-CN" w:bidi="ar"/>
              </w:rPr>
              <w:t>5.479</w:t>
            </w:r>
          </w:p>
        </w:tc>
        <w:tc>
          <w:tcPr>
            <w:tcW w:w="524" w:type="pct"/>
            <w:tcBorders>
              <w:tl2br w:val="nil"/>
              <w:tr2bl w:val="nil"/>
            </w:tcBorders>
            <w:vAlign w:val="center"/>
          </w:tcPr>
          <w:p w14:paraId="2369620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eastAsia="宋体"/>
                <w:color w:val="auto"/>
                <w:spacing w:val="0"/>
                <w:w w:val="100"/>
                <w:kern w:val="21"/>
                <w:position w:val="0"/>
                <w:sz w:val="21"/>
                <w:szCs w:val="21"/>
                <w:lang w:val="en-US" w:eastAsia="zh-CN" w:bidi="ar"/>
              </w:rPr>
            </w:pPr>
            <w:r>
              <w:rPr>
                <w:rFonts w:hint="eastAsia"/>
                <w:color w:val="auto"/>
                <w:spacing w:val="0"/>
                <w:w w:val="100"/>
                <w:kern w:val="21"/>
                <w:position w:val="0"/>
                <w:sz w:val="21"/>
                <w:szCs w:val="21"/>
                <w:lang w:val="en-US" w:eastAsia="zh-CN" w:bidi="ar"/>
              </w:rPr>
              <w:t>0.055</w:t>
            </w:r>
          </w:p>
        </w:tc>
        <w:tc>
          <w:tcPr>
            <w:tcW w:w="524" w:type="pct"/>
            <w:tcBorders>
              <w:tl2br w:val="nil"/>
              <w:tr2bl w:val="nil"/>
            </w:tcBorders>
            <w:vAlign w:val="center"/>
          </w:tcPr>
          <w:p w14:paraId="4E2189C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eastAsia="宋体"/>
                <w:color w:val="auto"/>
                <w:spacing w:val="0"/>
                <w:w w:val="100"/>
                <w:kern w:val="21"/>
                <w:position w:val="0"/>
                <w:sz w:val="21"/>
                <w:szCs w:val="21"/>
                <w:lang w:val="en-US" w:eastAsia="zh-CN"/>
              </w:rPr>
            </w:pPr>
            <w:r>
              <w:rPr>
                <w:rFonts w:hint="eastAsia"/>
                <w:color w:val="auto"/>
                <w:spacing w:val="0"/>
                <w:w w:val="100"/>
                <w:kern w:val="21"/>
                <w:position w:val="0"/>
                <w:sz w:val="21"/>
                <w:szCs w:val="21"/>
                <w:lang w:bidi="ar"/>
              </w:rPr>
              <w:t>0.2</w:t>
            </w:r>
            <w:r>
              <w:rPr>
                <w:rFonts w:hint="eastAsia"/>
                <w:color w:val="auto"/>
                <w:spacing w:val="0"/>
                <w:w w:val="100"/>
                <w:kern w:val="21"/>
                <w:position w:val="0"/>
                <w:sz w:val="21"/>
                <w:szCs w:val="21"/>
                <w:lang w:val="en-US" w:eastAsia="zh-CN" w:bidi="ar"/>
              </w:rPr>
              <w:t>63</w:t>
            </w:r>
          </w:p>
        </w:tc>
        <w:tc>
          <w:tcPr>
            <w:tcW w:w="351" w:type="pct"/>
            <w:tcBorders>
              <w:tl2br w:val="nil"/>
              <w:tr2bl w:val="nil"/>
            </w:tcBorders>
            <w:vAlign w:val="center"/>
          </w:tcPr>
          <w:p w14:paraId="1C1FEFE4">
            <w:pPr>
              <w:pStyle w:val="9"/>
              <w:keepNext w:val="0"/>
              <w:keepLines w:val="0"/>
              <w:pageBreakBefore w:val="0"/>
              <w:widowControl w:val="0"/>
              <w:numPr>
                <w:ilvl w:val="0"/>
                <w:numId w:val="0"/>
              </w:numPr>
              <w:kinsoku/>
              <w:wordWrap/>
              <w:overflowPunct/>
              <w:topLinePunct w:val="0"/>
              <w:autoSpaceDE/>
              <w:autoSpaceDN/>
              <w:bidi w:val="0"/>
              <w:spacing w:before="0" w:beforeAutospacing="0" w:after="0" w:afterAutospacing="0"/>
              <w:ind w:right="0"/>
              <w:jc w:val="center"/>
              <w:rPr>
                <w:color w:val="auto"/>
                <w:spacing w:val="0"/>
                <w:w w:val="100"/>
                <w:kern w:val="21"/>
                <w:position w:val="0"/>
                <w:sz w:val="21"/>
                <w:szCs w:val="21"/>
              </w:rPr>
            </w:pPr>
            <w:r>
              <w:rPr>
                <w:color w:val="auto"/>
                <w:spacing w:val="0"/>
                <w:w w:val="100"/>
                <w:kern w:val="21"/>
                <w:position w:val="0"/>
                <w:sz w:val="21"/>
                <w:szCs w:val="21"/>
              </w:rPr>
              <w:t>20</w:t>
            </w:r>
            <w:r>
              <w:rPr>
                <w:color w:val="auto"/>
                <w:spacing w:val="0"/>
                <w:w w:val="100"/>
                <w:kern w:val="21"/>
                <w:position w:val="0"/>
                <w:sz w:val="21"/>
                <w:szCs w:val="21"/>
                <w:lang w:bidi="ar"/>
              </w:rPr>
              <w:t>mg/m</w:t>
            </w:r>
            <w:r>
              <w:rPr>
                <w:rFonts w:hint="eastAsia"/>
                <w:color w:val="auto"/>
                <w:spacing w:val="0"/>
                <w:w w:val="100"/>
                <w:kern w:val="21"/>
                <w:position w:val="0"/>
                <w:sz w:val="21"/>
                <w:szCs w:val="21"/>
                <w:vertAlign w:val="superscript"/>
                <w:lang w:val="en-US" w:eastAsia="zh-CN" w:bidi="ar"/>
              </w:rPr>
              <w:t>3</w:t>
            </w:r>
          </w:p>
        </w:tc>
        <w:tc>
          <w:tcPr>
            <w:tcW w:w="953" w:type="pct"/>
            <w:tcBorders>
              <w:tl2br w:val="nil"/>
              <w:tr2bl w:val="nil"/>
            </w:tcBorders>
            <w:vAlign w:val="center"/>
          </w:tcPr>
          <w:p w14:paraId="20D5C8EB">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color w:val="auto"/>
                <w:spacing w:val="0"/>
                <w:w w:val="100"/>
                <w:kern w:val="21"/>
                <w:position w:val="0"/>
                <w:sz w:val="21"/>
                <w:szCs w:val="21"/>
              </w:rPr>
            </w:pPr>
            <w:r>
              <w:rPr>
                <w:rFonts w:hint="eastAsia" w:cs="Times New Roman"/>
                <w:caps w:val="0"/>
                <w:snapToGrid/>
                <w:color w:val="auto"/>
                <w:spacing w:val="0"/>
                <w:w w:val="100"/>
                <w:kern w:val="21"/>
                <w:position w:val="0"/>
                <w:sz w:val="21"/>
                <w:szCs w:val="21"/>
                <w:highlight w:val="none"/>
                <w:lang w:val="en-US" w:eastAsia="zh-CN" w:bidi="ar-SA"/>
              </w:rPr>
              <w:t>《合成树脂工业污染物排放标准》（GB31572-2015）（含2024年修改单）</w:t>
            </w: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t>表</w:t>
            </w:r>
            <w:r>
              <w:rPr>
                <w:rFonts w:hint="eastAsia" w:cs="Times New Roman"/>
                <w:caps w:val="0"/>
                <w:snapToGrid/>
                <w:color w:val="auto"/>
                <w:spacing w:val="0"/>
                <w:w w:val="100"/>
                <w:kern w:val="21"/>
                <w:position w:val="0"/>
                <w:sz w:val="21"/>
                <w:szCs w:val="21"/>
                <w:highlight w:val="none"/>
                <w:lang w:val="en-US" w:eastAsia="zh-CN" w:bidi="ar-SA"/>
              </w:rPr>
              <w:t>5</w:t>
            </w: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t>大气污染物特别排放限值</w:t>
            </w:r>
          </w:p>
        </w:tc>
      </w:tr>
      <w:tr w14:paraId="64D832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227" w:type="pct"/>
            <w:vMerge w:val="continue"/>
            <w:tcBorders>
              <w:tl2br w:val="nil"/>
              <w:tr2bl w:val="nil"/>
            </w:tcBorders>
            <w:vAlign w:val="center"/>
          </w:tcPr>
          <w:p w14:paraId="2723412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szCs w:val="21"/>
              </w:rPr>
            </w:pPr>
          </w:p>
        </w:tc>
        <w:tc>
          <w:tcPr>
            <w:tcW w:w="307" w:type="pct"/>
            <w:vMerge w:val="continue"/>
            <w:tcBorders>
              <w:tl2br w:val="nil"/>
              <w:tr2bl w:val="nil"/>
            </w:tcBorders>
            <w:vAlign w:val="center"/>
          </w:tcPr>
          <w:p w14:paraId="16E61B05">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eastAsia"/>
                <w:color w:val="auto"/>
                <w:spacing w:val="0"/>
                <w:w w:val="100"/>
                <w:kern w:val="21"/>
                <w:position w:val="0"/>
                <w:sz w:val="21"/>
                <w:szCs w:val="21"/>
                <w:lang w:val="en-US" w:eastAsia="zh-CN"/>
              </w:rPr>
            </w:pPr>
          </w:p>
        </w:tc>
        <w:tc>
          <w:tcPr>
            <w:tcW w:w="330" w:type="pct"/>
            <w:tcBorders>
              <w:tl2br w:val="nil"/>
              <w:tr2bl w:val="nil"/>
            </w:tcBorders>
            <w:vAlign w:val="center"/>
          </w:tcPr>
          <w:p w14:paraId="62263F8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eastAsia" w:eastAsia="宋体"/>
                <w:color w:val="auto"/>
                <w:spacing w:val="0"/>
                <w:w w:val="100"/>
                <w:kern w:val="21"/>
                <w:position w:val="0"/>
                <w:sz w:val="21"/>
                <w:szCs w:val="21"/>
                <w:lang w:val="en-US" w:eastAsia="zh-CN"/>
              </w:rPr>
            </w:pPr>
            <w:r>
              <w:rPr>
                <w:rFonts w:hint="eastAsia"/>
                <w:color w:val="auto"/>
                <w:spacing w:val="0"/>
                <w:w w:val="100"/>
                <w:kern w:val="21"/>
                <w:position w:val="0"/>
                <w:sz w:val="21"/>
                <w:szCs w:val="21"/>
                <w:lang w:val="en-US" w:eastAsia="zh-CN"/>
              </w:rPr>
              <w:t>无组织</w:t>
            </w:r>
          </w:p>
        </w:tc>
        <w:tc>
          <w:tcPr>
            <w:tcW w:w="414" w:type="pct"/>
            <w:vMerge w:val="continue"/>
            <w:tcBorders>
              <w:tl2br w:val="nil"/>
              <w:tr2bl w:val="nil"/>
            </w:tcBorders>
            <w:vAlign w:val="center"/>
          </w:tcPr>
          <w:p w14:paraId="0613B03F">
            <w:pPr>
              <w:pStyle w:val="9"/>
              <w:keepNext w:val="0"/>
              <w:keepLines w:val="0"/>
              <w:pageBreakBefore w:val="0"/>
              <w:widowControl w:val="0"/>
              <w:numPr>
                <w:ilvl w:val="0"/>
                <w:numId w:val="0"/>
              </w:numPr>
              <w:kinsoku/>
              <w:wordWrap/>
              <w:overflowPunct/>
              <w:topLinePunct w:val="0"/>
              <w:autoSpaceDE/>
              <w:autoSpaceDN/>
              <w:bidi w:val="0"/>
              <w:spacing w:before="0" w:beforeAutospacing="0" w:after="0" w:afterAutospacing="0"/>
              <w:ind w:right="0"/>
              <w:jc w:val="center"/>
              <w:rPr>
                <w:color w:val="auto"/>
                <w:spacing w:val="0"/>
                <w:w w:val="100"/>
                <w:kern w:val="21"/>
                <w:position w:val="0"/>
                <w:sz w:val="21"/>
                <w:szCs w:val="21"/>
              </w:rPr>
            </w:pPr>
          </w:p>
        </w:tc>
        <w:tc>
          <w:tcPr>
            <w:tcW w:w="964" w:type="pct"/>
            <w:tcBorders>
              <w:tl2br w:val="nil"/>
              <w:tr2bl w:val="nil"/>
            </w:tcBorders>
            <w:vAlign w:val="center"/>
          </w:tcPr>
          <w:p w14:paraId="27D30D6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eastAsia" w:eastAsia="宋体"/>
                <w:color w:val="auto"/>
                <w:spacing w:val="0"/>
                <w:w w:val="100"/>
                <w:kern w:val="21"/>
                <w:position w:val="0"/>
                <w:sz w:val="21"/>
                <w:szCs w:val="21"/>
                <w:lang w:val="en-US" w:eastAsia="zh-CN"/>
              </w:rPr>
            </w:pPr>
            <w:r>
              <w:rPr>
                <w:rFonts w:hint="eastAsia"/>
                <w:color w:val="auto"/>
                <w:spacing w:val="0"/>
                <w:w w:val="100"/>
                <w:kern w:val="21"/>
                <w:position w:val="0"/>
                <w:sz w:val="21"/>
                <w:szCs w:val="21"/>
                <w:lang w:val="en-US" w:eastAsia="zh-CN"/>
              </w:rPr>
              <w:t>/</w:t>
            </w:r>
          </w:p>
        </w:tc>
        <w:tc>
          <w:tcPr>
            <w:tcW w:w="402" w:type="pct"/>
            <w:tcBorders>
              <w:tl2br w:val="nil"/>
              <w:tr2bl w:val="nil"/>
            </w:tcBorders>
            <w:vAlign w:val="center"/>
          </w:tcPr>
          <w:p w14:paraId="38526AD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eastAsia" w:eastAsia="宋体"/>
                <w:color w:val="auto"/>
                <w:spacing w:val="0"/>
                <w:w w:val="100"/>
                <w:kern w:val="21"/>
                <w:position w:val="0"/>
                <w:sz w:val="21"/>
                <w:szCs w:val="21"/>
                <w:lang w:val="en-US" w:eastAsia="zh-CN" w:bidi="ar"/>
              </w:rPr>
            </w:pPr>
            <w:r>
              <w:rPr>
                <w:rFonts w:hint="eastAsia"/>
                <w:color w:val="auto"/>
                <w:spacing w:val="0"/>
                <w:w w:val="100"/>
                <w:kern w:val="21"/>
                <w:position w:val="0"/>
                <w:sz w:val="21"/>
                <w:szCs w:val="21"/>
                <w:lang w:val="en-US" w:eastAsia="zh-CN" w:bidi="ar"/>
              </w:rPr>
              <w:t>/</w:t>
            </w:r>
          </w:p>
        </w:tc>
        <w:tc>
          <w:tcPr>
            <w:tcW w:w="524" w:type="pct"/>
            <w:tcBorders>
              <w:tl2br w:val="nil"/>
              <w:tr2bl w:val="nil"/>
            </w:tcBorders>
            <w:vAlign w:val="center"/>
          </w:tcPr>
          <w:p w14:paraId="0DBC635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color w:val="auto"/>
                <w:spacing w:val="0"/>
                <w:w w:val="100"/>
                <w:kern w:val="21"/>
                <w:position w:val="0"/>
                <w:sz w:val="21"/>
                <w:szCs w:val="21"/>
                <w:lang w:val="en-US" w:eastAsia="zh-CN" w:bidi="ar"/>
              </w:rPr>
            </w:pPr>
            <w:r>
              <w:rPr>
                <w:rFonts w:hint="eastAsia"/>
                <w:color w:val="auto"/>
                <w:spacing w:val="0"/>
                <w:w w:val="100"/>
                <w:kern w:val="21"/>
                <w:position w:val="0"/>
                <w:sz w:val="21"/>
                <w:szCs w:val="21"/>
                <w:lang w:val="en-US" w:eastAsia="zh-CN" w:bidi="ar"/>
              </w:rPr>
              <w:t>0.289</w:t>
            </w:r>
          </w:p>
        </w:tc>
        <w:tc>
          <w:tcPr>
            <w:tcW w:w="524" w:type="pct"/>
            <w:tcBorders>
              <w:tl2br w:val="nil"/>
              <w:tr2bl w:val="nil"/>
            </w:tcBorders>
            <w:vAlign w:val="center"/>
          </w:tcPr>
          <w:p w14:paraId="5A782C7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eastAsia="宋体"/>
                <w:color w:val="auto"/>
                <w:spacing w:val="0"/>
                <w:w w:val="100"/>
                <w:kern w:val="21"/>
                <w:position w:val="0"/>
                <w:sz w:val="21"/>
                <w:szCs w:val="21"/>
                <w:lang w:val="en-US" w:eastAsia="zh-CN" w:bidi="ar"/>
              </w:rPr>
            </w:pPr>
            <w:r>
              <w:rPr>
                <w:rFonts w:hint="eastAsia"/>
                <w:color w:val="auto"/>
                <w:spacing w:val="0"/>
                <w:w w:val="100"/>
                <w:kern w:val="21"/>
                <w:position w:val="0"/>
                <w:sz w:val="21"/>
                <w:szCs w:val="21"/>
                <w:lang w:val="en-US" w:eastAsia="zh-CN" w:bidi="ar"/>
              </w:rPr>
              <w:t>1.386</w:t>
            </w:r>
          </w:p>
        </w:tc>
        <w:tc>
          <w:tcPr>
            <w:tcW w:w="351" w:type="pct"/>
            <w:tcBorders>
              <w:tl2br w:val="nil"/>
              <w:tr2bl w:val="nil"/>
            </w:tcBorders>
            <w:vAlign w:val="center"/>
          </w:tcPr>
          <w:p w14:paraId="6518C21D">
            <w:pPr>
              <w:pStyle w:val="9"/>
              <w:keepNext w:val="0"/>
              <w:keepLines w:val="0"/>
              <w:pageBreakBefore w:val="0"/>
              <w:widowControl w:val="0"/>
              <w:numPr>
                <w:ilvl w:val="0"/>
                <w:numId w:val="0"/>
              </w:numPr>
              <w:kinsoku/>
              <w:wordWrap/>
              <w:overflowPunct/>
              <w:topLinePunct w:val="0"/>
              <w:autoSpaceDE/>
              <w:autoSpaceDN/>
              <w:bidi w:val="0"/>
              <w:spacing w:before="0" w:beforeAutospacing="0" w:after="0" w:afterAutospacing="0"/>
              <w:ind w:right="0"/>
              <w:jc w:val="center"/>
              <w:rPr>
                <w:rFonts w:hint="eastAsia" w:eastAsia="宋体"/>
                <w:color w:val="auto"/>
                <w:spacing w:val="0"/>
                <w:w w:val="100"/>
                <w:kern w:val="21"/>
                <w:position w:val="0"/>
                <w:sz w:val="21"/>
                <w:szCs w:val="21"/>
                <w:lang w:val="en-US" w:eastAsia="zh-CN"/>
              </w:rPr>
            </w:pPr>
            <w:r>
              <w:rPr>
                <w:rFonts w:hint="eastAsia"/>
                <w:color w:val="auto"/>
                <w:spacing w:val="0"/>
                <w:w w:val="100"/>
                <w:kern w:val="21"/>
                <w:position w:val="0"/>
                <w:sz w:val="21"/>
                <w:szCs w:val="21"/>
                <w:lang w:val="en-US" w:eastAsia="zh-CN"/>
              </w:rPr>
              <w:t>1.0</w:t>
            </w:r>
            <w:r>
              <w:rPr>
                <w:color w:val="auto"/>
                <w:spacing w:val="0"/>
                <w:w w:val="100"/>
                <w:kern w:val="21"/>
                <w:position w:val="0"/>
                <w:sz w:val="21"/>
                <w:szCs w:val="21"/>
                <w:lang w:bidi="ar"/>
              </w:rPr>
              <w:t>mg/m</w:t>
            </w:r>
            <w:r>
              <w:rPr>
                <w:rFonts w:hint="eastAsia"/>
                <w:color w:val="auto"/>
                <w:spacing w:val="0"/>
                <w:w w:val="100"/>
                <w:kern w:val="21"/>
                <w:position w:val="0"/>
                <w:sz w:val="21"/>
                <w:szCs w:val="21"/>
                <w:vertAlign w:val="superscript"/>
                <w:lang w:val="en-US" w:eastAsia="zh-CN" w:bidi="ar"/>
              </w:rPr>
              <w:t>3</w:t>
            </w:r>
          </w:p>
        </w:tc>
        <w:tc>
          <w:tcPr>
            <w:tcW w:w="953" w:type="pct"/>
            <w:tcBorders>
              <w:tl2br w:val="nil"/>
              <w:tr2bl w:val="nil"/>
            </w:tcBorders>
            <w:vAlign w:val="center"/>
          </w:tcPr>
          <w:p w14:paraId="75ADFCF0">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color w:val="auto"/>
                <w:spacing w:val="0"/>
                <w:w w:val="100"/>
                <w:kern w:val="21"/>
                <w:position w:val="0"/>
                <w:sz w:val="21"/>
                <w:szCs w:val="21"/>
              </w:rPr>
            </w:pPr>
            <w:r>
              <w:rPr>
                <w:rFonts w:hint="eastAsia" w:cs="Times New Roman"/>
                <w:caps w:val="0"/>
                <w:snapToGrid/>
                <w:color w:val="auto"/>
                <w:spacing w:val="0"/>
                <w:w w:val="100"/>
                <w:kern w:val="21"/>
                <w:position w:val="0"/>
                <w:sz w:val="21"/>
                <w:szCs w:val="21"/>
                <w:highlight w:val="none"/>
                <w:lang w:val="en-US" w:eastAsia="zh-CN" w:bidi="ar-SA"/>
              </w:rPr>
              <w:t>《合成树脂工业污染物排放标准》（GB31572-2015）（含2024年修改单）</w:t>
            </w: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t>表</w:t>
            </w:r>
            <w:r>
              <w:rPr>
                <w:rFonts w:hint="eastAsia" w:cs="Times New Roman"/>
                <w:caps w:val="0"/>
                <w:snapToGrid/>
                <w:color w:val="auto"/>
                <w:spacing w:val="0"/>
                <w:w w:val="100"/>
                <w:kern w:val="21"/>
                <w:position w:val="0"/>
                <w:sz w:val="21"/>
                <w:szCs w:val="21"/>
                <w:highlight w:val="none"/>
                <w:lang w:val="en-US" w:eastAsia="zh-CN" w:bidi="ar-SA"/>
              </w:rPr>
              <w:t>9</w:t>
            </w: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t>排放限值</w:t>
            </w:r>
          </w:p>
        </w:tc>
      </w:tr>
      <w:tr w14:paraId="68E5F4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227" w:type="pct"/>
            <w:vMerge w:val="continue"/>
            <w:tcBorders>
              <w:tl2br w:val="nil"/>
              <w:tr2bl w:val="nil"/>
            </w:tcBorders>
            <w:vAlign w:val="center"/>
          </w:tcPr>
          <w:p w14:paraId="3E90F2A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szCs w:val="21"/>
              </w:rPr>
            </w:pPr>
          </w:p>
        </w:tc>
        <w:tc>
          <w:tcPr>
            <w:tcW w:w="307" w:type="pct"/>
            <w:vMerge w:val="restart"/>
            <w:tcBorders>
              <w:tl2br w:val="nil"/>
              <w:tr2bl w:val="nil"/>
            </w:tcBorders>
            <w:shd w:val="clear" w:color="auto" w:fill="auto"/>
            <w:vAlign w:val="center"/>
          </w:tcPr>
          <w:p w14:paraId="799C7EB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eastAsia" w:ascii="Times New Roman" w:hAnsi="Times New Roman" w:eastAsia="宋体" w:cstheme="minorBidi"/>
                <w:color w:val="auto"/>
                <w:spacing w:val="0"/>
                <w:w w:val="100"/>
                <w:kern w:val="21"/>
                <w:position w:val="0"/>
                <w:sz w:val="21"/>
                <w:szCs w:val="21"/>
                <w:lang w:val="en-US" w:eastAsia="zh-CN" w:bidi="ar-SA"/>
              </w:rPr>
            </w:pPr>
            <w:r>
              <w:rPr>
                <w:rFonts w:hint="default" w:eastAsia="宋体"/>
                <w:color w:val="auto"/>
                <w:spacing w:val="0"/>
                <w:w w:val="100"/>
                <w:kern w:val="21"/>
                <w:position w:val="0"/>
                <w:sz w:val="21"/>
                <w:szCs w:val="21"/>
                <w:lang w:val="en-US" w:eastAsia="zh-CN"/>
              </w:rPr>
              <w:t>挤出成型、热压复合、修边保温、</w:t>
            </w:r>
          </w:p>
        </w:tc>
        <w:tc>
          <w:tcPr>
            <w:tcW w:w="330" w:type="pct"/>
            <w:tcBorders>
              <w:tl2br w:val="nil"/>
              <w:tr2bl w:val="nil"/>
            </w:tcBorders>
            <w:shd w:val="clear" w:color="auto" w:fill="auto"/>
            <w:vAlign w:val="center"/>
          </w:tcPr>
          <w:p w14:paraId="61ED66B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ascii="Times New Roman" w:hAnsi="Times New Roman" w:eastAsia="宋体" w:cstheme="minorBidi"/>
                <w:color w:val="auto"/>
                <w:spacing w:val="0"/>
                <w:w w:val="100"/>
                <w:kern w:val="21"/>
                <w:position w:val="0"/>
                <w:sz w:val="21"/>
                <w:szCs w:val="21"/>
                <w:lang w:val="en-US" w:eastAsia="zh-CN" w:bidi="ar-SA"/>
              </w:rPr>
            </w:pPr>
            <w:r>
              <w:rPr>
                <w:rFonts w:hint="default"/>
                <w:color w:val="auto"/>
                <w:spacing w:val="0"/>
                <w:w w:val="100"/>
                <w:kern w:val="21"/>
                <w:position w:val="0"/>
                <w:sz w:val="21"/>
                <w:szCs w:val="21"/>
              </w:rPr>
              <w:t>有组织</w:t>
            </w:r>
          </w:p>
        </w:tc>
        <w:tc>
          <w:tcPr>
            <w:tcW w:w="414" w:type="pct"/>
            <w:vMerge w:val="restart"/>
            <w:tcBorders>
              <w:tl2br w:val="nil"/>
              <w:tr2bl w:val="nil"/>
            </w:tcBorders>
            <w:vAlign w:val="center"/>
          </w:tcPr>
          <w:p w14:paraId="5F1F4232">
            <w:pPr>
              <w:pStyle w:val="9"/>
              <w:keepNext w:val="0"/>
              <w:keepLines w:val="0"/>
              <w:pageBreakBefore w:val="0"/>
              <w:widowControl w:val="0"/>
              <w:numPr>
                <w:ilvl w:val="0"/>
                <w:numId w:val="0"/>
              </w:numPr>
              <w:kinsoku/>
              <w:wordWrap/>
              <w:overflowPunct/>
              <w:topLinePunct w:val="0"/>
              <w:autoSpaceDE/>
              <w:autoSpaceDN/>
              <w:bidi w:val="0"/>
              <w:spacing w:before="0" w:beforeAutospacing="0" w:after="0" w:afterAutospacing="0"/>
              <w:ind w:right="0"/>
              <w:jc w:val="center"/>
              <w:rPr>
                <w:color w:val="auto"/>
                <w:spacing w:val="0"/>
                <w:w w:val="100"/>
                <w:kern w:val="21"/>
                <w:position w:val="0"/>
                <w:sz w:val="21"/>
                <w:szCs w:val="21"/>
              </w:rPr>
            </w:pPr>
            <w:r>
              <w:rPr>
                <w:color w:val="auto"/>
                <w:spacing w:val="0"/>
                <w:w w:val="100"/>
                <w:kern w:val="21"/>
                <w:position w:val="0"/>
                <w:sz w:val="21"/>
                <w:szCs w:val="21"/>
              </w:rPr>
              <w:t>非甲烷总烃</w:t>
            </w:r>
          </w:p>
        </w:tc>
        <w:tc>
          <w:tcPr>
            <w:tcW w:w="964" w:type="pct"/>
            <w:tcBorders>
              <w:tl2br w:val="nil"/>
              <w:tr2bl w:val="nil"/>
            </w:tcBorders>
            <w:vAlign w:val="center"/>
          </w:tcPr>
          <w:p w14:paraId="551D624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szCs w:val="21"/>
              </w:rPr>
            </w:pPr>
            <w:r>
              <w:rPr>
                <w:rFonts w:hint="default"/>
                <w:color w:val="auto"/>
                <w:spacing w:val="0"/>
                <w:w w:val="100"/>
                <w:kern w:val="21"/>
                <w:position w:val="0"/>
                <w:sz w:val="21"/>
                <w:szCs w:val="21"/>
                <w:lang w:val="en-US" w:eastAsia="zh-CN"/>
              </w:rPr>
              <w:t>‘</w:t>
            </w:r>
            <w:r>
              <w:rPr>
                <w:rFonts w:hint="eastAsia"/>
                <w:color w:val="auto"/>
                <w:spacing w:val="0"/>
                <w:w w:val="100"/>
                <w:kern w:val="21"/>
                <w:position w:val="0"/>
                <w:sz w:val="21"/>
                <w:szCs w:val="21"/>
              </w:rPr>
              <w:t>性炭吸附脱附+催化燃烧装置</w:t>
            </w:r>
            <w:r>
              <w:rPr>
                <w:rFonts w:hint="eastAsia"/>
                <w:color w:val="auto"/>
                <w:spacing w:val="0"/>
                <w:w w:val="100"/>
                <w:kern w:val="21"/>
                <w:position w:val="0"/>
                <w:sz w:val="21"/>
                <w:szCs w:val="21"/>
                <w:lang w:eastAsia="zh-CN"/>
              </w:rPr>
              <w:t>”</w:t>
            </w:r>
            <w:r>
              <w:rPr>
                <w:rFonts w:hint="default"/>
                <w:color w:val="auto"/>
                <w:spacing w:val="0"/>
                <w:w w:val="100"/>
                <w:kern w:val="21"/>
                <w:position w:val="0"/>
                <w:sz w:val="21"/>
                <w:szCs w:val="21"/>
              </w:rPr>
              <w:t>+15m排气筒（DA00</w:t>
            </w:r>
            <w:r>
              <w:rPr>
                <w:rFonts w:hint="eastAsia"/>
                <w:color w:val="auto"/>
                <w:spacing w:val="0"/>
                <w:w w:val="100"/>
                <w:kern w:val="21"/>
                <w:position w:val="0"/>
                <w:sz w:val="21"/>
                <w:szCs w:val="21"/>
                <w:lang w:val="en-US" w:eastAsia="zh-CN"/>
              </w:rPr>
              <w:t>2</w:t>
            </w:r>
            <w:r>
              <w:rPr>
                <w:rFonts w:hint="default"/>
                <w:color w:val="auto"/>
                <w:spacing w:val="0"/>
                <w:w w:val="100"/>
                <w:kern w:val="21"/>
                <w:position w:val="0"/>
                <w:sz w:val="21"/>
                <w:szCs w:val="21"/>
              </w:rPr>
              <w:t>）</w:t>
            </w:r>
          </w:p>
        </w:tc>
        <w:tc>
          <w:tcPr>
            <w:tcW w:w="402" w:type="pct"/>
            <w:tcBorders>
              <w:tl2br w:val="nil"/>
              <w:tr2bl w:val="nil"/>
            </w:tcBorders>
            <w:vAlign w:val="center"/>
          </w:tcPr>
          <w:p w14:paraId="0E60564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eastAsia="宋体"/>
                <w:color w:val="auto"/>
                <w:spacing w:val="0"/>
                <w:w w:val="100"/>
                <w:kern w:val="21"/>
                <w:position w:val="0"/>
                <w:sz w:val="21"/>
                <w:szCs w:val="21"/>
                <w:lang w:val="en-US" w:eastAsia="zh-CN"/>
              </w:rPr>
            </w:pPr>
            <w:r>
              <w:rPr>
                <w:rFonts w:hint="eastAsia"/>
                <w:color w:val="auto"/>
                <w:spacing w:val="0"/>
                <w:w w:val="100"/>
                <w:kern w:val="21"/>
                <w:position w:val="0"/>
                <w:sz w:val="21"/>
                <w:szCs w:val="21"/>
                <w:lang w:val="en-US" w:eastAsia="zh-CN" w:bidi="ar"/>
              </w:rPr>
              <w:t>30.806</w:t>
            </w:r>
          </w:p>
        </w:tc>
        <w:tc>
          <w:tcPr>
            <w:tcW w:w="524" w:type="pct"/>
            <w:tcBorders>
              <w:tl2br w:val="nil"/>
              <w:tr2bl w:val="nil"/>
            </w:tcBorders>
            <w:vAlign w:val="center"/>
          </w:tcPr>
          <w:p w14:paraId="1481E61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color w:val="auto"/>
                <w:spacing w:val="0"/>
                <w:w w:val="100"/>
                <w:kern w:val="21"/>
                <w:position w:val="0"/>
                <w:sz w:val="21"/>
                <w:szCs w:val="21"/>
                <w:lang w:val="en-US" w:eastAsia="zh-CN" w:bidi="ar"/>
              </w:rPr>
            </w:pPr>
            <w:r>
              <w:rPr>
                <w:rFonts w:hint="eastAsia"/>
                <w:color w:val="auto"/>
                <w:spacing w:val="0"/>
                <w:w w:val="100"/>
                <w:kern w:val="21"/>
                <w:position w:val="0"/>
                <w:sz w:val="21"/>
                <w:szCs w:val="21"/>
                <w:lang w:val="en-US" w:eastAsia="zh-CN" w:bidi="ar"/>
              </w:rPr>
              <w:t>0.462</w:t>
            </w:r>
          </w:p>
        </w:tc>
        <w:tc>
          <w:tcPr>
            <w:tcW w:w="524" w:type="pct"/>
            <w:tcBorders>
              <w:tl2br w:val="nil"/>
              <w:tr2bl w:val="nil"/>
            </w:tcBorders>
            <w:vAlign w:val="center"/>
          </w:tcPr>
          <w:p w14:paraId="290D131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eastAsia="宋体"/>
                <w:color w:val="auto"/>
                <w:spacing w:val="0"/>
                <w:w w:val="100"/>
                <w:kern w:val="21"/>
                <w:position w:val="0"/>
                <w:sz w:val="21"/>
                <w:szCs w:val="21"/>
                <w:lang w:val="en-US" w:eastAsia="zh-CN"/>
              </w:rPr>
            </w:pPr>
            <w:r>
              <w:rPr>
                <w:rFonts w:hint="eastAsia"/>
                <w:color w:val="auto"/>
                <w:spacing w:val="0"/>
                <w:w w:val="100"/>
                <w:kern w:val="21"/>
                <w:position w:val="0"/>
                <w:sz w:val="21"/>
                <w:szCs w:val="21"/>
                <w:lang w:val="en-US" w:eastAsia="zh-CN" w:bidi="ar"/>
              </w:rPr>
              <w:t>2.218</w:t>
            </w:r>
          </w:p>
        </w:tc>
        <w:tc>
          <w:tcPr>
            <w:tcW w:w="351" w:type="pct"/>
            <w:tcBorders>
              <w:tl2br w:val="nil"/>
              <w:tr2bl w:val="nil"/>
            </w:tcBorders>
            <w:vAlign w:val="center"/>
          </w:tcPr>
          <w:p w14:paraId="00F7490D">
            <w:pPr>
              <w:pStyle w:val="9"/>
              <w:keepNext w:val="0"/>
              <w:keepLines w:val="0"/>
              <w:pageBreakBefore w:val="0"/>
              <w:widowControl w:val="0"/>
              <w:numPr>
                <w:ilvl w:val="0"/>
                <w:numId w:val="0"/>
              </w:numPr>
              <w:kinsoku/>
              <w:wordWrap/>
              <w:overflowPunct/>
              <w:topLinePunct w:val="0"/>
              <w:autoSpaceDE/>
              <w:autoSpaceDN/>
              <w:bidi w:val="0"/>
              <w:spacing w:before="0" w:beforeAutospacing="0" w:after="0" w:afterAutospacing="0"/>
              <w:ind w:right="0"/>
              <w:jc w:val="center"/>
              <w:rPr>
                <w:color w:val="auto"/>
                <w:spacing w:val="0"/>
                <w:w w:val="100"/>
                <w:kern w:val="21"/>
                <w:position w:val="0"/>
                <w:sz w:val="21"/>
                <w:szCs w:val="21"/>
              </w:rPr>
            </w:pPr>
            <w:r>
              <w:rPr>
                <w:rFonts w:hint="eastAsia"/>
                <w:color w:val="auto"/>
                <w:spacing w:val="0"/>
                <w:w w:val="100"/>
                <w:kern w:val="21"/>
                <w:position w:val="0"/>
                <w:sz w:val="21"/>
                <w:szCs w:val="21"/>
                <w:lang w:val="en-US" w:eastAsia="zh-CN"/>
              </w:rPr>
              <w:t>6</w:t>
            </w:r>
            <w:r>
              <w:rPr>
                <w:color w:val="auto"/>
                <w:spacing w:val="0"/>
                <w:w w:val="100"/>
                <w:kern w:val="21"/>
                <w:position w:val="0"/>
                <w:sz w:val="21"/>
                <w:szCs w:val="21"/>
              </w:rPr>
              <w:t>0m</w:t>
            </w:r>
            <w:r>
              <w:rPr>
                <w:color w:val="auto"/>
                <w:spacing w:val="0"/>
                <w:w w:val="100"/>
                <w:kern w:val="21"/>
                <w:position w:val="0"/>
                <w:sz w:val="21"/>
                <w:szCs w:val="21"/>
                <w:lang w:bidi="ar"/>
              </w:rPr>
              <w:t>g/m</w:t>
            </w:r>
            <w:r>
              <w:rPr>
                <w:rFonts w:hint="eastAsia"/>
                <w:color w:val="auto"/>
                <w:spacing w:val="0"/>
                <w:w w:val="100"/>
                <w:kern w:val="21"/>
                <w:position w:val="0"/>
                <w:sz w:val="21"/>
                <w:szCs w:val="21"/>
                <w:vertAlign w:val="superscript"/>
                <w:lang w:val="en-US" w:eastAsia="zh-CN" w:bidi="ar"/>
              </w:rPr>
              <w:t>3</w:t>
            </w:r>
          </w:p>
        </w:tc>
        <w:tc>
          <w:tcPr>
            <w:tcW w:w="953" w:type="pct"/>
            <w:tcBorders>
              <w:tl2br w:val="nil"/>
              <w:tr2bl w:val="nil"/>
            </w:tcBorders>
            <w:vAlign w:val="center"/>
          </w:tcPr>
          <w:p w14:paraId="18A8110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szCs w:val="21"/>
              </w:rPr>
            </w:pPr>
            <w:r>
              <w:rPr>
                <w:rFonts w:hint="eastAsia" w:cs="Times New Roman"/>
                <w:caps w:val="0"/>
                <w:snapToGrid/>
                <w:color w:val="auto"/>
                <w:spacing w:val="0"/>
                <w:w w:val="100"/>
                <w:kern w:val="21"/>
                <w:position w:val="0"/>
                <w:sz w:val="21"/>
                <w:szCs w:val="21"/>
                <w:highlight w:val="none"/>
                <w:lang w:val="en-US" w:eastAsia="zh-CN" w:bidi="ar-SA"/>
              </w:rPr>
              <w:t>《合成树脂工业污染物排放标准》（GB31572-2015）（含2024年修改单）</w:t>
            </w: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t>表</w:t>
            </w:r>
            <w:r>
              <w:rPr>
                <w:rFonts w:hint="eastAsia" w:cs="Times New Roman"/>
                <w:caps w:val="0"/>
                <w:snapToGrid/>
                <w:color w:val="auto"/>
                <w:spacing w:val="0"/>
                <w:w w:val="100"/>
                <w:kern w:val="21"/>
                <w:position w:val="0"/>
                <w:sz w:val="21"/>
                <w:szCs w:val="21"/>
                <w:highlight w:val="none"/>
                <w:lang w:val="en-US" w:eastAsia="zh-CN" w:bidi="ar-SA"/>
              </w:rPr>
              <w:t>5</w:t>
            </w: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t>大气污染物特别排放限值</w:t>
            </w:r>
          </w:p>
        </w:tc>
      </w:tr>
      <w:tr w14:paraId="0EEA4B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227" w:type="pct"/>
            <w:vMerge w:val="continue"/>
            <w:tcBorders>
              <w:tl2br w:val="nil"/>
              <w:tr2bl w:val="nil"/>
            </w:tcBorders>
            <w:vAlign w:val="center"/>
          </w:tcPr>
          <w:p w14:paraId="5835DF0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szCs w:val="21"/>
              </w:rPr>
            </w:pPr>
          </w:p>
        </w:tc>
        <w:tc>
          <w:tcPr>
            <w:tcW w:w="307" w:type="pct"/>
            <w:vMerge w:val="continue"/>
            <w:tcBorders>
              <w:tl2br w:val="nil"/>
              <w:tr2bl w:val="nil"/>
            </w:tcBorders>
            <w:shd w:val="clear" w:color="auto" w:fill="auto"/>
            <w:vAlign w:val="center"/>
          </w:tcPr>
          <w:p w14:paraId="3EDF228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eastAsia" w:ascii="Times New Roman" w:hAnsi="Times New Roman" w:eastAsia="宋体" w:cstheme="minorBidi"/>
                <w:color w:val="auto"/>
                <w:spacing w:val="0"/>
                <w:w w:val="100"/>
                <w:kern w:val="21"/>
                <w:position w:val="0"/>
                <w:sz w:val="21"/>
                <w:szCs w:val="21"/>
                <w:lang w:val="en-US" w:eastAsia="zh-CN" w:bidi="ar-SA"/>
              </w:rPr>
            </w:pPr>
          </w:p>
        </w:tc>
        <w:tc>
          <w:tcPr>
            <w:tcW w:w="330" w:type="pct"/>
            <w:tcBorders>
              <w:tl2br w:val="nil"/>
              <w:tr2bl w:val="nil"/>
            </w:tcBorders>
            <w:shd w:val="clear" w:color="auto" w:fill="auto"/>
            <w:vAlign w:val="center"/>
          </w:tcPr>
          <w:p w14:paraId="2CBC4BE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eastAsia" w:ascii="Times New Roman" w:hAnsi="Times New Roman" w:eastAsia="宋体" w:cstheme="minorBidi"/>
                <w:color w:val="auto"/>
                <w:spacing w:val="0"/>
                <w:w w:val="100"/>
                <w:kern w:val="21"/>
                <w:position w:val="0"/>
                <w:sz w:val="21"/>
                <w:szCs w:val="21"/>
                <w:lang w:val="en-US" w:eastAsia="zh-CN" w:bidi="ar-SA"/>
              </w:rPr>
            </w:pPr>
            <w:r>
              <w:rPr>
                <w:rFonts w:hint="eastAsia"/>
                <w:color w:val="auto"/>
                <w:spacing w:val="0"/>
                <w:w w:val="100"/>
                <w:kern w:val="21"/>
                <w:position w:val="0"/>
                <w:sz w:val="21"/>
                <w:szCs w:val="21"/>
                <w:lang w:val="en-US" w:eastAsia="zh-CN"/>
              </w:rPr>
              <w:t>无组织</w:t>
            </w:r>
          </w:p>
        </w:tc>
        <w:tc>
          <w:tcPr>
            <w:tcW w:w="414" w:type="pct"/>
            <w:vMerge w:val="continue"/>
            <w:tcBorders>
              <w:tl2br w:val="nil"/>
              <w:tr2bl w:val="nil"/>
            </w:tcBorders>
            <w:vAlign w:val="center"/>
          </w:tcPr>
          <w:p w14:paraId="4E46E0AA">
            <w:pPr>
              <w:pStyle w:val="9"/>
              <w:keepNext w:val="0"/>
              <w:keepLines w:val="0"/>
              <w:pageBreakBefore w:val="0"/>
              <w:widowControl w:val="0"/>
              <w:numPr>
                <w:ilvl w:val="0"/>
                <w:numId w:val="0"/>
              </w:numPr>
              <w:kinsoku/>
              <w:wordWrap/>
              <w:overflowPunct/>
              <w:topLinePunct w:val="0"/>
              <w:autoSpaceDE/>
              <w:autoSpaceDN/>
              <w:bidi w:val="0"/>
              <w:spacing w:before="0" w:beforeAutospacing="0" w:after="0" w:afterAutospacing="0"/>
              <w:ind w:right="0"/>
              <w:jc w:val="center"/>
              <w:rPr>
                <w:color w:val="auto"/>
                <w:spacing w:val="0"/>
                <w:w w:val="100"/>
                <w:kern w:val="21"/>
                <w:position w:val="0"/>
                <w:sz w:val="21"/>
                <w:szCs w:val="21"/>
              </w:rPr>
            </w:pPr>
          </w:p>
        </w:tc>
        <w:tc>
          <w:tcPr>
            <w:tcW w:w="964" w:type="pct"/>
            <w:tcBorders>
              <w:tl2br w:val="nil"/>
              <w:tr2bl w:val="nil"/>
            </w:tcBorders>
            <w:vAlign w:val="center"/>
          </w:tcPr>
          <w:p w14:paraId="4CA46B1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szCs w:val="21"/>
                <w:lang w:val="en-US" w:eastAsia="zh-CN"/>
              </w:rPr>
            </w:pPr>
            <w:r>
              <w:rPr>
                <w:rFonts w:hint="eastAsia"/>
                <w:color w:val="auto"/>
                <w:spacing w:val="0"/>
                <w:w w:val="100"/>
                <w:kern w:val="21"/>
                <w:position w:val="0"/>
                <w:sz w:val="21"/>
                <w:szCs w:val="21"/>
                <w:lang w:val="en-US" w:eastAsia="zh-CN"/>
              </w:rPr>
              <w:t>/</w:t>
            </w:r>
          </w:p>
        </w:tc>
        <w:tc>
          <w:tcPr>
            <w:tcW w:w="402" w:type="pct"/>
            <w:tcBorders>
              <w:tl2br w:val="nil"/>
              <w:tr2bl w:val="nil"/>
            </w:tcBorders>
            <w:vAlign w:val="center"/>
          </w:tcPr>
          <w:p w14:paraId="0A008D25">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eastAsia" w:eastAsia="宋体"/>
                <w:color w:val="auto"/>
                <w:spacing w:val="0"/>
                <w:w w:val="100"/>
                <w:kern w:val="21"/>
                <w:position w:val="0"/>
                <w:sz w:val="21"/>
                <w:szCs w:val="21"/>
                <w:lang w:val="en-US" w:eastAsia="zh-CN" w:bidi="ar"/>
              </w:rPr>
            </w:pPr>
            <w:r>
              <w:rPr>
                <w:rFonts w:hint="eastAsia"/>
                <w:color w:val="auto"/>
                <w:spacing w:val="0"/>
                <w:w w:val="100"/>
                <w:kern w:val="21"/>
                <w:position w:val="0"/>
                <w:sz w:val="21"/>
                <w:szCs w:val="21"/>
                <w:lang w:val="en-US" w:eastAsia="zh-CN" w:bidi="ar"/>
              </w:rPr>
              <w:t>/</w:t>
            </w:r>
          </w:p>
        </w:tc>
        <w:tc>
          <w:tcPr>
            <w:tcW w:w="524" w:type="pct"/>
            <w:tcBorders>
              <w:tl2br w:val="nil"/>
              <w:tr2bl w:val="nil"/>
            </w:tcBorders>
            <w:vAlign w:val="center"/>
          </w:tcPr>
          <w:p w14:paraId="761C9E5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color w:val="auto"/>
                <w:spacing w:val="0"/>
                <w:w w:val="100"/>
                <w:kern w:val="21"/>
                <w:position w:val="0"/>
                <w:sz w:val="21"/>
                <w:szCs w:val="21"/>
                <w:lang w:val="en-US" w:eastAsia="zh-CN" w:bidi="ar"/>
              </w:rPr>
            </w:pPr>
            <w:r>
              <w:rPr>
                <w:rFonts w:hint="eastAsia"/>
                <w:color w:val="auto"/>
                <w:spacing w:val="0"/>
                <w:w w:val="100"/>
                <w:kern w:val="21"/>
                <w:position w:val="0"/>
                <w:sz w:val="21"/>
                <w:szCs w:val="21"/>
                <w:lang w:val="en-US" w:eastAsia="zh-CN" w:bidi="ar"/>
              </w:rPr>
              <w:t>0.289</w:t>
            </w:r>
          </w:p>
        </w:tc>
        <w:tc>
          <w:tcPr>
            <w:tcW w:w="524" w:type="pct"/>
            <w:tcBorders>
              <w:tl2br w:val="nil"/>
              <w:tr2bl w:val="nil"/>
            </w:tcBorders>
            <w:vAlign w:val="center"/>
          </w:tcPr>
          <w:p w14:paraId="060837E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eastAsia="宋体"/>
                <w:color w:val="auto"/>
                <w:spacing w:val="0"/>
                <w:w w:val="100"/>
                <w:kern w:val="21"/>
                <w:position w:val="0"/>
                <w:sz w:val="21"/>
                <w:szCs w:val="21"/>
                <w:lang w:val="en-US" w:eastAsia="zh-CN" w:bidi="ar"/>
              </w:rPr>
            </w:pPr>
            <w:r>
              <w:rPr>
                <w:rFonts w:hint="eastAsia"/>
                <w:color w:val="auto"/>
                <w:spacing w:val="0"/>
                <w:w w:val="100"/>
                <w:kern w:val="21"/>
                <w:position w:val="0"/>
                <w:sz w:val="21"/>
                <w:szCs w:val="21"/>
                <w:lang w:val="en-US" w:eastAsia="zh-CN" w:bidi="ar"/>
              </w:rPr>
              <w:t>1.386</w:t>
            </w:r>
          </w:p>
        </w:tc>
        <w:tc>
          <w:tcPr>
            <w:tcW w:w="351" w:type="pct"/>
            <w:tcBorders>
              <w:tl2br w:val="nil"/>
              <w:tr2bl w:val="nil"/>
            </w:tcBorders>
            <w:vAlign w:val="center"/>
          </w:tcPr>
          <w:p w14:paraId="2478C248">
            <w:pPr>
              <w:pStyle w:val="9"/>
              <w:keepNext w:val="0"/>
              <w:keepLines w:val="0"/>
              <w:pageBreakBefore w:val="0"/>
              <w:widowControl w:val="0"/>
              <w:numPr>
                <w:ilvl w:val="0"/>
                <w:numId w:val="0"/>
              </w:numPr>
              <w:kinsoku/>
              <w:wordWrap/>
              <w:overflowPunct/>
              <w:topLinePunct w:val="0"/>
              <w:autoSpaceDE/>
              <w:autoSpaceDN/>
              <w:bidi w:val="0"/>
              <w:spacing w:before="0" w:beforeAutospacing="0" w:after="0" w:afterAutospacing="0"/>
              <w:ind w:right="0"/>
              <w:jc w:val="center"/>
              <w:rPr>
                <w:color w:val="auto"/>
                <w:spacing w:val="0"/>
                <w:w w:val="100"/>
                <w:kern w:val="21"/>
                <w:position w:val="0"/>
                <w:sz w:val="21"/>
                <w:szCs w:val="21"/>
              </w:rPr>
            </w:pPr>
            <w:r>
              <w:rPr>
                <w:rFonts w:hint="eastAsia"/>
                <w:color w:val="auto"/>
                <w:spacing w:val="0"/>
                <w:w w:val="100"/>
                <w:kern w:val="21"/>
                <w:position w:val="0"/>
                <w:sz w:val="21"/>
                <w:szCs w:val="21"/>
                <w:lang w:val="en-US" w:eastAsia="zh-CN" w:bidi="ar"/>
              </w:rPr>
              <w:t>4.0</w:t>
            </w:r>
            <w:r>
              <w:rPr>
                <w:color w:val="auto"/>
                <w:spacing w:val="0"/>
                <w:w w:val="100"/>
                <w:kern w:val="21"/>
                <w:position w:val="0"/>
                <w:sz w:val="21"/>
                <w:szCs w:val="21"/>
                <w:lang w:bidi="ar"/>
              </w:rPr>
              <w:t>mg/m</w:t>
            </w:r>
            <w:r>
              <w:rPr>
                <w:rFonts w:hint="eastAsia"/>
                <w:color w:val="auto"/>
                <w:spacing w:val="0"/>
                <w:w w:val="100"/>
                <w:kern w:val="21"/>
                <w:position w:val="0"/>
                <w:sz w:val="21"/>
                <w:szCs w:val="21"/>
                <w:vertAlign w:val="superscript"/>
                <w:lang w:val="en-US" w:eastAsia="zh-CN" w:bidi="ar"/>
              </w:rPr>
              <w:t>3</w:t>
            </w:r>
          </w:p>
        </w:tc>
        <w:tc>
          <w:tcPr>
            <w:tcW w:w="953" w:type="pct"/>
            <w:tcBorders>
              <w:tl2br w:val="nil"/>
              <w:tr2bl w:val="nil"/>
            </w:tcBorders>
            <w:vAlign w:val="center"/>
          </w:tcPr>
          <w:p w14:paraId="6FDDEE4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szCs w:val="21"/>
              </w:rPr>
            </w:pPr>
            <w:r>
              <w:rPr>
                <w:rFonts w:hint="eastAsia" w:cs="Times New Roman"/>
                <w:caps w:val="0"/>
                <w:snapToGrid/>
                <w:color w:val="auto"/>
                <w:spacing w:val="0"/>
                <w:w w:val="100"/>
                <w:kern w:val="21"/>
                <w:position w:val="0"/>
                <w:sz w:val="21"/>
                <w:szCs w:val="21"/>
                <w:highlight w:val="none"/>
                <w:lang w:val="en-US" w:eastAsia="zh-CN" w:bidi="ar-SA"/>
              </w:rPr>
              <w:t>《合成树脂工业污染物排放标准》（GB31572-2015）（含2024年修改单）</w:t>
            </w: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t>表</w:t>
            </w:r>
            <w:r>
              <w:rPr>
                <w:rFonts w:hint="eastAsia" w:cs="Times New Roman"/>
                <w:caps w:val="0"/>
                <w:snapToGrid/>
                <w:color w:val="auto"/>
                <w:spacing w:val="0"/>
                <w:w w:val="100"/>
                <w:kern w:val="21"/>
                <w:position w:val="0"/>
                <w:sz w:val="21"/>
                <w:szCs w:val="21"/>
                <w:highlight w:val="none"/>
                <w:lang w:val="en-US" w:eastAsia="zh-CN" w:bidi="ar-SA"/>
              </w:rPr>
              <w:t>9</w:t>
            </w: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t>排放限值</w:t>
            </w:r>
          </w:p>
        </w:tc>
      </w:tr>
      <w:tr w14:paraId="0B937B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227" w:type="pct"/>
            <w:vMerge w:val="continue"/>
            <w:tcBorders>
              <w:tl2br w:val="nil"/>
              <w:tr2bl w:val="nil"/>
            </w:tcBorders>
            <w:vAlign w:val="center"/>
          </w:tcPr>
          <w:p w14:paraId="4A1FE1B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szCs w:val="21"/>
              </w:rPr>
            </w:pPr>
          </w:p>
        </w:tc>
        <w:tc>
          <w:tcPr>
            <w:tcW w:w="307" w:type="pct"/>
            <w:tcBorders>
              <w:tl2br w:val="nil"/>
              <w:tr2bl w:val="nil"/>
            </w:tcBorders>
            <w:shd w:val="clear" w:color="auto" w:fill="auto"/>
            <w:vAlign w:val="center"/>
          </w:tcPr>
          <w:p w14:paraId="6562818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ascii="Times New Roman" w:hAnsi="Times New Roman" w:eastAsia="宋体" w:cstheme="minorBidi"/>
                <w:color w:val="auto"/>
                <w:spacing w:val="0"/>
                <w:w w:val="100"/>
                <w:kern w:val="21"/>
                <w:position w:val="0"/>
                <w:sz w:val="21"/>
                <w:szCs w:val="21"/>
                <w:lang w:val="en-US" w:eastAsia="zh-CN" w:bidi="ar-SA"/>
              </w:rPr>
            </w:pPr>
            <w:r>
              <w:rPr>
                <w:rFonts w:hint="eastAsia" w:cstheme="minorBidi"/>
                <w:color w:val="auto"/>
                <w:spacing w:val="0"/>
                <w:w w:val="100"/>
                <w:kern w:val="21"/>
                <w:position w:val="0"/>
                <w:sz w:val="21"/>
                <w:szCs w:val="21"/>
                <w:lang w:val="en-US" w:eastAsia="zh-CN" w:bidi="ar-SA"/>
              </w:rPr>
              <w:t>修边剪切</w:t>
            </w:r>
          </w:p>
        </w:tc>
        <w:tc>
          <w:tcPr>
            <w:tcW w:w="330" w:type="pct"/>
            <w:tcBorders>
              <w:tl2br w:val="nil"/>
              <w:tr2bl w:val="nil"/>
            </w:tcBorders>
            <w:shd w:val="clear" w:color="auto" w:fill="auto"/>
            <w:vAlign w:val="center"/>
          </w:tcPr>
          <w:p w14:paraId="56EBB92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szCs w:val="21"/>
                <w:lang w:val="en-US" w:eastAsia="zh-CN"/>
              </w:rPr>
            </w:pPr>
            <w:r>
              <w:rPr>
                <w:rFonts w:hint="eastAsia"/>
                <w:color w:val="auto"/>
                <w:spacing w:val="0"/>
                <w:w w:val="100"/>
                <w:kern w:val="21"/>
                <w:position w:val="0"/>
                <w:sz w:val="21"/>
                <w:szCs w:val="21"/>
                <w:lang w:val="en-US" w:eastAsia="zh-CN"/>
              </w:rPr>
              <w:t>无组织</w:t>
            </w:r>
          </w:p>
        </w:tc>
        <w:tc>
          <w:tcPr>
            <w:tcW w:w="414" w:type="pct"/>
            <w:tcBorders>
              <w:tl2br w:val="nil"/>
              <w:tr2bl w:val="nil"/>
            </w:tcBorders>
            <w:vAlign w:val="center"/>
          </w:tcPr>
          <w:p w14:paraId="27D206CC">
            <w:pPr>
              <w:pStyle w:val="9"/>
              <w:keepNext w:val="0"/>
              <w:keepLines w:val="0"/>
              <w:pageBreakBefore w:val="0"/>
              <w:widowControl w:val="0"/>
              <w:numPr>
                <w:ilvl w:val="0"/>
                <w:numId w:val="0"/>
              </w:numPr>
              <w:kinsoku/>
              <w:wordWrap/>
              <w:overflowPunct/>
              <w:topLinePunct w:val="0"/>
              <w:autoSpaceDE/>
              <w:autoSpaceDN/>
              <w:bidi w:val="0"/>
              <w:spacing w:before="0" w:beforeAutospacing="0" w:after="0" w:afterAutospacing="0"/>
              <w:ind w:right="0"/>
              <w:jc w:val="center"/>
              <w:rPr>
                <w:rFonts w:hint="eastAsia" w:eastAsia="宋体"/>
                <w:color w:val="auto"/>
                <w:spacing w:val="0"/>
                <w:w w:val="100"/>
                <w:kern w:val="21"/>
                <w:position w:val="0"/>
                <w:sz w:val="21"/>
                <w:szCs w:val="21"/>
                <w:lang w:val="en-US" w:eastAsia="zh-CN"/>
              </w:rPr>
            </w:pPr>
            <w:r>
              <w:rPr>
                <w:rFonts w:hint="eastAsia"/>
                <w:color w:val="auto"/>
                <w:spacing w:val="0"/>
                <w:w w:val="100"/>
                <w:kern w:val="21"/>
                <w:position w:val="0"/>
                <w:sz w:val="21"/>
                <w:szCs w:val="21"/>
                <w:lang w:val="en-US" w:eastAsia="zh-CN"/>
              </w:rPr>
              <w:t>颗粒物</w:t>
            </w:r>
          </w:p>
        </w:tc>
        <w:tc>
          <w:tcPr>
            <w:tcW w:w="964" w:type="pct"/>
            <w:tcBorders>
              <w:tl2br w:val="nil"/>
              <w:tr2bl w:val="nil"/>
            </w:tcBorders>
            <w:vAlign w:val="center"/>
          </w:tcPr>
          <w:p w14:paraId="169EC41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szCs w:val="21"/>
                <w:lang w:val="en-US" w:eastAsia="zh-CN"/>
              </w:rPr>
            </w:pPr>
            <w:r>
              <w:rPr>
                <w:rFonts w:hint="eastAsia"/>
                <w:color w:val="auto"/>
                <w:spacing w:val="0"/>
                <w:w w:val="100"/>
                <w:kern w:val="21"/>
                <w:position w:val="0"/>
                <w:sz w:val="21"/>
                <w:szCs w:val="21"/>
                <w:lang w:val="en-US" w:eastAsia="zh-CN"/>
              </w:rPr>
              <w:t>重力沉降</w:t>
            </w:r>
          </w:p>
        </w:tc>
        <w:tc>
          <w:tcPr>
            <w:tcW w:w="402" w:type="pct"/>
            <w:tcBorders>
              <w:tl2br w:val="nil"/>
              <w:tr2bl w:val="nil"/>
            </w:tcBorders>
            <w:vAlign w:val="center"/>
          </w:tcPr>
          <w:p w14:paraId="325563C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color w:val="auto"/>
                <w:spacing w:val="0"/>
                <w:w w:val="100"/>
                <w:kern w:val="21"/>
                <w:position w:val="0"/>
                <w:sz w:val="21"/>
                <w:szCs w:val="21"/>
                <w:lang w:val="en-US" w:eastAsia="zh-CN" w:bidi="ar"/>
              </w:rPr>
            </w:pPr>
            <w:r>
              <w:rPr>
                <w:rFonts w:hint="eastAsia"/>
                <w:color w:val="auto"/>
                <w:spacing w:val="0"/>
                <w:w w:val="100"/>
                <w:kern w:val="21"/>
                <w:position w:val="0"/>
                <w:sz w:val="21"/>
                <w:szCs w:val="21"/>
                <w:lang w:val="en-US" w:eastAsia="zh-CN" w:bidi="ar"/>
              </w:rPr>
              <w:t>/</w:t>
            </w:r>
          </w:p>
        </w:tc>
        <w:tc>
          <w:tcPr>
            <w:tcW w:w="524" w:type="pct"/>
            <w:tcBorders>
              <w:tl2br w:val="nil"/>
              <w:tr2bl w:val="nil"/>
            </w:tcBorders>
            <w:vAlign w:val="center"/>
          </w:tcPr>
          <w:p w14:paraId="6DE139E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color w:val="auto"/>
                <w:spacing w:val="0"/>
                <w:w w:val="100"/>
                <w:kern w:val="21"/>
                <w:position w:val="0"/>
                <w:sz w:val="21"/>
                <w:szCs w:val="21"/>
                <w:lang w:val="en-US" w:eastAsia="zh-CN" w:bidi="ar"/>
              </w:rPr>
            </w:pPr>
            <w:r>
              <w:rPr>
                <w:rFonts w:hint="eastAsia"/>
                <w:color w:val="auto"/>
                <w:spacing w:val="0"/>
                <w:w w:val="100"/>
                <w:kern w:val="21"/>
                <w:position w:val="0"/>
                <w:sz w:val="21"/>
                <w:szCs w:val="21"/>
                <w:lang w:val="en-US" w:eastAsia="zh-CN" w:bidi="ar"/>
              </w:rPr>
              <w:t>0.018</w:t>
            </w:r>
          </w:p>
        </w:tc>
        <w:tc>
          <w:tcPr>
            <w:tcW w:w="524" w:type="pct"/>
            <w:tcBorders>
              <w:tl2br w:val="nil"/>
              <w:tr2bl w:val="nil"/>
            </w:tcBorders>
            <w:vAlign w:val="center"/>
          </w:tcPr>
          <w:p w14:paraId="0A6A17B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center"/>
              <w:textAlignment w:val="center"/>
              <w:rPr>
                <w:rFonts w:hint="default"/>
                <w:color w:val="auto"/>
                <w:spacing w:val="0"/>
                <w:w w:val="100"/>
                <w:kern w:val="21"/>
                <w:position w:val="0"/>
                <w:sz w:val="21"/>
                <w:szCs w:val="21"/>
                <w:lang w:val="en-US" w:eastAsia="zh-CN" w:bidi="ar"/>
              </w:rPr>
            </w:pPr>
            <w:r>
              <w:rPr>
                <w:rFonts w:hint="eastAsia"/>
                <w:color w:val="auto"/>
                <w:spacing w:val="0"/>
                <w:w w:val="100"/>
                <w:kern w:val="21"/>
                <w:position w:val="0"/>
                <w:sz w:val="21"/>
                <w:szCs w:val="21"/>
                <w:lang w:val="en-US" w:eastAsia="zh-CN" w:bidi="ar"/>
              </w:rPr>
              <w:t>0.085</w:t>
            </w:r>
          </w:p>
        </w:tc>
        <w:tc>
          <w:tcPr>
            <w:tcW w:w="975" w:type="dxa"/>
            <w:tcBorders>
              <w:tl2br w:val="nil"/>
              <w:tr2bl w:val="nil"/>
            </w:tcBorders>
            <w:vAlign w:val="center"/>
          </w:tcPr>
          <w:p w14:paraId="755AEDD8">
            <w:pPr>
              <w:pStyle w:val="9"/>
              <w:keepNext w:val="0"/>
              <w:keepLines w:val="0"/>
              <w:pageBreakBefore w:val="0"/>
              <w:widowControl w:val="0"/>
              <w:numPr>
                <w:ilvl w:val="0"/>
                <w:numId w:val="0"/>
              </w:numPr>
              <w:kinsoku/>
              <w:wordWrap/>
              <w:overflowPunct/>
              <w:topLinePunct w:val="0"/>
              <w:autoSpaceDE/>
              <w:autoSpaceDN/>
              <w:bidi w:val="0"/>
              <w:spacing w:before="0" w:beforeAutospacing="0" w:after="0" w:afterAutospacing="0"/>
              <w:ind w:left="0" w:leftChars="0" w:right="0" w:rightChars="0" w:firstLine="0" w:firstLineChars="0"/>
              <w:jc w:val="center"/>
              <w:rPr>
                <w:rFonts w:hint="eastAsia"/>
                <w:color w:val="auto"/>
                <w:spacing w:val="0"/>
                <w:w w:val="100"/>
                <w:kern w:val="21"/>
                <w:position w:val="0"/>
                <w:sz w:val="21"/>
                <w:szCs w:val="21"/>
                <w:lang w:val="en-US" w:eastAsia="zh-CN" w:bidi="ar"/>
              </w:rPr>
            </w:pPr>
            <w:r>
              <w:rPr>
                <w:rFonts w:hint="eastAsia"/>
                <w:color w:val="auto"/>
                <w:spacing w:val="0"/>
                <w:w w:val="100"/>
                <w:kern w:val="21"/>
                <w:position w:val="0"/>
                <w:sz w:val="21"/>
                <w:szCs w:val="21"/>
                <w:lang w:val="en-US" w:eastAsia="zh-CN"/>
              </w:rPr>
              <w:t>1.0</w:t>
            </w:r>
            <w:r>
              <w:rPr>
                <w:color w:val="auto"/>
                <w:spacing w:val="0"/>
                <w:w w:val="100"/>
                <w:kern w:val="21"/>
                <w:position w:val="0"/>
                <w:sz w:val="21"/>
                <w:szCs w:val="21"/>
                <w:lang w:bidi="ar"/>
              </w:rPr>
              <w:t>mg/m</w:t>
            </w:r>
            <w:r>
              <w:rPr>
                <w:rFonts w:hint="eastAsia"/>
                <w:color w:val="auto"/>
                <w:spacing w:val="0"/>
                <w:w w:val="100"/>
                <w:kern w:val="21"/>
                <w:position w:val="0"/>
                <w:sz w:val="21"/>
                <w:szCs w:val="21"/>
                <w:vertAlign w:val="superscript"/>
                <w:lang w:val="en-US" w:eastAsia="zh-CN" w:bidi="ar"/>
              </w:rPr>
              <w:t>3</w:t>
            </w:r>
          </w:p>
        </w:tc>
        <w:tc>
          <w:tcPr>
            <w:tcW w:w="2648" w:type="dxa"/>
            <w:tcBorders>
              <w:tl2br w:val="nil"/>
              <w:tr2bl w:val="nil"/>
            </w:tcBorders>
            <w:vAlign w:val="center"/>
          </w:tcPr>
          <w:p w14:paraId="52FA6C66">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cs="Times New Roman"/>
                <w:caps w:val="0"/>
                <w:snapToGrid/>
                <w:color w:val="auto"/>
                <w:spacing w:val="0"/>
                <w:w w:val="100"/>
                <w:kern w:val="21"/>
                <w:position w:val="0"/>
                <w:sz w:val="21"/>
                <w:szCs w:val="21"/>
                <w:highlight w:val="none"/>
                <w:lang w:val="en-US" w:eastAsia="zh-CN" w:bidi="ar-SA"/>
              </w:rPr>
            </w:pPr>
            <w:r>
              <w:rPr>
                <w:rFonts w:hint="eastAsia" w:cs="Times New Roman"/>
                <w:caps w:val="0"/>
                <w:snapToGrid/>
                <w:color w:val="auto"/>
                <w:spacing w:val="0"/>
                <w:w w:val="100"/>
                <w:kern w:val="21"/>
                <w:position w:val="0"/>
                <w:sz w:val="21"/>
                <w:szCs w:val="21"/>
                <w:highlight w:val="none"/>
                <w:lang w:val="en-US" w:eastAsia="zh-CN" w:bidi="ar-SA"/>
              </w:rPr>
              <w:t>《合成树脂工业污染物排放标准》（GB31572-2015）（含2024年修改单）</w:t>
            </w: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t>表</w:t>
            </w:r>
            <w:r>
              <w:rPr>
                <w:rFonts w:hint="eastAsia" w:cs="Times New Roman"/>
                <w:caps w:val="0"/>
                <w:snapToGrid/>
                <w:color w:val="auto"/>
                <w:spacing w:val="0"/>
                <w:w w:val="100"/>
                <w:kern w:val="21"/>
                <w:position w:val="0"/>
                <w:sz w:val="21"/>
                <w:szCs w:val="21"/>
                <w:highlight w:val="none"/>
                <w:lang w:val="en-US" w:eastAsia="zh-CN" w:bidi="ar-SA"/>
              </w:rPr>
              <w:t>9</w:t>
            </w:r>
            <w:r>
              <w:rPr>
                <w:rFonts w:hint="eastAsia" w:ascii="Times New Roman" w:hAnsi="Times New Roman" w:eastAsia="宋体" w:cs="Times New Roman"/>
                <w:caps w:val="0"/>
                <w:snapToGrid/>
                <w:color w:val="auto"/>
                <w:spacing w:val="0"/>
                <w:w w:val="100"/>
                <w:kern w:val="21"/>
                <w:position w:val="0"/>
                <w:sz w:val="21"/>
                <w:szCs w:val="21"/>
                <w:highlight w:val="none"/>
                <w:lang w:val="en-US" w:eastAsia="zh-CN" w:bidi="ar-SA"/>
              </w:rPr>
              <w:t>排放限值</w:t>
            </w:r>
          </w:p>
        </w:tc>
      </w:tr>
      <w:tr w14:paraId="20D5B9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227" w:type="pct"/>
            <w:tcBorders>
              <w:tl2br w:val="nil"/>
              <w:tr2bl w:val="nil"/>
            </w:tcBorders>
            <w:vAlign w:val="center"/>
          </w:tcPr>
          <w:p w14:paraId="0E61D68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r>
              <w:rPr>
                <w:rFonts w:hint="default"/>
                <w:color w:val="auto"/>
                <w:spacing w:val="0"/>
                <w:w w:val="100"/>
                <w:kern w:val="21"/>
                <w:position w:val="0"/>
                <w:sz w:val="21"/>
              </w:rPr>
              <w:t>水污</w:t>
            </w:r>
          </w:p>
          <w:p w14:paraId="4CC0500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r>
              <w:rPr>
                <w:rFonts w:hint="default"/>
                <w:color w:val="auto"/>
                <w:spacing w:val="0"/>
                <w:w w:val="100"/>
                <w:kern w:val="21"/>
                <w:position w:val="0"/>
                <w:sz w:val="21"/>
              </w:rPr>
              <w:t>染物</w:t>
            </w:r>
          </w:p>
        </w:tc>
        <w:tc>
          <w:tcPr>
            <w:tcW w:w="307" w:type="pct"/>
            <w:tcBorders>
              <w:tl2br w:val="nil"/>
              <w:tr2bl w:val="nil"/>
            </w:tcBorders>
            <w:vAlign w:val="center"/>
          </w:tcPr>
          <w:p w14:paraId="0A99B10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r>
              <w:rPr>
                <w:rFonts w:hint="default"/>
                <w:color w:val="auto"/>
                <w:spacing w:val="0"/>
                <w:w w:val="100"/>
                <w:kern w:val="21"/>
                <w:position w:val="0"/>
                <w:sz w:val="21"/>
              </w:rPr>
              <w:t>生活污水</w:t>
            </w:r>
          </w:p>
        </w:tc>
        <w:tc>
          <w:tcPr>
            <w:tcW w:w="330" w:type="pct"/>
            <w:tcBorders>
              <w:tl2br w:val="nil"/>
              <w:tr2bl w:val="nil"/>
            </w:tcBorders>
            <w:vAlign w:val="center"/>
          </w:tcPr>
          <w:p w14:paraId="1C9A243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r>
              <w:rPr>
                <w:rFonts w:hint="default"/>
                <w:color w:val="auto"/>
                <w:spacing w:val="0"/>
                <w:w w:val="100"/>
                <w:kern w:val="21"/>
                <w:position w:val="0"/>
                <w:sz w:val="21"/>
              </w:rPr>
              <w:t>间接</w:t>
            </w:r>
          </w:p>
          <w:p w14:paraId="61C5CCD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r>
              <w:rPr>
                <w:rFonts w:hint="default"/>
                <w:color w:val="auto"/>
                <w:spacing w:val="0"/>
                <w:w w:val="100"/>
                <w:kern w:val="21"/>
                <w:position w:val="0"/>
                <w:sz w:val="21"/>
              </w:rPr>
              <w:t>排放</w:t>
            </w:r>
          </w:p>
        </w:tc>
        <w:tc>
          <w:tcPr>
            <w:tcW w:w="414" w:type="pct"/>
            <w:tcBorders>
              <w:tl2br w:val="nil"/>
              <w:tr2bl w:val="nil"/>
            </w:tcBorders>
            <w:vAlign w:val="center"/>
          </w:tcPr>
          <w:p w14:paraId="0161A26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eastAsia"/>
                <w:color w:val="auto"/>
                <w:spacing w:val="0"/>
                <w:w w:val="100"/>
                <w:kern w:val="21"/>
                <w:position w:val="0"/>
                <w:sz w:val="21"/>
                <w:lang w:eastAsia="zh-CN"/>
              </w:rPr>
              <w:t>CODcr</w:t>
            </w:r>
            <w:r>
              <w:rPr>
                <w:rFonts w:hint="default"/>
                <w:color w:val="auto"/>
                <w:spacing w:val="0"/>
                <w:w w:val="100"/>
                <w:kern w:val="21"/>
                <w:position w:val="0"/>
                <w:sz w:val="21"/>
              </w:rPr>
              <w:t>、BOD</w:t>
            </w:r>
            <w:r>
              <w:rPr>
                <w:rFonts w:hint="default"/>
                <w:color w:val="auto"/>
                <w:spacing w:val="0"/>
                <w:w w:val="100"/>
                <w:kern w:val="21"/>
                <w:position w:val="0"/>
                <w:sz w:val="21"/>
                <w:vertAlign w:val="subscript"/>
              </w:rPr>
              <w:t>5</w:t>
            </w:r>
            <w:r>
              <w:rPr>
                <w:rFonts w:hint="default"/>
                <w:color w:val="auto"/>
                <w:spacing w:val="0"/>
                <w:w w:val="100"/>
                <w:kern w:val="21"/>
                <w:position w:val="0"/>
                <w:sz w:val="21"/>
              </w:rPr>
              <w:t>、SS、NH</w:t>
            </w:r>
            <w:r>
              <w:rPr>
                <w:rFonts w:hint="default"/>
                <w:color w:val="auto"/>
                <w:spacing w:val="0"/>
                <w:w w:val="100"/>
                <w:kern w:val="21"/>
                <w:position w:val="0"/>
                <w:sz w:val="21"/>
                <w:vertAlign w:val="subscript"/>
              </w:rPr>
              <w:t>3</w:t>
            </w:r>
            <w:r>
              <w:rPr>
                <w:rFonts w:hint="default"/>
                <w:color w:val="auto"/>
                <w:spacing w:val="0"/>
                <w:w w:val="100"/>
                <w:kern w:val="21"/>
                <w:position w:val="0"/>
                <w:sz w:val="21"/>
              </w:rPr>
              <w:t>-N</w:t>
            </w:r>
          </w:p>
        </w:tc>
        <w:tc>
          <w:tcPr>
            <w:tcW w:w="964" w:type="pct"/>
            <w:tcBorders>
              <w:tl2br w:val="nil"/>
              <w:tr2bl w:val="nil"/>
            </w:tcBorders>
            <w:vAlign w:val="center"/>
          </w:tcPr>
          <w:p w14:paraId="7F7F848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r>
              <w:rPr>
                <w:rFonts w:hint="default"/>
                <w:color w:val="auto"/>
                <w:spacing w:val="0"/>
                <w:w w:val="100"/>
                <w:kern w:val="21"/>
                <w:position w:val="0"/>
                <w:sz w:val="21"/>
              </w:rPr>
              <w:t>生活污水排入园区下水管网，最终</w:t>
            </w:r>
            <w:r>
              <w:rPr>
                <w:rFonts w:hint="eastAsia"/>
                <w:color w:val="auto"/>
                <w:spacing w:val="0"/>
                <w:w w:val="100"/>
                <w:kern w:val="21"/>
                <w:position w:val="0"/>
                <w:sz w:val="21"/>
                <w:lang w:eastAsia="zh-CN"/>
              </w:rPr>
              <w:t>阜西区污水处理厂</w:t>
            </w:r>
            <w:r>
              <w:rPr>
                <w:rFonts w:hint="default"/>
                <w:color w:val="auto"/>
                <w:spacing w:val="0"/>
                <w:w w:val="100"/>
                <w:kern w:val="21"/>
                <w:position w:val="0"/>
                <w:sz w:val="21"/>
              </w:rPr>
              <w:t>处理</w:t>
            </w:r>
          </w:p>
        </w:tc>
        <w:tc>
          <w:tcPr>
            <w:tcW w:w="402" w:type="pct"/>
            <w:tcBorders>
              <w:tl2br w:val="nil"/>
              <w:tr2bl w:val="nil"/>
            </w:tcBorders>
            <w:vAlign w:val="center"/>
          </w:tcPr>
          <w:p w14:paraId="0710464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r>
              <w:rPr>
                <w:rFonts w:hint="default"/>
                <w:color w:val="auto"/>
                <w:spacing w:val="0"/>
                <w:w w:val="100"/>
                <w:kern w:val="21"/>
                <w:position w:val="0"/>
                <w:sz w:val="21"/>
              </w:rPr>
              <w:t>/</w:t>
            </w:r>
          </w:p>
        </w:tc>
        <w:tc>
          <w:tcPr>
            <w:tcW w:w="524" w:type="pct"/>
            <w:tcBorders>
              <w:tl2br w:val="nil"/>
              <w:tr2bl w:val="nil"/>
            </w:tcBorders>
            <w:vAlign w:val="center"/>
          </w:tcPr>
          <w:p w14:paraId="1CB6961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color w:val="auto"/>
                <w:spacing w:val="0"/>
                <w:w w:val="100"/>
                <w:kern w:val="21"/>
                <w:position w:val="0"/>
                <w:sz w:val="21"/>
                <w:lang w:val="en-US" w:eastAsia="zh-CN"/>
              </w:rPr>
            </w:pPr>
            <w:r>
              <w:rPr>
                <w:rFonts w:hint="eastAsia"/>
                <w:color w:val="auto"/>
                <w:spacing w:val="0"/>
                <w:w w:val="100"/>
                <w:kern w:val="21"/>
                <w:position w:val="0"/>
                <w:sz w:val="21"/>
                <w:lang w:val="en-US" w:eastAsia="zh-CN"/>
              </w:rPr>
              <w:t>/</w:t>
            </w:r>
          </w:p>
        </w:tc>
        <w:tc>
          <w:tcPr>
            <w:tcW w:w="524" w:type="pct"/>
            <w:tcBorders>
              <w:tl2br w:val="nil"/>
              <w:tr2bl w:val="nil"/>
            </w:tcBorders>
            <w:vAlign w:val="center"/>
          </w:tcPr>
          <w:p w14:paraId="1E203F9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textAlignment w:val="center"/>
              <w:rPr>
                <w:rFonts w:hint="default"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330m</w:t>
            </w:r>
            <w:r>
              <w:rPr>
                <w:rFonts w:hint="eastAsia"/>
                <w:color w:val="auto"/>
                <w:spacing w:val="0"/>
                <w:w w:val="100"/>
                <w:kern w:val="21"/>
                <w:position w:val="0"/>
                <w:sz w:val="21"/>
                <w:vertAlign w:val="superscript"/>
                <w:lang w:val="en-US" w:eastAsia="zh-CN"/>
              </w:rPr>
              <w:t>3</w:t>
            </w:r>
            <w:r>
              <w:rPr>
                <w:rFonts w:hint="eastAsia"/>
                <w:color w:val="auto"/>
                <w:spacing w:val="0"/>
                <w:w w:val="100"/>
                <w:kern w:val="21"/>
                <w:position w:val="0"/>
                <w:sz w:val="21"/>
                <w:lang w:val="en-US" w:eastAsia="zh-CN"/>
              </w:rPr>
              <w:t>/a</w:t>
            </w:r>
          </w:p>
        </w:tc>
        <w:tc>
          <w:tcPr>
            <w:tcW w:w="1304" w:type="pct"/>
            <w:gridSpan w:val="2"/>
            <w:tcBorders>
              <w:tl2br w:val="nil"/>
              <w:tr2bl w:val="nil"/>
            </w:tcBorders>
            <w:vAlign w:val="center"/>
          </w:tcPr>
          <w:p w14:paraId="2632428C">
            <w:pPr>
              <w:pStyle w:val="9"/>
              <w:keepNext w:val="0"/>
              <w:keepLines w:val="0"/>
              <w:pageBreakBefore w:val="0"/>
              <w:widowControl w:val="0"/>
              <w:numPr>
                <w:ilvl w:val="0"/>
                <w:numId w:val="0"/>
              </w:numPr>
              <w:kinsoku/>
              <w:wordWrap/>
              <w:overflowPunct/>
              <w:topLinePunct w:val="0"/>
              <w:autoSpaceDE/>
              <w:autoSpaceDN/>
              <w:bidi w:val="0"/>
              <w:spacing w:before="0" w:beforeAutospacing="0" w:after="0" w:afterAutospacing="0"/>
              <w:ind w:right="0"/>
              <w:jc w:val="center"/>
              <w:rPr>
                <w:color w:val="auto"/>
                <w:spacing w:val="0"/>
                <w:w w:val="100"/>
                <w:kern w:val="21"/>
                <w:position w:val="0"/>
                <w:szCs w:val="21"/>
              </w:rPr>
            </w:pPr>
            <w:r>
              <w:rPr>
                <w:rFonts w:hint="default" w:eastAsia="宋体"/>
                <w:color w:val="auto"/>
                <w:spacing w:val="0"/>
                <w:w w:val="100"/>
                <w:position w:val="0"/>
                <w:sz w:val="21"/>
                <w:szCs w:val="21"/>
                <w:highlight w:val="none"/>
                <w:lang w:val="en-US" w:eastAsia="zh-CN"/>
              </w:rPr>
              <w:t>《污水综合排放标准》（GB8978-1996）</w:t>
            </w:r>
            <w:r>
              <w:rPr>
                <w:rFonts w:hint="eastAsia" w:eastAsia="宋体"/>
                <w:color w:val="auto"/>
                <w:spacing w:val="0"/>
                <w:w w:val="100"/>
                <w:position w:val="0"/>
                <w:sz w:val="21"/>
                <w:szCs w:val="21"/>
                <w:highlight w:val="none"/>
                <w:lang w:val="en-US" w:eastAsia="zh-CN"/>
              </w:rPr>
              <w:t>三级标准及《污水排入城镇下水道水质标准》（</w:t>
            </w:r>
            <w:r>
              <w:rPr>
                <w:rFonts w:hint="default" w:eastAsia="宋体"/>
                <w:color w:val="auto"/>
                <w:spacing w:val="0"/>
                <w:w w:val="100"/>
                <w:position w:val="0"/>
                <w:sz w:val="21"/>
                <w:szCs w:val="21"/>
                <w:highlight w:val="none"/>
                <w:lang w:val="en-US" w:eastAsia="zh-CN"/>
              </w:rPr>
              <w:t>GB/T31962-2015</w:t>
            </w:r>
            <w:r>
              <w:rPr>
                <w:rFonts w:hint="eastAsia" w:eastAsia="宋体"/>
                <w:color w:val="auto"/>
                <w:spacing w:val="0"/>
                <w:w w:val="100"/>
                <w:position w:val="0"/>
                <w:sz w:val="21"/>
                <w:szCs w:val="21"/>
                <w:highlight w:val="none"/>
                <w:lang w:val="en-US" w:eastAsia="zh-CN"/>
              </w:rPr>
              <w:t>）中</w:t>
            </w:r>
            <w:r>
              <w:rPr>
                <w:rFonts w:hint="default" w:eastAsia="宋体"/>
                <w:color w:val="auto"/>
                <w:spacing w:val="0"/>
                <w:w w:val="100"/>
                <w:position w:val="0"/>
                <w:sz w:val="21"/>
                <w:szCs w:val="21"/>
                <w:highlight w:val="none"/>
                <w:lang w:val="en-US" w:eastAsia="zh-CN"/>
              </w:rPr>
              <w:t>NH</w:t>
            </w:r>
            <w:r>
              <w:rPr>
                <w:rFonts w:hint="default" w:eastAsia="宋体"/>
                <w:color w:val="auto"/>
                <w:spacing w:val="0"/>
                <w:w w:val="100"/>
                <w:position w:val="0"/>
                <w:sz w:val="21"/>
                <w:szCs w:val="21"/>
                <w:highlight w:val="none"/>
                <w:vertAlign w:val="subscript"/>
                <w:lang w:val="en-US" w:eastAsia="zh-CN"/>
              </w:rPr>
              <w:t>3</w:t>
            </w:r>
            <w:r>
              <w:rPr>
                <w:rFonts w:hint="default" w:eastAsia="宋体"/>
                <w:color w:val="auto"/>
                <w:spacing w:val="0"/>
                <w:w w:val="100"/>
                <w:position w:val="0"/>
                <w:sz w:val="21"/>
                <w:szCs w:val="21"/>
                <w:highlight w:val="none"/>
                <w:lang w:val="en-US" w:eastAsia="zh-CN"/>
              </w:rPr>
              <w:t>-N</w:t>
            </w:r>
            <w:r>
              <w:rPr>
                <w:rFonts w:hint="eastAsia" w:eastAsia="宋体"/>
                <w:color w:val="auto"/>
                <w:spacing w:val="0"/>
                <w:w w:val="100"/>
                <w:position w:val="0"/>
                <w:sz w:val="21"/>
                <w:szCs w:val="21"/>
                <w:highlight w:val="none"/>
                <w:lang w:val="en-US" w:eastAsia="zh-CN"/>
              </w:rPr>
              <w:t>最高允许值</w:t>
            </w:r>
            <w:r>
              <w:rPr>
                <w:rFonts w:hint="default" w:eastAsia="宋体"/>
                <w:color w:val="auto"/>
                <w:spacing w:val="0"/>
                <w:w w:val="100"/>
                <w:position w:val="0"/>
                <w:sz w:val="21"/>
                <w:szCs w:val="21"/>
                <w:highlight w:val="none"/>
                <w:lang w:val="en-US" w:eastAsia="zh-CN"/>
              </w:rPr>
              <w:t>B</w:t>
            </w:r>
            <w:r>
              <w:rPr>
                <w:rFonts w:hint="eastAsia" w:eastAsia="宋体"/>
                <w:color w:val="auto"/>
                <w:spacing w:val="0"/>
                <w:w w:val="100"/>
                <w:position w:val="0"/>
                <w:sz w:val="21"/>
                <w:szCs w:val="21"/>
                <w:highlight w:val="none"/>
                <w:lang w:val="en-US" w:eastAsia="zh-CN"/>
              </w:rPr>
              <w:t>级标准</w:t>
            </w:r>
            <w:r>
              <w:rPr>
                <w:rFonts w:hint="default" w:eastAsia="宋体"/>
                <w:color w:val="auto"/>
                <w:spacing w:val="0"/>
                <w:w w:val="100"/>
                <w:position w:val="0"/>
                <w:sz w:val="21"/>
                <w:szCs w:val="21"/>
                <w:highlight w:val="none"/>
                <w:lang w:val="en-US" w:eastAsia="zh-CN"/>
              </w:rPr>
              <w:t>45mg/L</w:t>
            </w:r>
          </w:p>
        </w:tc>
      </w:tr>
      <w:tr w14:paraId="5BE5DC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227" w:type="pct"/>
            <w:vMerge w:val="restart"/>
            <w:tcBorders>
              <w:tl2br w:val="nil"/>
              <w:tr2bl w:val="nil"/>
            </w:tcBorders>
            <w:vAlign w:val="center"/>
          </w:tcPr>
          <w:p w14:paraId="4A1D66B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r>
              <w:rPr>
                <w:rFonts w:hint="default"/>
                <w:color w:val="auto"/>
                <w:spacing w:val="0"/>
                <w:w w:val="100"/>
                <w:kern w:val="21"/>
                <w:position w:val="0"/>
                <w:sz w:val="21"/>
              </w:rPr>
              <w:t>固体废物</w:t>
            </w:r>
          </w:p>
        </w:tc>
        <w:tc>
          <w:tcPr>
            <w:tcW w:w="307" w:type="pct"/>
            <w:vMerge w:val="restart"/>
            <w:tcBorders>
              <w:tl2br w:val="nil"/>
              <w:tr2bl w:val="nil"/>
            </w:tcBorders>
            <w:vAlign w:val="center"/>
          </w:tcPr>
          <w:p w14:paraId="79BA6B2A">
            <w:pPr>
              <w:pStyle w:val="44"/>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rPr>
                <w:rFonts w:hint="default" w:ascii="Times New Roman" w:hAnsi="Times New Roman"/>
                <w:color w:val="auto"/>
                <w:spacing w:val="0"/>
                <w:w w:val="100"/>
                <w:kern w:val="21"/>
                <w:position w:val="0"/>
                <w:sz w:val="21"/>
                <w:szCs w:val="21"/>
              </w:rPr>
            </w:pPr>
            <w:r>
              <w:rPr>
                <w:rFonts w:hint="default" w:ascii="Times New Roman" w:hAnsi="Times New Roman"/>
                <w:color w:val="auto"/>
                <w:spacing w:val="0"/>
                <w:w w:val="100"/>
                <w:kern w:val="21"/>
                <w:position w:val="0"/>
                <w:sz w:val="21"/>
                <w:szCs w:val="21"/>
              </w:rPr>
              <w:t>一般固废</w:t>
            </w:r>
          </w:p>
        </w:tc>
        <w:tc>
          <w:tcPr>
            <w:tcW w:w="330" w:type="pct"/>
            <w:vMerge w:val="restart"/>
            <w:tcBorders>
              <w:tl2br w:val="nil"/>
              <w:tr2bl w:val="nil"/>
            </w:tcBorders>
            <w:vAlign w:val="center"/>
          </w:tcPr>
          <w:p w14:paraId="36DC745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r>
              <w:rPr>
                <w:rFonts w:hint="default"/>
                <w:color w:val="auto"/>
                <w:spacing w:val="0"/>
                <w:w w:val="100"/>
                <w:kern w:val="21"/>
                <w:position w:val="0"/>
                <w:sz w:val="21"/>
              </w:rPr>
              <w:t>/</w:t>
            </w:r>
          </w:p>
        </w:tc>
        <w:tc>
          <w:tcPr>
            <w:tcW w:w="414" w:type="pct"/>
            <w:tcBorders>
              <w:tl2br w:val="nil"/>
              <w:tr2bl w:val="nil"/>
            </w:tcBorders>
            <w:vAlign w:val="center"/>
          </w:tcPr>
          <w:p w14:paraId="75A91388">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color w:val="auto"/>
                <w:spacing w:val="0"/>
                <w:w w:val="100"/>
                <w:kern w:val="21"/>
                <w:position w:val="0"/>
                <w:sz w:val="21"/>
              </w:rPr>
            </w:pPr>
            <w:r>
              <w:rPr>
                <w:rFonts w:hint="default" w:ascii="Times New Roman" w:hAnsi="Times New Roman" w:cs="Times New Roman"/>
                <w:color w:val="auto"/>
                <w:spacing w:val="0"/>
                <w:w w:val="100"/>
                <w:kern w:val="0"/>
                <w:position w:val="0"/>
                <w:sz w:val="21"/>
                <w:szCs w:val="21"/>
                <w:lang w:val="en-US" w:eastAsia="zh-CN" w:bidi="ar"/>
              </w:rPr>
              <w:t>废包装材料</w:t>
            </w:r>
          </w:p>
        </w:tc>
        <w:tc>
          <w:tcPr>
            <w:tcW w:w="964" w:type="pct"/>
            <w:vMerge w:val="restart"/>
            <w:tcBorders>
              <w:tl2br w:val="nil"/>
              <w:tr2bl w:val="nil"/>
            </w:tcBorders>
            <w:vAlign w:val="center"/>
          </w:tcPr>
          <w:p w14:paraId="298945E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r>
              <w:rPr>
                <w:rFonts w:hint="default"/>
                <w:color w:val="auto"/>
                <w:spacing w:val="0"/>
                <w:w w:val="100"/>
                <w:kern w:val="21"/>
                <w:position w:val="0"/>
                <w:sz w:val="21"/>
              </w:rPr>
              <w:t>集中收集后外售</w:t>
            </w:r>
          </w:p>
        </w:tc>
        <w:tc>
          <w:tcPr>
            <w:tcW w:w="402" w:type="pct"/>
            <w:tcBorders>
              <w:tl2br w:val="nil"/>
              <w:tr2bl w:val="nil"/>
            </w:tcBorders>
            <w:vAlign w:val="center"/>
          </w:tcPr>
          <w:p w14:paraId="7A9611E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r>
              <w:rPr>
                <w:rFonts w:hint="default"/>
                <w:color w:val="auto"/>
                <w:spacing w:val="0"/>
                <w:w w:val="100"/>
                <w:kern w:val="21"/>
                <w:position w:val="0"/>
                <w:sz w:val="21"/>
              </w:rPr>
              <w:t>/</w:t>
            </w:r>
          </w:p>
        </w:tc>
        <w:tc>
          <w:tcPr>
            <w:tcW w:w="524" w:type="pct"/>
            <w:tcBorders>
              <w:tl2br w:val="nil"/>
              <w:tr2bl w:val="nil"/>
            </w:tcBorders>
            <w:shd w:val="clear" w:color="auto" w:fill="auto"/>
            <w:vAlign w:val="center"/>
          </w:tcPr>
          <w:p w14:paraId="288FAF38">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r>
              <w:rPr>
                <w:rFonts w:hint="eastAsia" w:ascii="Times New Roman" w:hAnsi="Times New Roman" w:cs="Times New Roman"/>
                <w:color w:val="auto"/>
                <w:spacing w:val="0"/>
                <w:w w:val="100"/>
                <w:kern w:val="0"/>
                <w:position w:val="0"/>
                <w:sz w:val="21"/>
                <w:szCs w:val="21"/>
                <w:lang w:val="en-US" w:eastAsia="zh-CN" w:bidi="ar"/>
              </w:rPr>
              <w:t>/</w:t>
            </w:r>
          </w:p>
        </w:tc>
        <w:tc>
          <w:tcPr>
            <w:tcW w:w="524" w:type="pct"/>
            <w:tcBorders>
              <w:tl2br w:val="nil"/>
              <w:tr2bl w:val="nil"/>
            </w:tcBorders>
            <w:shd w:val="clear" w:color="auto" w:fill="auto"/>
            <w:vAlign w:val="center"/>
          </w:tcPr>
          <w:p w14:paraId="3B0D5D8B">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cs="Times New Roman"/>
                <w:color w:val="auto"/>
                <w:spacing w:val="0"/>
                <w:w w:val="100"/>
                <w:kern w:val="0"/>
                <w:position w:val="0"/>
                <w:sz w:val="21"/>
                <w:szCs w:val="21"/>
                <w:lang w:val="en-US" w:eastAsia="zh-CN" w:bidi="ar"/>
              </w:rPr>
              <w:t>0.5</w:t>
            </w:r>
          </w:p>
        </w:tc>
        <w:tc>
          <w:tcPr>
            <w:tcW w:w="351" w:type="pct"/>
            <w:vMerge w:val="restart"/>
            <w:tcBorders>
              <w:tl2br w:val="nil"/>
              <w:tr2bl w:val="nil"/>
            </w:tcBorders>
            <w:vAlign w:val="center"/>
          </w:tcPr>
          <w:p w14:paraId="2B1A310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r>
              <w:rPr>
                <w:rFonts w:hint="default"/>
                <w:color w:val="auto"/>
                <w:spacing w:val="0"/>
                <w:w w:val="100"/>
                <w:kern w:val="21"/>
                <w:position w:val="0"/>
                <w:sz w:val="21"/>
              </w:rPr>
              <w:t>/</w:t>
            </w:r>
          </w:p>
        </w:tc>
        <w:tc>
          <w:tcPr>
            <w:tcW w:w="953" w:type="pct"/>
            <w:vMerge w:val="restart"/>
            <w:tcBorders>
              <w:tl2br w:val="nil"/>
              <w:tr2bl w:val="nil"/>
            </w:tcBorders>
            <w:vAlign w:val="center"/>
          </w:tcPr>
          <w:p w14:paraId="785FD1A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r>
              <w:rPr>
                <w:rFonts w:hint="default"/>
                <w:color w:val="auto"/>
                <w:spacing w:val="0"/>
                <w:w w:val="100"/>
                <w:kern w:val="21"/>
                <w:position w:val="0"/>
                <w:sz w:val="21"/>
              </w:rPr>
              <w:t>《一般工业固体废物贮存和填埋污染控制标准》（GB18599-2020）</w:t>
            </w:r>
          </w:p>
        </w:tc>
      </w:tr>
      <w:tr w14:paraId="155D55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227" w:type="pct"/>
            <w:vMerge w:val="continue"/>
            <w:tcBorders>
              <w:tl2br w:val="nil"/>
              <w:tr2bl w:val="nil"/>
            </w:tcBorders>
            <w:vAlign w:val="center"/>
          </w:tcPr>
          <w:p w14:paraId="3F63E64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307" w:type="pct"/>
            <w:vMerge w:val="continue"/>
            <w:tcBorders>
              <w:tl2br w:val="nil"/>
              <w:tr2bl w:val="nil"/>
            </w:tcBorders>
            <w:vAlign w:val="center"/>
          </w:tcPr>
          <w:p w14:paraId="792099C2">
            <w:pPr>
              <w:pStyle w:val="44"/>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rPr>
                <w:rFonts w:hint="default" w:ascii="Times New Roman" w:hAnsi="Times New Roman"/>
                <w:color w:val="auto"/>
                <w:spacing w:val="0"/>
                <w:w w:val="100"/>
                <w:kern w:val="21"/>
                <w:position w:val="0"/>
                <w:sz w:val="21"/>
                <w:szCs w:val="21"/>
              </w:rPr>
            </w:pPr>
          </w:p>
        </w:tc>
        <w:tc>
          <w:tcPr>
            <w:tcW w:w="330" w:type="pct"/>
            <w:vMerge w:val="continue"/>
            <w:tcBorders>
              <w:tl2br w:val="nil"/>
              <w:tr2bl w:val="nil"/>
            </w:tcBorders>
            <w:vAlign w:val="center"/>
          </w:tcPr>
          <w:p w14:paraId="3256EBD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414" w:type="pct"/>
            <w:tcBorders>
              <w:tl2br w:val="nil"/>
              <w:tr2bl w:val="nil"/>
            </w:tcBorders>
            <w:vAlign w:val="center"/>
          </w:tcPr>
          <w:p w14:paraId="3024159B">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color w:val="auto"/>
                <w:spacing w:val="0"/>
                <w:w w:val="100"/>
                <w:kern w:val="21"/>
                <w:position w:val="0"/>
                <w:sz w:val="21"/>
              </w:rPr>
            </w:pPr>
            <w:r>
              <w:rPr>
                <w:rFonts w:hint="default" w:ascii="Times New Roman" w:hAnsi="Times New Roman" w:cs="Times New Roman"/>
                <w:color w:val="auto"/>
                <w:spacing w:val="0"/>
                <w:w w:val="100"/>
                <w:position w:val="0"/>
                <w:sz w:val="21"/>
                <w:szCs w:val="21"/>
                <w:highlight w:val="none"/>
                <w:lang w:val="en-US" w:eastAsia="zh-CN"/>
              </w:rPr>
              <w:t>废过滤渣和废过滤网</w:t>
            </w:r>
          </w:p>
        </w:tc>
        <w:tc>
          <w:tcPr>
            <w:tcW w:w="964" w:type="pct"/>
            <w:vMerge w:val="continue"/>
            <w:tcBorders>
              <w:tl2br w:val="nil"/>
              <w:tr2bl w:val="nil"/>
            </w:tcBorders>
            <w:vAlign w:val="center"/>
          </w:tcPr>
          <w:p w14:paraId="12302B5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402" w:type="pct"/>
            <w:tcBorders>
              <w:tl2br w:val="nil"/>
              <w:tr2bl w:val="nil"/>
            </w:tcBorders>
            <w:vAlign w:val="center"/>
          </w:tcPr>
          <w:p w14:paraId="5CB7B9A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r>
              <w:rPr>
                <w:rFonts w:hint="eastAsia"/>
                <w:color w:val="auto"/>
                <w:spacing w:val="0"/>
                <w:w w:val="100"/>
                <w:kern w:val="21"/>
                <w:position w:val="0"/>
                <w:sz w:val="21"/>
              </w:rPr>
              <w:t>/</w:t>
            </w:r>
          </w:p>
        </w:tc>
        <w:tc>
          <w:tcPr>
            <w:tcW w:w="524" w:type="pct"/>
            <w:tcBorders>
              <w:tl2br w:val="nil"/>
              <w:tr2bl w:val="nil"/>
            </w:tcBorders>
            <w:shd w:val="clear" w:color="auto" w:fill="auto"/>
            <w:vAlign w:val="center"/>
          </w:tcPr>
          <w:p w14:paraId="4647AAAC">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r>
              <w:rPr>
                <w:rFonts w:hint="eastAsia" w:ascii="Times New Roman" w:hAnsi="Times New Roman" w:cs="Times New Roman"/>
                <w:color w:val="auto"/>
                <w:spacing w:val="0"/>
                <w:w w:val="100"/>
                <w:kern w:val="0"/>
                <w:position w:val="0"/>
                <w:sz w:val="21"/>
                <w:szCs w:val="21"/>
                <w:lang w:val="en-US" w:eastAsia="zh-CN" w:bidi="ar"/>
              </w:rPr>
              <w:t>/</w:t>
            </w:r>
          </w:p>
        </w:tc>
        <w:tc>
          <w:tcPr>
            <w:tcW w:w="524" w:type="pct"/>
            <w:tcBorders>
              <w:tl2br w:val="nil"/>
              <w:tr2bl w:val="nil"/>
            </w:tcBorders>
            <w:shd w:val="clear" w:color="auto" w:fill="auto"/>
            <w:vAlign w:val="center"/>
          </w:tcPr>
          <w:p w14:paraId="61720F33">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0.05</w:t>
            </w:r>
          </w:p>
        </w:tc>
        <w:tc>
          <w:tcPr>
            <w:tcW w:w="351" w:type="pct"/>
            <w:vMerge w:val="continue"/>
            <w:tcBorders>
              <w:tl2br w:val="nil"/>
              <w:tr2bl w:val="nil"/>
            </w:tcBorders>
            <w:vAlign w:val="center"/>
          </w:tcPr>
          <w:p w14:paraId="39326FC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953" w:type="pct"/>
            <w:vMerge w:val="continue"/>
            <w:tcBorders>
              <w:tl2br w:val="nil"/>
              <w:tr2bl w:val="nil"/>
            </w:tcBorders>
            <w:vAlign w:val="center"/>
          </w:tcPr>
          <w:p w14:paraId="46243D3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r>
      <w:tr w14:paraId="475A19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227" w:type="pct"/>
            <w:vMerge w:val="continue"/>
            <w:tcBorders>
              <w:tl2br w:val="nil"/>
              <w:tr2bl w:val="nil"/>
            </w:tcBorders>
            <w:vAlign w:val="center"/>
          </w:tcPr>
          <w:p w14:paraId="4CC14D4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307" w:type="pct"/>
            <w:vMerge w:val="continue"/>
            <w:tcBorders>
              <w:tl2br w:val="nil"/>
              <w:tr2bl w:val="nil"/>
            </w:tcBorders>
            <w:vAlign w:val="center"/>
          </w:tcPr>
          <w:p w14:paraId="57335980">
            <w:pPr>
              <w:pStyle w:val="44"/>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rPr>
                <w:rFonts w:hint="default" w:ascii="Times New Roman" w:hAnsi="Times New Roman"/>
                <w:color w:val="auto"/>
                <w:spacing w:val="0"/>
                <w:w w:val="100"/>
                <w:kern w:val="21"/>
                <w:position w:val="0"/>
                <w:sz w:val="21"/>
                <w:szCs w:val="21"/>
              </w:rPr>
            </w:pPr>
          </w:p>
        </w:tc>
        <w:tc>
          <w:tcPr>
            <w:tcW w:w="330" w:type="pct"/>
            <w:vMerge w:val="continue"/>
            <w:tcBorders>
              <w:tl2br w:val="nil"/>
              <w:tr2bl w:val="nil"/>
            </w:tcBorders>
            <w:vAlign w:val="center"/>
          </w:tcPr>
          <w:p w14:paraId="62ABC19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414" w:type="pct"/>
            <w:tcBorders>
              <w:tl2br w:val="nil"/>
              <w:tr2bl w:val="nil"/>
            </w:tcBorders>
            <w:vAlign w:val="center"/>
          </w:tcPr>
          <w:p w14:paraId="79F3B47D">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olor w:val="auto"/>
                <w:spacing w:val="0"/>
                <w:w w:val="100"/>
                <w:kern w:val="21"/>
                <w:position w:val="0"/>
                <w:sz w:val="21"/>
              </w:rPr>
            </w:pPr>
            <w:r>
              <w:rPr>
                <w:rFonts w:hint="default" w:ascii="Times New Roman" w:hAnsi="Times New Roman" w:cs="Times New Roman"/>
                <w:color w:val="auto"/>
                <w:spacing w:val="0"/>
                <w:w w:val="100"/>
                <w:kern w:val="0"/>
                <w:position w:val="0"/>
                <w:sz w:val="21"/>
                <w:szCs w:val="21"/>
                <w:lang w:val="en-US" w:eastAsia="zh-CN" w:bidi="ar"/>
              </w:rPr>
              <w:t>边角料</w:t>
            </w:r>
          </w:p>
        </w:tc>
        <w:tc>
          <w:tcPr>
            <w:tcW w:w="964" w:type="pct"/>
            <w:vMerge w:val="continue"/>
            <w:tcBorders>
              <w:tl2br w:val="nil"/>
              <w:tr2bl w:val="nil"/>
            </w:tcBorders>
            <w:vAlign w:val="center"/>
          </w:tcPr>
          <w:p w14:paraId="42AD588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402" w:type="pct"/>
            <w:tcBorders>
              <w:tl2br w:val="nil"/>
              <w:tr2bl w:val="nil"/>
            </w:tcBorders>
            <w:vAlign w:val="center"/>
          </w:tcPr>
          <w:p w14:paraId="2E96EF2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eastAsia"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w:t>
            </w:r>
          </w:p>
        </w:tc>
        <w:tc>
          <w:tcPr>
            <w:tcW w:w="524" w:type="pct"/>
            <w:tcBorders>
              <w:tl2br w:val="nil"/>
              <w:tr2bl w:val="nil"/>
            </w:tcBorders>
            <w:shd w:val="clear" w:color="auto" w:fill="auto"/>
            <w:vAlign w:val="center"/>
          </w:tcPr>
          <w:p w14:paraId="3FC37C24">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r>
              <w:rPr>
                <w:rFonts w:hint="eastAsia" w:ascii="Times New Roman" w:hAnsi="Times New Roman" w:cs="Times New Roman"/>
                <w:color w:val="auto"/>
                <w:spacing w:val="0"/>
                <w:w w:val="100"/>
                <w:kern w:val="0"/>
                <w:position w:val="0"/>
                <w:sz w:val="21"/>
                <w:szCs w:val="21"/>
                <w:lang w:val="en-US" w:eastAsia="zh-CN" w:bidi="ar"/>
              </w:rPr>
              <w:t>/</w:t>
            </w:r>
          </w:p>
        </w:tc>
        <w:tc>
          <w:tcPr>
            <w:tcW w:w="524" w:type="pct"/>
            <w:tcBorders>
              <w:tl2br w:val="nil"/>
              <w:tr2bl w:val="nil"/>
            </w:tcBorders>
            <w:shd w:val="clear" w:color="auto" w:fill="auto"/>
            <w:vAlign w:val="center"/>
          </w:tcPr>
          <w:p w14:paraId="147FB8A5">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3.694</w:t>
            </w:r>
          </w:p>
        </w:tc>
        <w:tc>
          <w:tcPr>
            <w:tcW w:w="351" w:type="pct"/>
            <w:vMerge w:val="continue"/>
            <w:tcBorders>
              <w:tl2br w:val="nil"/>
              <w:tr2bl w:val="nil"/>
            </w:tcBorders>
            <w:vAlign w:val="center"/>
          </w:tcPr>
          <w:p w14:paraId="710952D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953" w:type="pct"/>
            <w:vMerge w:val="continue"/>
            <w:tcBorders>
              <w:tl2br w:val="nil"/>
              <w:tr2bl w:val="nil"/>
            </w:tcBorders>
            <w:vAlign w:val="center"/>
          </w:tcPr>
          <w:p w14:paraId="6DE94ED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r>
      <w:tr w14:paraId="2D8B51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227" w:type="pct"/>
            <w:vMerge w:val="continue"/>
            <w:tcBorders>
              <w:tl2br w:val="nil"/>
              <w:tr2bl w:val="nil"/>
            </w:tcBorders>
            <w:vAlign w:val="center"/>
          </w:tcPr>
          <w:p w14:paraId="79D0B04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307" w:type="pct"/>
            <w:vMerge w:val="continue"/>
            <w:tcBorders>
              <w:tl2br w:val="nil"/>
              <w:tr2bl w:val="nil"/>
            </w:tcBorders>
            <w:vAlign w:val="center"/>
          </w:tcPr>
          <w:p w14:paraId="396A556A">
            <w:pPr>
              <w:pStyle w:val="44"/>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rPr>
                <w:rFonts w:hint="default" w:ascii="Times New Roman" w:hAnsi="Times New Roman"/>
                <w:color w:val="auto"/>
                <w:spacing w:val="0"/>
                <w:w w:val="100"/>
                <w:kern w:val="21"/>
                <w:position w:val="0"/>
                <w:sz w:val="21"/>
                <w:szCs w:val="21"/>
              </w:rPr>
            </w:pPr>
          </w:p>
        </w:tc>
        <w:tc>
          <w:tcPr>
            <w:tcW w:w="330" w:type="pct"/>
            <w:vMerge w:val="continue"/>
            <w:tcBorders>
              <w:tl2br w:val="nil"/>
              <w:tr2bl w:val="nil"/>
            </w:tcBorders>
            <w:vAlign w:val="center"/>
          </w:tcPr>
          <w:p w14:paraId="072953E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414" w:type="pct"/>
            <w:tcBorders>
              <w:tl2br w:val="nil"/>
              <w:tr2bl w:val="nil"/>
            </w:tcBorders>
            <w:vAlign w:val="center"/>
          </w:tcPr>
          <w:p w14:paraId="3E3B5063">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color w:val="auto"/>
                <w:spacing w:val="0"/>
                <w:w w:val="100"/>
                <w:kern w:val="21"/>
                <w:position w:val="0"/>
                <w:sz w:val="21"/>
              </w:rPr>
            </w:pPr>
            <w:r>
              <w:rPr>
                <w:rFonts w:hint="default" w:ascii="Times New Roman" w:hAnsi="Times New Roman" w:eastAsia="宋体" w:cs="Times New Roman"/>
                <w:caps w:val="0"/>
                <w:snapToGrid/>
                <w:color w:val="auto"/>
                <w:spacing w:val="0"/>
                <w:w w:val="100"/>
                <w:kern w:val="0"/>
                <w:position w:val="0"/>
                <w:sz w:val="21"/>
                <w:szCs w:val="21"/>
                <w:highlight w:val="none"/>
                <w:lang w:val="en-US" w:eastAsia="zh-CN"/>
              </w:rPr>
              <w:t>除尘器收集粉尘</w:t>
            </w:r>
          </w:p>
        </w:tc>
        <w:tc>
          <w:tcPr>
            <w:tcW w:w="964" w:type="pct"/>
            <w:vMerge w:val="continue"/>
            <w:tcBorders>
              <w:tl2br w:val="nil"/>
              <w:tr2bl w:val="nil"/>
            </w:tcBorders>
            <w:vAlign w:val="center"/>
          </w:tcPr>
          <w:p w14:paraId="6208147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402" w:type="pct"/>
            <w:tcBorders>
              <w:tl2br w:val="nil"/>
              <w:tr2bl w:val="nil"/>
            </w:tcBorders>
            <w:vAlign w:val="center"/>
          </w:tcPr>
          <w:p w14:paraId="293CCA9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r>
              <w:rPr>
                <w:rFonts w:hint="eastAsia"/>
                <w:color w:val="auto"/>
                <w:spacing w:val="0"/>
                <w:w w:val="100"/>
                <w:kern w:val="21"/>
                <w:position w:val="0"/>
                <w:sz w:val="21"/>
              </w:rPr>
              <w:t>/</w:t>
            </w:r>
          </w:p>
        </w:tc>
        <w:tc>
          <w:tcPr>
            <w:tcW w:w="524" w:type="pct"/>
            <w:tcBorders>
              <w:tl2br w:val="nil"/>
              <w:tr2bl w:val="nil"/>
            </w:tcBorders>
            <w:shd w:val="clear" w:color="auto" w:fill="auto"/>
            <w:vAlign w:val="center"/>
          </w:tcPr>
          <w:p w14:paraId="7EF7DA69">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p>
        </w:tc>
        <w:tc>
          <w:tcPr>
            <w:tcW w:w="524" w:type="pct"/>
            <w:tcBorders>
              <w:tl2br w:val="nil"/>
              <w:tr2bl w:val="nil"/>
            </w:tcBorders>
            <w:shd w:val="clear" w:color="auto" w:fill="auto"/>
            <w:vAlign w:val="center"/>
          </w:tcPr>
          <w:p w14:paraId="60B13F66">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20.76</w:t>
            </w:r>
          </w:p>
        </w:tc>
        <w:tc>
          <w:tcPr>
            <w:tcW w:w="351" w:type="pct"/>
            <w:vMerge w:val="continue"/>
            <w:tcBorders>
              <w:tl2br w:val="nil"/>
              <w:tr2bl w:val="nil"/>
            </w:tcBorders>
            <w:vAlign w:val="center"/>
          </w:tcPr>
          <w:p w14:paraId="7117B25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953" w:type="pct"/>
            <w:vMerge w:val="continue"/>
            <w:tcBorders>
              <w:tl2br w:val="nil"/>
              <w:tr2bl w:val="nil"/>
            </w:tcBorders>
            <w:vAlign w:val="center"/>
          </w:tcPr>
          <w:p w14:paraId="62DA2E6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r>
      <w:tr w14:paraId="696926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227" w:type="pct"/>
            <w:vMerge w:val="continue"/>
            <w:tcBorders>
              <w:tl2br w:val="nil"/>
              <w:tr2bl w:val="nil"/>
            </w:tcBorders>
            <w:vAlign w:val="center"/>
          </w:tcPr>
          <w:p w14:paraId="51511DD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307" w:type="pct"/>
            <w:vMerge w:val="continue"/>
            <w:tcBorders>
              <w:tl2br w:val="nil"/>
              <w:tr2bl w:val="nil"/>
            </w:tcBorders>
            <w:vAlign w:val="center"/>
          </w:tcPr>
          <w:p w14:paraId="66436C84">
            <w:pPr>
              <w:pStyle w:val="44"/>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firstLine="0" w:firstLineChars="0"/>
              <w:jc w:val="center"/>
              <w:rPr>
                <w:rFonts w:hint="default" w:ascii="Times New Roman" w:hAnsi="Times New Roman"/>
                <w:color w:val="auto"/>
                <w:spacing w:val="0"/>
                <w:w w:val="100"/>
                <w:kern w:val="21"/>
                <w:position w:val="0"/>
                <w:sz w:val="21"/>
                <w:szCs w:val="21"/>
              </w:rPr>
            </w:pPr>
          </w:p>
        </w:tc>
        <w:tc>
          <w:tcPr>
            <w:tcW w:w="330" w:type="pct"/>
            <w:vMerge w:val="continue"/>
            <w:tcBorders>
              <w:tl2br w:val="nil"/>
              <w:tr2bl w:val="nil"/>
            </w:tcBorders>
            <w:vAlign w:val="center"/>
          </w:tcPr>
          <w:p w14:paraId="1E9EEB8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414" w:type="pct"/>
            <w:tcBorders>
              <w:tl2br w:val="nil"/>
              <w:tr2bl w:val="nil"/>
            </w:tcBorders>
            <w:vAlign w:val="center"/>
          </w:tcPr>
          <w:p w14:paraId="46242B4A">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aps w:val="0"/>
                <w:snapToGrid/>
                <w:color w:val="auto"/>
                <w:spacing w:val="0"/>
                <w:w w:val="100"/>
                <w:kern w:val="0"/>
                <w:position w:val="0"/>
                <w:sz w:val="21"/>
                <w:szCs w:val="21"/>
                <w:highlight w:val="none"/>
                <w:lang w:val="en-US" w:eastAsia="zh-CN"/>
              </w:rPr>
            </w:pPr>
            <w:r>
              <w:rPr>
                <w:rFonts w:hint="eastAsia" w:ascii="Times New Roman" w:hAnsi="Times New Roman" w:eastAsia="宋体" w:cs="Times New Roman"/>
                <w:caps w:val="0"/>
                <w:snapToGrid/>
                <w:color w:val="auto"/>
                <w:spacing w:val="0"/>
                <w:w w:val="100"/>
                <w:kern w:val="0"/>
                <w:position w:val="0"/>
                <w:sz w:val="21"/>
                <w:szCs w:val="21"/>
                <w:highlight w:val="none"/>
                <w:lang w:val="en-US" w:eastAsia="zh-CN"/>
              </w:rPr>
              <w:t>废布袋</w:t>
            </w:r>
          </w:p>
        </w:tc>
        <w:tc>
          <w:tcPr>
            <w:tcW w:w="964" w:type="pct"/>
            <w:vMerge w:val="continue"/>
            <w:tcBorders>
              <w:tl2br w:val="nil"/>
              <w:tr2bl w:val="nil"/>
            </w:tcBorders>
            <w:vAlign w:val="center"/>
          </w:tcPr>
          <w:p w14:paraId="0BABB03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402" w:type="pct"/>
            <w:tcBorders>
              <w:tl2br w:val="nil"/>
              <w:tr2bl w:val="nil"/>
            </w:tcBorders>
            <w:vAlign w:val="center"/>
          </w:tcPr>
          <w:p w14:paraId="778DA47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eastAsia" w:eastAsia="宋体"/>
                <w:color w:val="auto"/>
                <w:spacing w:val="0"/>
                <w:w w:val="100"/>
                <w:kern w:val="21"/>
                <w:position w:val="0"/>
                <w:sz w:val="21"/>
                <w:lang w:val="en-US" w:eastAsia="zh-CN"/>
              </w:rPr>
            </w:pPr>
            <w:r>
              <w:rPr>
                <w:rFonts w:hint="eastAsia"/>
                <w:color w:val="auto"/>
                <w:spacing w:val="0"/>
                <w:w w:val="100"/>
                <w:kern w:val="21"/>
                <w:position w:val="0"/>
                <w:sz w:val="21"/>
                <w:lang w:val="en-US" w:eastAsia="zh-CN"/>
              </w:rPr>
              <w:t>/</w:t>
            </w:r>
          </w:p>
        </w:tc>
        <w:tc>
          <w:tcPr>
            <w:tcW w:w="524" w:type="pct"/>
            <w:tcBorders>
              <w:tl2br w:val="nil"/>
              <w:tr2bl w:val="nil"/>
            </w:tcBorders>
            <w:shd w:val="clear" w:color="auto" w:fill="auto"/>
            <w:vAlign w:val="center"/>
          </w:tcPr>
          <w:p w14:paraId="32D923D8">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r>
              <w:rPr>
                <w:rFonts w:hint="eastAsia" w:ascii="Times New Roman" w:hAnsi="Times New Roman" w:cs="Times New Roman"/>
                <w:color w:val="auto"/>
                <w:spacing w:val="0"/>
                <w:w w:val="100"/>
                <w:kern w:val="0"/>
                <w:position w:val="0"/>
                <w:sz w:val="21"/>
                <w:szCs w:val="21"/>
                <w:lang w:val="en-US" w:eastAsia="zh-CN" w:bidi="ar"/>
              </w:rPr>
              <w:t>/</w:t>
            </w:r>
          </w:p>
        </w:tc>
        <w:tc>
          <w:tcPr>
            <w:tcW w:w="524" w:type="pct"/>
            <w:tcBorders>
              <w:tl2br w:val="nil"/>
              <w:tr2bl w:val="nil"/>
            </w:tcBorders>
            <w:shd w:val="clear" w:color="auto" w:fill="auto"/>
            <w:vAlign w:val="center"/>
          </w:tcPr>
          <w:p w14:paraId="1F375FAC">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r>
              <w:rPr>
                <w:rFonts w:hint="eastAsia" w:ascii="Times New Roman" w:hAnsi="Times New Roman" w:cs="Times New Roman"/>
                <w:color w:val="auto"/>
                <w:spacing w:val="0"/>
                <w:w w:val="100"/>
                <w:kern w:val="0"/>
                <w:position w:val="0"/>
                <w:sz w:val="21"/>
                <w:szCs w:val="21"/>
                <w:lang w:val="en-US" w:eastAsia="zh-CN" w:bidi="ar"/>
              </w:rPr>
              <w:t>0.9</w:t>
            </w:r>
          </w:p>
        </w:tc>
        <w:tc>
          <w:tcPr>
            <w:tcW w:w="351" w:type="pct"/>
            <w:vMerge w:val="continue"/>
            <w:tcBorders>
              <w:tl2br w:val="nil"/>
              <w:tr2bl w:val="nil"/>
            </w:tcBorders>
            <w:vAlign w:val="center"/>
          </w:tcPr>
          <w:p w14:paraId="339EBB4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953" w:type="pct"/>
            <w:vMerge w:val="continue"/>
            <w:tcBorders>
              <w:tl2br w:val="nil"/>
              <w:tr2bl w:val="nil"/>
            </w:tcBorders>
            <w:vAlign w:val="center"/>
          </w:tcPr>
          <w:p w14:paraId="67FAAF4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r>
      <w:tr w14:paraId="7BAFC2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227" w:type="pct"/>
            <w:vMerge w:val="continue"/>
            <w:tcBorders>
              <w:tl2br w:val="nil"/>
              <w:tr2bl w:val="nil"/>
            </w:tcBorders>
            <w:vAlign w:val="center"/>
          </w:tcPr>
          <w:p w14:paraId="22E64B6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307" w:type="pct"/>
            <w:vMerge w:val="restart"/>
            <w:tcBorders>
              <w:tl2br w:val="nil"/>
              <w:tr2bl w:val="nil"/>
            </w:tcBorders>
            <w:vAlign w:val="center"/>
          </w:tcPr>
          <w:p w14:paraId="49CB0D4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危险废物</w:t>
            </w:r>
          </w:p>
        </w:tc>
        <w:tc>
          <w:tcPr>
            <w:tcW w:w="330" w:type="pct"/>
            <w:vMerge w:val="restart"/>
            <w:tcBorders>
              <w:tl2br w:val="nil"/>
              <w:tr2bl w:val="nil"/>
            </w:tcBorders>
            <w:vAlign w:val="center"/>
          </w:tcPr>
          <w:p w14:paraId="0DEB215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r>
              <w:rPr>
                <w:rFonts w:hint="default"/>
                <w:color w:val="auto"/>
                <w:spacing w:val="0"/>
                <w:w w:val="100"/>
                <w:kern w:val="21"/>
                <w:position w:val="0"/>
                <w:sz w:val="21"/>
              </w:rPr>
              <w:t>/</w:t>
            </w:r>
          </w:p>
        </w:tc>
        <w:tc>
          <w:tcPr>
            <w:tcW w:w="414" w:type="pct"/>
            <w:tcBorders>
              <w:tl2br w:val="nil"/>
              <w:tr2bl w:val="nil"/>
            </w:tcBorders>
            <w:shd w:val="clear" w:color="auto" w:fill="auto"/>
            <w:vAlign w:val="center"/>
          </w:tcPr>
          <w:p w14:paraId="07BE9090">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
              </w:rPr>
              <w:t>沾油废手套、抹布</w:t>
            </w:r>
          </w:p>
        </w:tc>
        <w:tc>
          <w:tcPr>
            <w:tcW w:w="964" w:type="pct"/>
            <w:vMerge w:val="restart"/>
            <w:tcBorders>
              <w:tl2br w:val="nil"/>
              <w:tr2bl w:val="nil"/>
            </w:tcBorders>
            <w:vAlign w:val="center"/>
          </w:tcPr>
          <w:p w14:paraId="339A9C75">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r>
              <w:rPr>
                <w:rFonts w:hint="default"/>
                <w:color w:val="auto"/>
                <w:spacing w:val="0"/>
                <w:w w:val="100"/>
                <w:kern w:val="21"/>
                <w:position w:val="0"/>
                <w:sz w:val="21"/>
              </w:rPr>
              <w:t>集中收集后暂存于危废贮存库，定期交由有资质单位处置</w:t>
            </w:r>
          </w:p>
        </w:tc>
        <w:tc>
          <w:tcPr>
            <w:tcW w:w="402" w:type="pct"/>
            <w:tcBorders>
              <w:tl2br w:val="nil"/>
              <w:tr2bl w:val="nil"/>
            </w:tcBorders>
            <w:vAlign w:val="center"/>
          </w:tcPr>
          <w:p w14:paraId="7A32EDE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r>
              <w:rPr>
                <w:rFonts w:hint="default"/>
                <w:color w:val="auto"/>
                <w:spacing w:val="0"/>
                <w:w w:val="100"/>
                <w:kern w:val="21"/>
                <w:position w:val="0"/>
                <w:sz w:val="21"/>
              </w:rPr>
              <w:t>/</w:t>
            </w:r>
          </w:p>
        </w:tc>
        <w:tc>
          <w:tcPr>
            <w:tcW w:w="524" w:type="pct"/>
            <w:tcBorders>
              <w:tl2br w:val="nil"/>
              <w:tr2bl w:val="nil"/>
            </w:tcBorders>
            <w:shd w:val="clear" w:color="auto" w:fill="auto"/>
            <w:vAlign w:val="center"/>
          </w:tcPr>
          <w:p w14:paraId="275056D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contextualSpacing/>
              <w:jc w:val="center"/>
              <w:rPr>
                <w:rFonts w:hint="default" w:ascii="Times New Roman" w:hAnsi="Times New Roman" w:cs="Times New Roman"/>
                <w:color w:val="auto"/>
                <w:spacing w:val="0"/>
                <w:w w:val="100"/>
                <w:kern w:val="0"/>
                <w:position w:val="0"/>
                <w:sz w:val="21"/>
                <w:szCs w:val="21"/>
                <w:lang w:val="en-US" w:eastAsia="zh-CN" w:bidi="ar"/>
              </w:rPr>
            </w:pPr>
            <w:r>
              <w:rPr>
                <w:rFonts w:hint="eastAsia"/>
                <w:color w:val="auto"/>
                <w:spacing w:val="0"/>
                <w:w w:val="100"/>
                <w:kern w:val="21"/>
                <w:position w:val="0"/>
                <w:sz w:val="21"/>
                <w:lang w:val="en-US" w:eastAsia="zh-CN"/>
              </w:rPr>
              <w:t>/</w:t>
            </w:r>
          </w:p>
        </w:tc>
        <w:tc>
          <w:tcPr>
            <w:tcW w:w="524" w:type="pct"/>
            <w:tcBorders>
              <w:tl2br w:val="nil"/>
              <w:tr2bl w:val="nil"/>
            </w:tcBorders>
            <w:shd w:val="clear" w:color="auto" w:fill="auto"/>
            <w:vAlign w:val="center"/>
          </w:tcPr>
          <w:p w14:paraId="3F33FC76">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cs="Times New Roman"/>
                <w:color w:val="auto"/>
                <w:spacing w:val="0"/>
                <w:w w:val="100"/>
                <w:kern w:val="0"/>
                <w:position w:val="0"/>
                <w:sz w:val="21"/>
                <w:szCs w:val="21"/>
                <w:lang w:val="en-US" w:eastAsia="zh-CN" w:bidi="ar"/>
              </w:rPr>
              <w:t>0.01</w:t>
            </w:r>
          </w:p>
        </w:tc>
        <w:tc>
          <w:tcPr>
            <w:tcW w:w="351" w:type="pct"/>
            <w:vMerge w:val="restart"/>
            <w:tcBorders>
              <w:tl2br w:val="nil"/>
              <w:tr2bl w:val="nil"/>
            </w:tcBorders>
            <w:vAlign w:val="center"/>
          </w:tcPr>
          <w:p w14:paraId="1ADF269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r>
              <w:rPr>
                <w:rFonts w:hint="default"/>
                <w:color w:val="auto"/>
                <w:spacing w:val="0"/>
                <w:w w:val="100"/>
                <w:kern w:val="21"/>
                <w:position w:val="0"/>
                <w:sz w:val="21"/>
              </w:rPr>
              <w:t>/</w:t>
            </w:r>
          </w:p>
        </w:tc>
        <w:tc>
          <w:tcPr>
            <w:tcW w:w="953" w:type="pct"/>
            <w:vMerge w:val="restart"/>
            <w:tcBorders>
              <w:tl2br w:val="nil"/>
              <w:tr2bl w:val="nil"/>
            </w:tcBorders>
            <w:vAlign w:val="center"/>
          </w:tcPr>
          <w:p w14:paraId="29B6892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r>
              <w:rPr>
                <w:rFonts w:hint="default"/>
                <w:color w:val="auto"/>
                <w:spacing w:val="0"/>
                <w:w w:val="100"/>
                <w:kern w:val="21"/>
                <w:position w:val="0"/>
                <w:sz w:val="21"/>
              </w:rPr>
              <w:t>《危险废物贮存污染控制标准》（GB18597-2023）</w:t>
            </w:r>
          </w:p>
        </w:tc>
      </w:tr>
      <w:tr w14:paraId="794DFA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227" w:type="pct"/>
            <w:vMerge w:val="continue"/>
            <w:tcBorders>
              <w:tl2br w:val="nil"/>
              <w:tr2bl w:val="nil"/>
            </w:tcBorders>
            <w:vAlign w:val="center"/>
          </w:tcPr>
          <w:p w14:paraId="0B0D755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307" w:type="pct"/>
            <w:vMerge w:val="continue"/>
            <w:tcBorders>
              <w:tl2br w:val="nil"/>
              <w:tr2bl w:val="nil"/>
            </w:tcBorders>
            <w:vAlign w:val="center"/>
          </w:tcPr>
          <w:p w14:paraId="21EE7186">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p>
        </w:tc>
        <w:tc>
          <w:tcPr>
            <w:tcW w:w="330" w:type="pct"/>
            <w:vMerge w:val="continue"/>
            <w:tcBorders>
              <w:tl2br w:val="nil"/>
              <w:tr2bl w:val="nil"/>
            </w:tcBorders>
            <w:vAlign w:val="center"/>
          </w:tcPr>
          <w:p w14:paraId="59147F0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414" w:type="pct"/>
            <w:tcBorders>
              <w:tl2br w:val="nil"/>
              <w:tr2bl w:val="nil"/>
            </w:tcBorders>
            <w:shd w:val="clear" w:color="auto" w:fill="auto"/>
            <w:vAlign w:val="center"/>
          </w:tcPr>
          <w:p w14:paraId="47145D60">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
              </w:rPr>
              <w:t>废机油</w:t>
            </w:r>
          </w:p>
        </w:tc>
        <w:tc>
          <w:tcPr>
            <w:tcW w:w="964" w:type="pct"/>
            <w:vMerge w:val="continue"/>
            <w:tcBorders>
              <w:tl2br w:val="nil"/>
              <w:tr2bl w:val="nil"/>
            </w:tcBorders>
            <w:vAlign w:val="center"/>
          </w:tcPr>
          <w:p w14:paraId="44DDDC2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402" w:type="pct"/>
            <w:tcBorders>
              <w:tl2br w:val="nil"/>
              <w:tr2bl w:val="nil"/>
            </w:tcBorders>
            <w:vAlign w:val="center"/>
          </w:tcPr>
          <w:p w14:paraId="4777F1F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contextualSpacing/>
              <w:jc w:val="center"/>
              <w:rPr>
                <w:rFonts w:hint="default"/>
                <w:color w:val="auto"/>
                <w:spacing w:val="0"/>
                <w:w w:val="100"/>
                <w:kern w:val="21"/>
                <w:position w:val="0"/>
                <w:sz w:val="21"/>
              </w:rPr>
            </w:pPr>
            <w:r>
              <w:rPr>
                <w:rFonts w:hint="eastAsia"/>
                <w:color w:val="auto"/>
                <w:spacing w:val="0"/>
                <w:w w:val="100"/>
                <w:kern w:val="21"/>
                <w:position w:val="0"/>
                <w:sz w:val="21"/>
                <w:lang w:val="en-US" w:eastAsia="zh-CN"/>
              </w:rPr>
              <w:t>/</w:t>
            </w:r>
          </w:p>
        </w:tc>
        <w:tc>
          <w:tcPr>
            <w:tcW w:w="524" w:type="pct"/>
            <w:tcBorders>
              <w:tl2br w:val="nil"/>
              <w:tr2bl w:val="nil"/>
            </w:tcBorders>
            <w:shd w:val="clear" w:color="auto" w:fill="auto"/>
            <w:vAlign w:val="center"/>
          </w:tcPr>
          <w:p w14:paraId="768A108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contextualSpacing/>
              <w:jc w:val="center"/>
              <w:rPr>
                <w:rFonts w:hint="default" w:ascii="Times New Roman" w:hAnsi="Times New Roman" w:eastAsia="宋体" w:cs="Times New Roman"/>
                <w:color w:val="auto"/>
                <w:spacing w:val="0"/>
                <w:w w:val="100"/>
                <w:kern w:val="0"/>
                <w:position w:val="0"/>
                <w:sz w:val="21"/>
                <w:szCs w:val="21"/>
                <w:lang w:val="en-US" w:eastAsia="zh-CN" w:bidi="ar"/>
              </w:rPr>
            </w:pPr>
            <w:r>
              <w:rPr>
                <w:rFonts w:hint="eastAsia"/>
                <w:color w:val="auto"/>
                <w:spacing w:val="0"/>
                <w:w w:val="100"/>
                <w:kern w:val="21"/>
                <w:position w:val="0"/>
                <w:sz w:val="21"/>
                <w:lang w:val="en-US" w:eastAsia="zh-CN"/>
              </w:rPr>
              <w:t>/</w:t>
            </w:r>
          </w:p>
        </w:tc>
        <w:tc>
          <w:tcPr>
            <w:tcW w:w="524" w:type="pct"/>
            <w:tcBorders>
              <w:tl2br w:val="nil"/>
              <w:tr2bl w:val="nil"/>
            </w:tcBorders>
            <w:shd w:val="clear" w:color="auto" w:fill="auto"/>
            <w:vAlign w:val="center"/>
          </w:tcPr>
          <w:p w14:paraId="6A9536FC">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
              </w:rPr>
              <w:t>0.1</w:t>
            </w:r>
          </w:p>
        </w:tc>
        <w:tc>
          <w:tcPr>
            <w:tcW w:w="351" w:type="pct"/>
            <w:vMerge w:val="continue"/>
            <w:tcBorders>
              <w:tl2br w:val="nil"/>
              <w:tr2bl w:val="nil"/>
            </w:tcBorders>
            <w:vAlign w:val="center"/>
          </w:tcPr>
          <w:p w14:paraId="5060C7D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953" w:type="pct"/>
            <w:vMerge w:val="continue"/>
            <w:tcBorders>
              <w:tl2br w:val="nil"/>
              <w:tr2bl w:val="nil"/>
            </w:tcBorders>
            <w:vAlign w:val="center"/>
          </w:tcPr>
          <w:p w14:paraId="0BB1599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r>
      <w:tr w14:paraId="0A97FD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227" w:type="pct"/>
            <w:vMerge w:val="continue"/>
            <w:tcBorders>
              <w:tl2br w:val="nil"/>
              <w:tr2bl w:val="nil"/>
            </w:tcBorders>
            <w:vAlign w:val="center"/>
          </w:tcPr>
          <w:p w14:paraId="106B5BC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307" w:type="pct"/>
            <w:vMerge w:val="continue"/>
            <w:tcBorders>
              <w:tl2br w:val="nil"/>
              <w:tr2bl w:val="nil"/>
            </w:tcBorders>
            <w:vAlign w:val="center"/>
          </w:tcPr>
          <w:p w14:paraId="2F4BED4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330" w:type="pct"/>
            <w:vMerge w:val="continue"/>
            <w:tcBorders>
              <w:tl2br w:val="nil"/>
              <w:tr2bl w:val="nil"/>
            </w:tcBorders>
            <w:vAlign w:val="center"/>
          </w:tcPr>
          <w:p w14:paraId="4957ED2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414" w:type="pct"/>
            <w:tcBorders>
              <w:tl2br w:val="nil"/>
              <w:tr2bl w:val="nil"/>
            </w:tcBorders>
            <w:shd w:val="clear" w:color="auto" w:fill="auto"/>
            <w:vAlign w:val="center"/>
          </w:tcPr>
          <w:p w14:paraId="52DCC180">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
              </w:rPr>
              <w:t>废机油桶</w:t>
            </w:r>
          </w:p>
        </w:tc>
        <w:tc>
          <w:tcPr>
            <w:tcW w:w="964" w:type="pct"/>
            <w:vMerge w:val="continue"/>
            <w:tcBorders>
              <w:tl2br w:val="nil"/>
              <w:tr2bl w:val="nil"/>
            </w:tcBorders>
            <w:vAlign w:val="center"/>
          </w:tcPr>
          <w:p w14:paraId="423737C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402" w:type="pct"/>
            <w:tcBorders>
              <w:tl2br w:val="nil"/>
              <w:tr2bl w:val="nil"/>
            </w:tcBorders>
            <w:vAlign w:val="center"/>
          </w:tcPr>
          <w:p w14:paraId="1F9EFA0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contextualSpacing/>
              <w:jc w:val="center"/>
              <w:rPr>
                <w:rFonts w:hint="default"/>
                <w:color w:val="auto"/>
                <w:spacing w:val="0"/>
                <w:w w:val="100"/>
                <w:kern w:val="21"/>
                <w:position w:val="0"/>
                <w:sz w:val="21"/>
              </w:rPr>
            </w:pPr>
            <w:r>
              <w:rPr>
                <w:rFonts w:hint="eastAsia"/>
                <w:color w:val="auto"/>
                <w:spacing w:val="0"/>
                <w:w w:val="100"/>
                <w:kern w:val="21"/>
                <w:position w:val="0"/>
                <w:sz w:val="21"/>
                <w:lang w:val="en-US" w:eastAsia="zh-CN"/>
              </w:rPr>
              <w:t>/</w:t>
            </w:r>
          </w:p>
        </w:tc>
        <w:tc>
          <w:tcPr>
            <w:tcW w:w="524" w:type="pct"/>
            <w:tcBorders>
              <w:tl2br w:val="nil"/>
              <w:tr2bl w:val="nil"/>
            </w:tcBorders>
            <w:shd w:val="clear" w:color="auto" w:fill="auto"/>
            <w:vAlign w:val="center"/>
          </w:tcPr>
          <w:p w14:paraId="5F83437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contextualSpacing/>
              <w:jc w:val="center"/>
              <w:rPr>
                <w:rFonts w:hint="default" w:ascii="Times New Roman" w:hAnsi="Times New Roman" w:eastAsia="宋体" w:cs="Times New Roman"/>
                <w:color w:val="auto"/>
                <w:spacing w:val="0"/>
                <w:w w:val="100"/>
                <w:kern w:val="0"/>
                <w:position w:val="0"/>
                <w:sz w:val="21"/>
                <w:szCs w:val="21"/>
                <w:lang w:val="en-US" w:eastAsia="zh-CN" w:bidi="ar"/>
              </w:rPr>
            </w:pPr>
            <w:r>
              <w:rPr>
                <w:rFonts w:hint="eastAsia"/>
                <w:color w:val="auto"/>
                <w:spacing w:val="0"/>
                <w:w w:val="100"/>
                <w:kern w:val="21"/>
                <w:position w:val="0"/>
                <w:sz w:val="21"/>
                <w:lang w:val="en-US" w:eastAsia="zh-CN"/>
              </w:rPr>
              <w:t>/</w:t>
            </w:r>
          </w:p>
        </w:tc>
        <w:tc>
          <w:tcPr>
            <w:tcW w:w="524" w:type="pct"/>
            <w:tcBorders>
              <w:tl2br w:val="nil"/>
              <w:tr2bl w:val="nil"/>
            </w:tcBorders>
            <w:shd w:val="clear" w:color="auto" w:fill="auto"/>
            <w:vAlign w:val="center"/>
          </w:tcPr>
          <w:p w14:paraId="0272780B">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
              </w:rPr>
              <w:t>0.01</w:t>
            </w:r>
          </w:p>
        </w:tc>
        <w:tc>
          <w:tcPr>
            <w:tcW w:w="351" w:type="pct"/>
            <w:vMerge w:val="continue"/>
            <w:tcBorders>
              <w:tl2br w:val="nil"/>
              <w:tr2bl w:val="nil"/>
            </w:tcBorders>
            <w:vAlign w:val="center"/>
          </w:tcPr>
          <w:p w14:paraId="5A11B73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953" w:type="pct"/>
            <w:vMerge w:val="continue"/>
            <w:tcBorders>
              <w:tl2br w:val="nil"/>
              <w:tr2bl w:val="nil"/>
            </w:tcBorders>
            <w:vAlign w:val="center"/>
          </w:tcPr>
          <w:p w14:paraId="2F01BB7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r>
      <w:tr w14:paraId="5C0344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227" w:type="pct"/>
            <w:vMerge w:val="continue"/>
            <w:tcBorders>
              <w:tl2br w:val="nil"/>
              <w:tr2bl w:val="nil"/>
            </w:tcBorders>
            <w:vAlign w:val="center"/>
          </w:tcPr>
          <w:p w14:paraId="40C0905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307" w:type="pct"/>
            <w:vMerge w:val="continue"/>
            <w:tcBorders>
              <w:tl2br w:val="nil"/>
              <w:tr2bl w:val="nil"/>
            </w:tcBorders>
            <w:vAlign w:val="center"/>
          </w:tcPr>
          <w:p w14:paraId="3CD6DEC5">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330" w:type="pct"/>
            <w:vMerge w:val="continue"/>
            <w:tcBorders>
              <w:tl2br w:val="nil"/>
              <w:tr2bl w:val="nil"/>
            </w:tcBorders>
            <w:vAlign w:val="center"/>
          </w:tcPr>
          <w:p w14:paraId="5A4D5F5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414" w:type="pct"/>
            <w:tcBorders>
              <w:tl2br w:val="nil"/>
              <w:tr2bl w:val="nil"/>
            </w:tcBorders>
            <w:shd w:val="clear" w:color="auto" w:fill="auto"/>
            <w:vAlign w:val="center"/>
          </w:tcPr>
          <w:p w14:paraId="4A3C4316">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废催化剂</w:t>
            </w:r>
          </w:p>
        </w:tc>
        <w:tc>
          <w:tcPr>
            <w:tcW w:w="964" w:type="pct"/>
            <w:vMerge w:val="continue"/>
            <w:tcBorders>
              <w:tl2br w:val="nil"/>
              <w:tr2bl w:val="nil"/>
            </w:tcBorders>
            <w:vAlign w:val="center"/>
          </w:tcPr>
          <w:p w14:paraId="3145DAC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402" w:type="pct"/>
            <w:tcBorders>
              <w:tl2br w:val="nil"/>
              <w:tr2bl w:val="nil"/>
            </w:tcBorders>
            <w:vAlign w:val="center"/>
          </w:tcPr>
          <w:p w14:paraId="6CBEE72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contextualSpacing/>
              <w:jc w:val="center"/>
              <w:rPr>
                <w:rFonts w:hint="default"/>
                <w:color w:val="auto"/>
                <w:spacing w:val="0"/>
                <w:w w:val="100"/>
                <w:kern w:val="21"/>
                <w:position w:val="0"/>
                <w:sz w:val="21"/>
              </w:rPr>
            </w:pPr>
            <w:r>
              <w:rPr>
                <w:rFonts w:hint="eastAsia"/>
                <w:color w:val="auto"/>
                <w:spacing w:val="0"/>
                <w:w w:val="100"/>
                <w:kern w:val="21"/>
                <w:position w:val="0"/>
                <w:sz w:val="21"/>
                <w:lang w:val="en-US" w:eastAsia="zh-CN"/>
              </w:rPr>
              <w:t>/</w:t>
            </w:r>
          </w:p>
        </w:tc>
        <w:tc>
          <w:tcPr>
            <w:tcW w:w="524" w:type="pct"/>
            <w:tcBorders>
              <w:tl2br w:val="nil"/>
              <w:tr2bl w:val="nil"/>
            </w:tcBorders>
            <w:shd w:val="clear" w:color="auto" w:fill="auto"/>
            <w:vAlign w:val="center"/>
          </w:tcPr>
          <w:p w14:paraId="117DB65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contextualSpacing/>
              <w:jc w:val="center"/>
              <w:rPr>
                <w:rFonts w:hint="default" w:ascii="Times New Roman" w:hAnsi="Times New Roman" w:cs="Times New Roman"/>
                <w:color w:val="auto"/>
                <w:spacing w:val="0"/>
                <w:w w:val="100"/>
                <w:position w:val="0"/>
                <w:sz w:val="21"/>
                <w:szCs w:val="21"/>
                <w:highlight w:val="none"/>
                <w:lang w:val="en-US" w:eastAsia="zh-CN"/>
              </w:rPr>
            </w:pPr>
            <w:r>
              <w:rPr>
                <w:rFonts w:hint="eastAsia"/>
                <w:color w:val="auto"/>
                <w:spacing w:val="0"/>
                <w:w w:val="100"/>
                <w:kern w:val="21"/>
                <w:position w:val="0"/>
                <w:sz w:val="21"/>
                <w:lang w:val="en-US" w:eastAsia="zh-CN"/>
              </w:rPr>
              <w:t>/</w:t>
            </w:r>
          </w:p>
        </w:tc>
        <w:tc>
          <w:tcPr>
            <w:tcW w:w="524" w:type="pct"/>
            <w:tcBorders>
              <w:tl2br w:val="nil"/>
              <w:tr2bl w:val="nil"/>
            </w:tcBorders>
            <w:shd w:val="clear" w:color="auto" w:fill="auto"/>
            <w:vAlign w:val="center"/>
          </w:tcPr>
          <w:p w14:paraId="58E9EB2E">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eastAsia" w:ascii="Times New Roman" w:hAnsi="Times New Roman" w:cs="Times New Roman"/>
                <w:color w:val="auto"/>
                <w:spacing w:val="0"/>
                <w:w w:val="100"/>
                <w:position w:val="0"/>
                <w:sz w:val="21"/>
                <w:szCs w:val="21"/>
                <w:highlight w:val="none"/>
                <w:lang w:val="en-US" w:eastAsia="zh-CN"/>
              </w:rPr>
              <w:t>0.5t/3a</w:t>
            </w:r>
          </w:p>
        </w:tc>
        <w:tc>
          <w:tcPr>
            <w:tcW w:w="351" w:type="pct"/>
            <w:vMerge w:val="continue"/>
            <w:tcBorders>
              <w:tl2br w:val="nil"/>
              <w:tr2bl w:val="nil"/>
            </w:tcBorders>
            <w:vAlign w:val="center"/>
          </w:tcPr>
          <w:p w14:paraId="624E813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953" w:type="pct"/>
            <w:vMerge w:val="continue"/>
            <w:tcBorders>
              <w:tl2br w:val="nil"/>
              <w:tr2bl w:val="nil"/>
            </w:tcBorders>
            <w:vAlign w:val="center"/>
          </w:tcPr>
          <w:p w14:paraId="0E6C819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r>
      <w:tr w14:paraId="4C59DD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227" w:type="pct"/>
            <w:vMerge w:val="continue"/>
            <w:tcBorders>
              <w:tl2br w:val="nil"/>
              <w:tr2bl w:val="nil"/>
            </w:tcBorders>
            <w:vAlign w:val="center"/>
          </w:tcPr>
          <w:p w14:paraId="3A78D10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307" w:type="pct"/>
            <w:vMerge w:val="continue"/>
            <w:tcBorders>
              <w:tl2br w:val="nil"/>
              <w:tr2bl w:val="nil"/>
            </w:tcBorders>
            <w:vAlign w:val="center"/>
          </w:tcPr>
          <w:p w14:paraId="2717B65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330" w:type="pct"/>
            <w:vMerge w:val="continue"/>
            <w:tcBorders>
              <w:tl2br w:val="nil"/>
              <w:tr2bl w:val="nil"/>
            </w:tcBorders>
            <w:vAlign w:val="center"/>
          </w:tcPr>
          <w:p w14:paraId="260DFEC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414" w:type="pct"/>
            <w:tcBorders>
              <w:tl2br w:val="nil"/>
              <w:tr2bl w:val="nil"/>
            </w:tcBorders>
            <w:shd w:val="clear" w:color="auto" w:fill="auto"/>
            <w:vAlign w:val="center"/>
          </w:tcPr>
          <w:p w14:paraId="47BC6C2A">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kern w:val="0"/>
                <w:position w:val="0"/>
                <w:sz w:val="21"/>
                <w:szCs w:val="21"/>
                <w:lang w:val="en-US" w:eastAsia="zh-CN" w:bidi="ar"/>
              </w:rPr>
            </w:pPr>
            <w:r>
              <w:rPr>
                <w:rFonts w:hint="eastAsia" w:ascii="Times New Roman" w:hAnsi="Times New Roman" w:cs="Times New Roman"/>
                <w:color w:val="auto"/>
                <w:spacing w:val="0"/>
                <w:w w:val="100"/>
                <w:kern w:val="0"/>
                <w:position w:val="0"/>
                <w:sz w:val="21"/>
                <w:szCs w:val="21"/>
                <w:lang w:val="en-US" w:eastAsia="zh-CN" w:bidi="ar"/>
              </w:rPr>
              <w:t>废过滤棉</w:t>
            </w:r>
          </w:p>
        </w:tc>
        <w:tc>
          <w:tcPr>
            <w:tcW w:w="964" w:type="pct"/>
            <w:vMerge w:val="continue"/>
            <w:tcBorders>
              <w:tl2br w:val="nil"/>
              <w:tr2bl w:val="nil"/>
            </w:tcBorders>
            <w:vAlign w:val="center"/>
          </w:tcPr>
          <w:p w14:paraId="6D9543C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402" w:type="pct"/>
            <w:tcBorders>
              <w:tl2br w:val="nil"/>
              <w:tr2bl w:val="nil"/>
            </w:tcBorders>
            <w:vAlign w:val="center"/>
          </w:tcPr>
          <w:p w14:paraId="6AC0879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contextualSpacing/>
              <w:jc w:val="center"/>
              <w:rPr>
                <w:rFonts w:hint="eastAsia"/>
                <w:color w:val="auto"/>
                <w:spacing w:val="0"/>
                <w:w w:val="100"/>
                <w:kern w:val="21"/>
                <w:position w:val="0"/>
                <w:sz w:val="21"/>
                <w:lang w:val="en-US" w:eastAsia="zh-CN"/>
              </w:rPr>
            </w:pPr>
          </w:p>
        </w:tc>
        <w:tc>
          <w:tcPr>
            <w:tcW w:w="524" w:type="pct"/>
            <w:tcBorders>
              <w:tl2br w:val="nil"/>
              <w:tr2bl w:val="nil"/>
            </w:tcBorders>
            <w:shd w:val="clear" w:color="auto" w:fill="auto"/>
            <w:vAlign w:val="center"/>
          </w:tcPr>
          <w:p w14:paraId="53AFCF0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contextualSpacing/>
              <w:jc w:val="center"/>
              <w:rPr>
                <w:rFonts w:hint="eastAsia"/>
                <w:color w:val="auto"/>
                <w:spacing w:val="0"/>
                <w:w w:val="100"/>
                <w:kern w:val="21"/>
                <w:position w:val="0"/>
                <w:sz w:val="21"/>
                <w:lang w:val="en-US" w:eastAsia="zh-CN"/>
              </w:rPr>
            </w:pPr>
          </w:p>
        </w:tc>
        <w:tc>
          <w:tcPr>
            <w:tcW w:w="524" w:type="pct"/>
            <w:tcBorders>
              <w:tl2br w:val="nil"/>
              <w:tr2bl w:val="nil"/>
            </w:tcBorders>
            <w:shd w:val="clear" w:color="auto" w:fill="auto"/>
            <w:vAlign w:val="center"/>
          </w:tcPr>
          <w:p w14:paraId="57182EBD">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w w:val="100"/>
                <w:position w:val="0"/>
                <w:sz w:val="21"/>
                <w:szCs w:val="21"/>
                <w:highlight w:val="none"/>
                <w:lang w:val="en-US" w:eastAsia="zh-CN"/>
              </w:rPr>
            </w:pPr>
            <w:r>
              <w:rPr>
                <w:rFonts w:hint="eastAsia" w:ascii="Times New Roman" w:hAnsi="Times New Roman" w:cs="Times New Roman"/>
                <w:color w:val="auto"/>
                <w:spacing w:val="0"/>
                <w:w w:val="100"/>
                <w:position w:val="0"/>
                <w:sz w:val="21"/>
                <w:szCs w:val="21"/>
                <w:highlight w:val="none"/>
                <w:lang w:val="en-US" w:eastAsia="zh-CN"/>
              </w:rPr>
              <w:t>0.5</w:t>
            </w:r>
          </w:p>
        </w:tc>
        <w:tc>
          <w:tcPr>
            <w:tcW w:w="351" w:type="pct"/>
            <w:vMerge w:val="continue"/>
            <w:tcBorders>
              <w:tl2br w:val="nil"/>
              <w:tr2bl w:val="nil"/>
            </w:tcBorders>
            <w:vAlign w:val="center"/>
          </w:tcPr>
          <w:p w14:paraId="11AFAC2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953" w:type="pct"/>
            <w:vMerge w:val="continue"/>
            <w:tcBorders>
              <w:tl2br w:val="nil"/>
              <w:tr2bl w:val="nil"/>
            </w:tcBorders>
            <w:vAlign w:val="center"/>
          </w:tcPr>
          <w:p w14:paraId="419BB2B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r>
      <w:tr w14:paraId="5A28FC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227" w:type="pct"/>
            <w:vMerge w:val="continue"/>
            <w:tcBorders>
              <w:tl2br w:val="nil"/>
              <w:tr2bl w:val="nil"/>
            </w:tcBorders>
            <w:vAlign w:val="center"/>
          </w:tcPr>
          <w:p w14:paraId="022F07D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307" w:type="pct"/>
            <w:vMerge w:val="continue"/>
            <w:tcBorders>
              <w:tl2br w:val="nil"/>
              <w:tr2bl w:val="nil"/>
            </w:tcBorders>
            <w:vAlign w:val="center"/>
          </w:tcPr>
          <w:p w14:paraId="5552ED53">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330" w:type="pct"/>
            <w:vMerge w:val="continue"/>
            <w:tcBorders>
              <w:tl2br w:val="nil"/>
              <w:tr2bl w:val="nil"/>
            </w:tcBorders>
            <w:vAlign w:val="center"/>
          </w:tcPr>
          <w:p w14:paraId="5F00146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414" w:type="pct"/>
            <w:tcBorders>
              <w:tl2br w:val="nil"/>
              <w:tr2bl w:val="nil"/>
            </w:tcBorders>
            <w:shd w:val="clear" w:color="auto" w:fill="auto"/>
            <w:vAlign w:val="center"/>
          </w:tcPr>
          <w:p w14:paraId="6A28AE11">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
              </w:rPr>
            </w:pPr>
            <w:r>
              <w:rPr>
                <w:rFonts w:hint="default" w:ascii="Times New Roman" w:hAnsi="Times New Roman" w:cs="Times New Roman"/>
                <w:color w:val="auto"/>
                <w:spacing w:val="0"/>
                <w:w w:val="100"/>
                <w:kern w:val="0"/>
                <w:position w:val="0"/>
                <w:sz w:val="21"/>
                <w:szCs w:val="21"/>
                <w:lang w:val="en-US" w:eastAsia="zh-CN" w:bidi="ar"/>
              </w:rPr>
              <w:t>废活性炭</w:t>
            </w:r>
          </w:p>
        </w:tc>
        <w:tc>
          <w:tcPr>
            <w:tcW w:w="964" w:type="pct"/>
            <w:vMerge w:val="continue"/>
            <w:tcBorders>
              <w:tl2br w:val="nil"/>
              <w:tr2bl w:val="nil"/>
            </w:tcBorders>
            <w:vAlign w:val="center"/>
          </w:tcPr>
          <w:p w14:paraId="65ACAB31">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402" w:type="pct"/>
            <w:tcBorders>
              <w:tl2br w:val="nil"/>
              <w:tr2bl w:val="nil"/>
            </w:tcBorders>
            <w:vAlign w:val="center"/>
          </w:tcPr>
          <w:p w14:paraId="50B32C6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contextualSpacing/>
              <w:jc w:val="center"/>
              <w:rPr>
                <w:rFonts w:hint="default"/>
                <w:color w:val="auto"/>
                <w:spacing w:val="0"/>
                <w:w w:val="100"/>
                <w:kern w:val="21"/>
                <w:position w:val="0"/>
                <w:sz w:val="21"/>
              </w:rPr>
            </w:pPr>
            <w:r>
              <w:rPr>
                <w:rFonts w:hint="eastAsia"/>
                <w:color w:val="auto"/>
                <w:spacing w:val="0"/>
                <w:w w:val="100"/>
                <w:kern w:val="21"/>
                <w:position w:val="0"/>
                <w:sz w:val="21"/>
                <w:lang w:val="en-US" w:eastAsia="zh-CN"/>
              </w:rPr>
              <w:t>/</w:t>
            </w:r>
          </w:p>
        </w:tc>
        <w:tc>
          <w:tcPr>
            <w:tcW w:w="524" w:type="pct"/>
            <w:tcBorders>
              <w:tl2br w:val="nil"/>
              <w:tr2bl w:val="nil"/>
            </w:tcBorders>
            <w:shd w:val="clear" w:color="auto" w:fill="auto"/>
            <w:vAlign w:val="center"/>
          </w:tcPr>
          <w:p w14:paraId="7E0CE2D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contextualSpacing/>
              <w:jc w:val="center"/>
              <w:rPr>
                <w:rFonts w:hint="default" w:ascii="Times New Roman" w:hAnsi="Times New Roman" w:cs="Times New Roman"/>
                <w:color w:val="auto"/>
                <w:spacing w:val="0"/>
                <w:w w:val="100"/>
                <w:position w:val="0"/>
                <w:sz w:val="21"/>
                <w:szCs w:val="21"/>
                <w:highlight w:val="none"/>
                <w:lang w:val="en-US" w:eastAsia="zh-CN"/>
              </w:rPr>
            </w:pPr>
            <w:r>
              <w:rPr>
                <w:rFonts w:hint="eastAsia"/>
                <w:color w:val="auto"/>
                <w:spacing w:val="0"/>
                <w:w w:val="100"/>
                <w:kern w:val="21"/>
                <w:position w:val="0"/>
                <w:sz w:val="21"/>
                <w:lang w:val="en-US" w:eastAsia="zh-CN"/>
              </w:rPr>
              <w:t>/</w:t>
            </w:r>
          </w:p>
        </w:tc>
        <w:tc>
          <w:tcPr>
            <w:tcW w:w="524" w:type="pct"/>
            <w:tcBorders>
              <w:tl2br w:val="nil"/>
              <w:tr2bl w:val="nil"/>
            </w:tcBorders>
            <w:shd w:val="clear" w:color="auto" w:fill="auto"/>
            <w:vAlign w:val="center"/>
          </w:tcPr>
          <w:p w14:paraId="39878DDD">
            <w:pPr>
              <w:pStyle w:val="2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2"/>
                <w:position w:val="0"/>
                <w:sz w:val="21"/>
                <w:szCs w:val="21"/>
                <w:highlight w:val="none"/>
                <w:lang w:val="en-US" w:eastAsia="zh-CN" w:bidi="ar-SA"/>
              </w:rPr>
            </w:pPr>
            <w:r>
              <w:rPr>
                <w:rFonts w:hint="eastAsia" w:ascii="Times New Roman" w:hAnsi="Times New Roman" w:cs="Times New Roman"/>
                <w:color w:val="auto"/>
                <w:spacing w:val="0"/>
                <w:w w:val="100"/>
                <w:position w:val="0"/>
                <w:sz w:val="21"/>
                <w:szCs w:val="21"/>
                <w:highlight w:val="none"/>
                <w:lang w:val="en-US" w:eastAsia="zh-CN"/>
              </w:rPr>
              <w:t>2.5</w:t>
            </w:r>
          </w:p>
        </w:tc>
        <w:tc>
          <w:tcPr>
            <w:tcW w:w="351" w:type="pct"/>
            <w:vMerge w:val="continue"/>
            <w:tcBorders>
              <w:tl2br w:val="nil"/>
              <w:tr2bl w:val="nil"/>
            </w:tcBorders>
            <w:vAlign w:val="center"/>
          </w:tcPr>
          <w:p w14:paraId="1268EBA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953" w:type="pct"/>
            <w:vMerge w:val="continue"/>
            <w:tcBorders>
              <w:tl2br w:val="nil"/>
              <w:tr2bl w:val="nil"/>
            </w:tcBorders>
            <w:vAlign w:val="center"/>
          </w:tcPr>
          <w:p w14:paraId="6F2093B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r>
      <w:tr w14:paraId="460113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jc w:val="center"/>
        </w:trPr>
        <w:tc>
          <w:tcPr>
            <w:tcW w:w="227" w:type="pct"/>
            <w:vMerge w:val="continue"/>
            <w:tcBorders>
              <w:tl2br w:val="nil"/>
              <w:tr2bl w:val="nil"/>
            </w:tcBorders>
            <w:vAlign w:val="center"/>
          </w:tcPr>
          <w:p w14:paraId="1311B0B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p>
        </w:tc>
        <w:tc>
          <w:tcPr>
            <w:tcW w:w="307" w:type="pct"/>
            <w:tcBorders>
              <w:tl2br w:val="nil"/>
              <w:tr2bl w:val="nil"/>
            </w:tcBorders>
            <w:vAlign w:val="center"/>
          </w:tcPr>
          <w:p w14:paraId="557EC38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生活垃圾</w:t>
            </w:r>
          </w:p>
        </w:tc>
        <w:tc>
          <w:tcPr>
            <w:tcW w:w="330" w:type="pct"/>
            <w:tcBorders>
              <w:tl2br w:val="nil"/>
              <w:tr2bl w:val="nil"/>
            </w:tcBorders>
            <w:vAlign w:val="center"/>
          </w:tcPr>
          <w:p w14:paraId="1F437BF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r>
              <w:rPr>
                <w:rFonts w:hint="default"/>
                <w:color w:val="auto"/>
                <w:spacing w:val="0"/>
                <w:w w:val="100"/>
                <w:kern w:val="21"/>
                <w:position w:val="0"/>
                <w:sz w:val="21"/>
              </w:rPr>
              <w:t>/</w:t>
            </w:r>
          </w:p>
        </w:tc>
        <w:tc>
          <w:tcPr>
            <w:tcW w:w="414" w:type="pct"/>
            <w:tcBorders>
              <w:tl2br w:val="nil"/>
              <w:tr2bl w:val="nil"/>
            </w:tcBorders>
            <w:vAlign w:val="center"/>
          </w:tcPr>
          <w:p w14:paraId="440AE40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jc w:val="center"/>
              <w:rPr>
                <w:rFonts w:hint="default"/>
                <w:color w:val="auto"/>
                <w:spacing w:val="0"/>
                <w:w w:val="100"/>
                <w:kern w:val="21"/>
                <w:position w:val="0"/>
                <w:sz w:val="21"/>
              </w:rPr>
            </w:pPr>
            <w:r>
              <w:rPr>
                <w:rFonts w:hint="default"/>
                <w:color w:val="auto"/>
                <w:spacing w:val="0"/>
                <w:w w:val="100"/>
                <w:kern w:val="21"/>
                <w:position w:val="0"/>
                <w:sz w:val="21"/>
              </w:rPr>
              <w:t>生活垃圾</w:t>
            </w:r>
          </w:p>
        </w:tc>
        <w:tc>
          <w:tcPr>
            <w:tcW w:w="964" w:type="pct"/>
            <w:tcBorders>
              <w:tl2br w:val="nil"/>
              <w:tr2bl w:val="nil"/>
            </w:tcBorders>
            <w:vAlign w:val="center"/>
          </w:tcPr>
          <w:p w14:paraId="5DB802B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r>
              <w:rPr>
                <w:rFonts w:hint="default"/>
                <w:color w:val="auto"/>
                <w:spacing w:val="0"/>
                <w:w w:val="100"/>
                <w:kern w:val="21"/>
                <w:position w:val="0"/>
                <w:sz w:val="21"/>
              </w:rPr>
              <w:t>设置垃圾桶统一收集后交由环卫部门定期清运至生活垃圾填埋场处理</w:t>
            </w:r>
          </w:p>
        </w:tc>
        <w:tc>
          <w:tcPr>
            <w:tcW w:w="402" w:type="pct"/>
            <w:tcBorders>
              <w:tl2br w:val="nil"/>
              <w:tr2bl w:val="nil"/>
            </w:tcBorders>
            <w:vAlign w:val="center"/>
          </w:tcPr>
          <w:p w14:paraId="416FC2D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r>
              <w:rPr>
                <w:rFonts w:hint="default"/>
                <w:color w:val="auto"/>
                <w:spacing w:val="0"/>
                <w:w w:val="100"/>
                <w:kern w:val="21"/>
                <w:position w:val="0"/>
                <w:sz w:val="21"/>
              </w:rPr>
              <w:t>/</w:t>
            </w:r>
          </w:p>
        </w:tc>
        <w:tc>
          <w:tcPr>
            <w:tcW w:w="524" w:type="pct"/>
            <w:tcBorders>
              <w:tl2br w:val="nil"/>
              <w:tr2bl w:val="nil"/>
            </w:tcBorders>
            <w:vAlign w:val="center"/>
          </w:tcPr>
          <w:p w14:paraId="7E239D3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contextualSpacing/>
              <w:jc w:val="center"/>
              <w:rPr>
                <w:rFonts w:hint="eastAsia" w:ascii="Times New Roman" w:hAnsi="Times New Roman"/>
                <w:color w:val="auto"/>
                <w:spacing w:val="0"/>
                <w:w w:val="100"/>
                <w:kern w:val="21"/>
                <w:position w:val="0"/>
                <w:sz w:val="21"/>
                <w:lang w:val="en-US" w:eastAsia="zh-CN"/>
              </w:rPr>
            </w:pPr>
            <w:r>
              <w:rPr>
                <w:rFonts w:hint="eastAsia"/>
                <w:color w:val="auto"/>
                <w:spacing w:val="0"/>
                <w:w w:val="100"/>
                <w:kern w:val="21"/>
                <w:position w:val="0"/>
                <w:sz w:val="21"/>
                <w:lang w:val="en-US" w:eastAsia="zh-CN"/>
              </w:rPr>
              <w:t>/</w:t>
            </w:r>
          </w:p>
        </w:tc>
        <w:tc>
          <w:tcPr>
            <w:tcW w:w="524" w:type="pct"/>
            <w:tcBorders>
              <w:tl2br w:val="nil"/>
              <w:tr2bl w:val="nil"/>
            </w:tcBorders>
            <w:vAlign w:val="center"/>
          </w:tcPr>
          <w:p w14:paraId="1DF06E54">
            <w:pPr>
              <w:pStyle w:val="52"/>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rPr>
                <w:rFonts w:hint="default" w:ascii="Times New Roman" w:hAnsi="Times New Roman" w:eastAsia="宋体"/>
                <w:color w:val="auto"/>
                <w:spacing w:val="0"/>
                <w:w w:val="100"/>
                <w:kern w:val="21"/>
                <w:position w:val="0"/>
                <w:sz w:val="21"/>
                <w:lang w:val="en-US" w:eastAsia="zh-CN"/>
              </w:rPr>
            </w:pPr>
            <w:r>
              <w:rPr>
                <w:rFonts w:hint="eastAsia" w:ascii="Times New Roman" w:hAnsi="Times New Roman"/>
                <w:color w:val="auto"/>
                <w:spacing w:val="0"/>
                <w:w w:val="100"/>
                <w:kern w:val="21"/>
                <w:position w:val="0"/>
                <w:sz w:val="21"/>
                <w:lang w:val="en-US" w:eastAsia="zh-CN"/>
              </w:rPr>
              <w:t>10.038</w:t>
            </w:r>
          </w:p>
        </w:tc>
        <w:tc>
          <w:tcPr>
            <w:tcW w:w="351" w:type="pct"/>
            <w:tcBorders>
              <w:tl2br w:val="nil"/>
              <w:tr2bl w:val="nil"/>
            </w:tcBorders>
            <w:vAlign w:val="center"/>
          </w:tcPr>
          <w:p w14:paraId="72541D3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r>
              <w:rPr>
                <w:rFonts w:hint="default"/>
                <w:color w:val="auto"/>
                <w:spacing w:val="0"/>
                <w:w w:val="100"/>
                <w:kern w:val="21"/>
                <w:position w:val="0"/>
                <w:sz w:val="21"/>
              </w:rPr>
              <w:t>/</w:t>
            </w:r>
          </w:p>
        </w:tc>
        <w:tc>
          <w:tcPr>
            <w:tcW w:w="953" w:type="pct"/>
            <w:tcBorders>
              <w:tl2br w:val="nil"/>
              <w:tr2bl w:val="nil"/>
            </w:tcBorders>
            <w:vAlign w:val="center"/>
          </w:tcPr>
          <w:p w14:paraId="50BA374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firstLine="0" w:firstLineChars="0"/>
              <w:contextualSpacing/>
              <w:jc w:val="center"/>
              <w:rPr>
                <w:rFonts w:hint="default"/>
                <w:color w:val="auto"/>
                <w:spacing w:val="0"/>
                <w:w w:val="100"/>
                <w:kern w:val="21"/>
                <w:position w:val="0"/>
                <w:sz w:val="21"/>
              </w:rPr>
            </w:pPr>
            <w:r>
              <w:rPr>
                <w:rFonts w:hint="eastAsia"/>
                <w:color w:val="auto"/>
                <w:spacing w:val="0"/>
                <w:w w:val="100"/>
                <w:kern w:val="21"/>
                <w:position w:val="0"/>
                <w:sz w:val="21"/>
              </w:rPr>
              <w:t>/</w:t>
            </w:r>
          </w:p>
        </w:tc>
      </w:tr>
    </w:tbl>
    <w:p w14:paraId="640D7D8B">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both"/>
        <w:textAlignment w:val="auto"/>
        <w:outlineLvl w:val="9"/>
        <w:rPr>
          <w:rFonts w:hint="default" w:ascii="Times New Roman" w:hAnsi="Times New Roman" w:eastAsia="宋体" w:cs="Times New Roman"/>
          <w:caps w:val="0"/>
          <w:snapToGrid/>
          <w:color w:val="auto"/>
          <w:spacing w:val="0"/>
          <w:w w:val="100"/>
          <w:kern w:val="21"/>
          <w:position w:val="0"/>
          <w:highlight w:val="none"/>
        </w:rPr>
        <w:sectPr>
          <w:footerReference r:id="rId13" w:type="default"/>
          <w:pgSz w:w="16838" w:h="11905" w:orient="landscape"/>
          <w:pgMar w:top="1531" w:right="1531" w:bottom="1531" w:left="1531" w:header="850" w:footer="850" w:gutter="0"/>
          <w:pgBorders>
            <w:top w:val="none" w:sz="0" w:space="0"/>
            <w:left w:val="none" w:sz="0" w:space="0"/>
            <w:bottom w:val="none" w:sz="0" w:space="0"/>
            <w:right w:val="none" w:sz="0" w:space="0"/>
          </w:pgBorders>
          <w:pgNumType w:fmt="decimal"/>
          <w:cols w:space="0" w:num="1"/>
          <w:rtlGutter w:val="0"/>
          <w:docGrid w:linePitch="312" w:charSpace="0"/>
        </w:sectPr>
      </w:pPr>
    </w:p>
    <w:bookmarkEnd w:id="918"/>
    <w:bookmarkEnd w:id="919"/>
    <w:bookmarkEnd w:id="920"/>
    <w:bookmarkEnd w:id="921"/>
    <w:bookmarkEnd w:id="922"/>
    <w:bookmarkEnd w:id="923"/>
    <w:p w14:paraId="2D0235D1">
      <w:pPr>
        <w:pStyle w:val="2"/>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rPr>
      </w:pPr>
      <w:bookmarkStart w:id="938" w:name="_Toc7677"/>
      <w:bookmarkStart w:id="939" w:name="_Toc2163"/>
      <w:bookmarkStart w:id="940" w:name="_Toc10865"/>
      <w:bookmarkStart w:id="941" w:name="_Toc18001"/>
      <w:bookmarkStart w:id="942" w:name="_Toc19078"/>
      <w:bookmarkStart w:id="943" w:name="_Toc6537"/>
      <w:bookmarkStart w:id="944" w:name="_Toc20106"/>
      <w:bookmarkStart w:id="945" w:name="_Toc204064942"/>
      <w:bookmarkStart w:id="946" w:name="_Toc221561205"/>
      <w:bookmarkStart w:id="947" w:name="_Toc204061299"/>
      <w:bookmarkStart w:id="948" w:name="_Toc13395"/>
      <w:bookmarkStart w:id="949" w:name="_Toc204668924"/>
      <w:bookmarkStart w:id="950" w:name="_Toc173470145"/>
      <w:bookmarkStart w:id="951" w:name="_Toc204061449"/>
      <w:bookmarkStart w:id="952" w:name="_Toc204667385"/>
      <w:bookmarkStart w:id="953" w:name="_Toc223503521"/>
      <w:bookmarkStart w:id="954" w:name="_Toc214699012"/>
      <w:bookmarkStart w:id="955" w:name="_Toc32244"/>
      <w:bookmarkStart w:id="956" w:name="_Toc3937"/>
      <w:bookmarkStart w:id="957" w:name="_Toc32078"/>
      <w:r>
        <w:rPr>
          <w:rFonts w:hint="default"/>
          <w:color w:val="auto"/>
          <w:spacing w:val="0"/>
          <w:w w:val="100"/>
          <w:position w:val="0"/>
          <w:highlight w:val="none"/>
        </w:rPr>
        <w:t>9</w:t>
      </w:r>
      <w:bookmarkEnd w:id="938"/>
      <w:bookmarkEnd w:id="939"/>
      <w:bookmarkEnd w:id="940"/>
      <w:r>
        <w:rPr>
          <w:rFonts w:hint="default"/>
          <w:color w:val="auto"/>
          <w:spacing w:val="0"/>
          <w:w w:val="100"/>
          <w:position w:val="0"/>
          <w:highlight w:val="none"/>
        </w:rPr>
        <w:t>环境影响评价结论</w:t>
      </w:r>
      <w:bookmarkEnd w:id="941"/>
      <w:bookmarkEnd w:id="942"/>
      <w:bookmarkEnd w:id="943"/>
      <w:bookmarkEnd w:id="944"/>
    </w:p>
    <w:p w14:paraId="7DBD1EF6">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958" w:name="_Toc14659"/>
      <w:bookmarkStart w:id="959" w:name="_Toc19968"/>
      <w:bookmarkStart w:id="960" w:name="_Toc19985"/>
      <w:r>
        <w:rPr>
          <w:rFonts w:hint="default"/>
          <w:color w:val="auto"/>
          <w:spacing w:val="0"/>
          <w:w w:val="100"/>
          <w:position w:val="0"/>
          <w:highlight w:val="none"/>
          <w:lang w:val="en-US" w:eastAsia="zh-CN"/>
        </w:rPr>
        <w:t>9.1</w:t>
      </w:r>
      <w:bookmarkEnd w:id="945"/>
      <w:bookmarkEnd w:id="946"/>
      <w:bookmarkEnd w:id="947"/>
      <w:bookmarkEnd w:id="948"/>
      <w:bookmarkEnd w:id="949"/>
      <w:bookmarkEnd w:id="950"/>
      <w:bookmarkEnd w:id="951"/>
      <w:bookmarkEnd w:id="952"/>
      <w:bookmarkEnd w:id="953"/>
      <w:bookmarkEnd w:id="954"/>
      <w:bookmarkEnd w:id="955"/>
      <w:bookmarkEnd w:id="956"/>
      <w:r>
        <w:rPr>
          <w:rFonts w:hint="default"/>
          <w:color w:val="auto"/>
          <w:spacing w:val="0"/>
          <w:w w:val="100"/>
          <w:position w:val="0"/>
          <w:highlight w:val="none"/>
          <w:lang w:val="en-US" w:eastAsia="zh-CN"/>
        </w:rPr>
        <w:t>建设项目概况</w:t>
      </w:r>
      <w:bookmarkEnd w:id="957"/>
      <w:bookmarkEnd w:id="958"/>
      <w:bookmarkEnd w:id="959"/>
      <w:bookmarkEnd w:id="960"/>
    </w:p>
    <w:p w14:paraId="52120ED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jc w:val="both"/>
        <w:textAlignment w:val="auto"/>
        <w:outlineLvl w:val="9"/>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（1）项目名称：</w:t>
      </w:r>
      <w:r>
        <w:rPr>
          <w:rFonts w:hint="eastAsia"/>
          <w:color w:val="auto"/>
          <w:spacing w:val="0"/>
          <w:w w:val="100"/>
          <w:position w:val="0"/>
          <w:highlight w:val="none"/>
          <w:lang w:val="en-US" w:eastAsia="zh-CN"/>
        </w:rPr>
        <w:t>新疆吉宸建材有限公司建设年产120万平方米铝塑复合板生产线项目</w:t>
      </w:r>
    </w:p>
    <w:p w14:paraId="22170B0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jc w:val="both"/>
        <w:textAlignment w:val="auto"/>
        <w:outlineLvl w:val="9"/>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（2）建设单位：</w:t>
      </w:r>
      <w:r>
        <w:rPr>
          <w:rFonts w:hint="eastAsia"/>
          <w:color w:val="auto"/>
          <w:spacing w:val="0"/>
          <w:w w:val="100"/>
          <w:position w:val="0"/>
          <w:highlight w:val="none"/>
          <w:lang w:val="en-US" w:eastAsia="zh-CN"/>
        </w:rPr>
        <w:t>新疆吉宸建材有限公司</w:t>
      </w:r>
    </w:p>
    <w:p w14:paraId="43979D1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jc w:val="both"/>
        <w:textAlignment w:val="auto"/>
        <w:outlineLvl w:val="9"/>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（3）建设性质：新建</w:t>
      </w:r>
    </w:p>
    <w:p w14:paraId="2E7F6AC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jc w:val="both"/>
        <w:textAlignment w:val="auto"/>
        <w:outlineLvl w:val="9"/>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（4）地理位置：本项目位于</w:t>
      </w:r>
      <w:r>
        <w:rPr>
          <w:rFonts w:hint="eastAsia" w:cs="Times New Roman"/>
          <w:caps w:val="0"/>
          <w:snapToGrid/>
          <w:color w:val="auto"/>
          <w:spacing w:val="0"/>
          <w:w w:val="100"/>
          <w:kern w:val="21"/>
          <w:position w:val="0"/>
          <w:sz w:val="24"/>
          <w:szCs w:val="24"/>
          <w:highlight w:val="none"/>
          <w:lang w:eastAsia="zh-CN"/>
        </w:rPr>
        <w:t>甘泉堡工业园区中小微企业创新区</w:t>
      </w:r>
      <w:r>
        <w:rPr>
          <w:rFonts w:hint="default"/>
          <w:color w:val="auto"/>
          <w:spacing w:val="0"/>
          <w:w w:val="100"/>
          <w:position w:val="0"/>
          <w:highlight w:val="none"/>
          <w:lang w:val="en-US" w:eastAsia="zh-CN"/>
        </w:rPr>
        <w:t>，</w:t>
      </w:r>
      <w:r>
        <w:rPr>
          <w:rFonts w:hint="eastAsia"/>
          <w:color w:val="auto"/>
          <w:spacing w:val="0"/>
          <w:w w:val="100"/>
          <w:position w:val="0"/>
          <w:highlight w:val="none"/>
          <w:lang w:val="en-US" w:eastAsia="zh-CN"/>
        </w:rPr>
        <w:t>厂区东侧、南侧、西侧均为园区生产厂房，北侧为阜锦路，地理位置坐标为：</w:t>
      </w:r>
      <w:r>
        <w:rPr>
          <w:rFonts w:hint="default" w:ascii="Times New Roman" w:hAnsi="Times New Roman" w:cs="Times New Roman"/>
          <w:color w:val="auto"/>
          <w:spacing w:val="0"/>
          <w:w w:val="100"/>
          <w:position w:val="0"/>
          <w:highlight w:val="none"/>
          <w:lang w:val="en-US" w:eastAsia="zh-CN"/>
        </w:rPr>
        <w:t>东经87°50'39.048"，北纬44°09'44.799"</w:t>
      </w:r>
      <w:r>
        <w:rPr>
          <w:rFonts w:hint="default"/>
          <w:color w:val="auto"/>
          <w:spacing w:val="0"/>
          <w:w w:val="100"/>
          <w:position w:val="0"/>
          <w:highlight w:val="none"/>
          <w:lang w:val="en-US" w:eastAsia="zh-CN"/>
        </w:rPr>
        <w:t>。</w:t>
      </w:r>
    </w:p>
    <w:p w14:paraId="17EB6B9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jc w:val="both"/>
        <w:textAlignment w:val="auto"/>
        <w:outlineLvl w:val="9"/>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（5）项目投资：本项目总投资</w:t>
      </w:r>
      <w:r>
        <w:rPr>
          <w:rFonts w:hint="eastAsia"/>
          <w:color w:val="auto"/>
          <w:spacing w:val="0"/>
          <w:w w:val="100"/>
          <w:position w:val="0"/>
          <w:highlight w:val="none"/>
          <w:lang w:val="en-US" w:eastAsia="zh-CN"/>
        </w:rPr>
        <w:t>1000万元</w:t>
      </w:r>
      <w:r>
        <w:rPr>
          <w:rFonts w:hint="default"/>
          <w:color w:val="auto"/>
          <w:spacing w:val="0"/>
          <w:w w:val="100"/>
          <w:position w:val="0"/>
          <w:highlight w:val="none"/>
          <w:lang w:val="en-US" w:eastAsia="zh-CN"/>
        </w:rPr>
        <w:t>，资金来源为企业自筹。其中环保投资</w:t>
      </w:r>
      <w:r>
        <w:rPr>
          <w:rFonts w:hint="eastAsia"/>
          <w:color w:val="auto"/>
          <w:spacing w:val="0"/>
          <w:w w:val="100"/>
          <w:position w:val="0"/>
          <w:highlight w:val="none"/>
          <w:lang w:val="en-US" w:eastAsia="zh-CN"/>
        </w:rPr>
        <w:t>53.8</w:t>
      </w:r>
      <w:r>
        <w:rPr>
          <w:rFonts w:hint="default"/>
          <w:color w:val="auto"/>
          <w:spacing w:val="0"/>
          <w:w w:val="100"/>
          <w:position w:val="0"/>
          <w:highlight w:val="none"/>
          <w:lang w:val="en-US" w:eastAsia="zh-CN"/>
        </w:rPr>
        <w:t>万元，约占工程总投资的</w:t>
      </w:r>
      <w:r>
        <w:rPr>
          <w:rFonts w:hint="eastAsia"/>
          <w:color w:val="auto"/>
          <w:spacing w:val="0"/>
          <w:w w:val="100"/>
          <w:position w:val="0"/>
          <w:highlight w:val="none"/>
          <w:lang w:val="en-US" w:eastAsia="zh-CN"/>
        </w:rPr>
        <w:t>5.38</w:t>
      </w:r>
      <w:r>
        <w:rPr>
          <w:rFonts w:hint="default"/>
          <w:color w:val="auto"/>
          <w:spacing w:val="0"/>
          <w:w w:val="100"/>
          <w:position w:val="0"/>
          <w:highlight w:val="none"/>
          <w:lang w:val="en-US" w:eastAsia="zh-CN"/>
        </w:rPr>
        <w:t>%。</w:t>
      </w:r>
    </w:p>
    <w:p w14:paraId="6BD39D1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jc w:val="both"/>
        <w:textAlignment w:val="auto"/>
        <w:outlineLvl w:val="9"/>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（6）建设周期：项目总建设周期为</w:t>
      </w:r>
      <w:r>
        <w:rPr>
          <w:rFonts w:hint="eastAsia"/>
          <w:color w:val="auto"/>
          <w:spacing w:val="0"/>
          <w:w w:val="100"/>
          <w:position w:val="0"/>
          <w:highlight w:val="none"/>
          <w:lang w:val="en-US" w:eastAsia="zh-CN"/>
        </w:rPr>
        <w:t>12个月。</w:t>
      </w:r>
    </w:p>
    <w:p w14:paraId="592B634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jc w:val="both"/>
        <w:textAlignment w:val="auto"/>
        <w:outlineLvl w:val="9"/>
        <w:rPr>
          <w:rFonts w:hint="default"/>
          <w:color w:val="auto"/>
          <w:spacing w:val="0"/>
          <w:w w:val="100"/>
          <w:position w:val="0"/>
          <w:highlight w:val="none"/>
          <w:lang w:val="en-US" w:eastAsia="zh-CN"/>
        </w:rPr>
      </w:pPr>
      <w:r>
        <w:rPr>
          <w:rFonts w:hint="default"/>
          <w:color w:val="auto"/>
          <w:spacing w:val="0"/>
          <w:w w:val="100"/>
          <w:position w:val="0"/>
          <w:highlight w:val="none"/>
          <w:lang w:val="en-US" w:eastAsia="zh-CN"/>
        </w:rPr>
        <w:t>（7）劳动定员及工作制度：</w:t>
      </w:r>
      <w:r>
        <w:rPr>
          <w:rFonts w:hint="eastAsia"/>
          <w:color w:val="auto"/>
          <w:spacing w:val="0"/>
          <w:w w:val="100"/>
          <w:position w:val="0"/>
          <w:highlight w:val="none"/>
          <w:lang w:val="en-US" w:eastAsia="zh-CN"/>
        </w:rPr>
        <w:t>本项目劳动定员为55人；实行2班制，每班8h，年运行天数为300天，全年工作4800小时。</w:t>
      </w:r>
    </w:p>
    <w:p w14:paraId="5811A91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jc w:val="both"/>
        <w:textAlignment w:val="auto"/>
        <w:outlineLvl w:val="9"/>
        <w:rPr>
          <w:rFonts w:hint="default" w:ascii="Times New Roman" w:hAnsi="Times New Roman" w:eastAsia="宋体" w:cs="Times New Roman"/>
          <w:caps w:val="0"/>
          <w:snapToGrid/>
          <w:color w:val="auto"/>
          <w:spacing w:val="0"/>
          <w:w w:val="100"/>
          <w:kern w:val="21"/>
          <w:position w:val="0"/>
          <w:sz w:val="24"/>
          <w:highlight w:val="none"/>
        </w:rPr>
      </w:pPr>
      <w:r>
        <w:rPr>
          <w:rFonts w:hint="default"/>
          <w:color w:val="auto"/>
          <w:spacing w:val="0"/>
          <w:w w:val="100"/>
          <w:position w:val="0"/>
          <w:highlight w:val="none"/>
          <w:lang w:val="en-US" w:eastAsia="zh-CN"/>
        </w:rPr>
        <w:t>（8）建设内容及规模：本项目</w:t>
      </w:r>
      <w:r>
        <w:rPr>
          <w:rFonts w:hint="eastAsia"/>
          <w:color w:val="auto"/>
          <w:spacing w:val="0"/>
          <w:w w:val="100"/>
          <w:position w:val="0"/>
          <w:highlight w:val="none"/>
          <w:lang w:val="en-US" w:eastAsia="zh-CN"/>
        </w:rPr>
        <w:t>租赁空置厂房，新购置安装铝塑复合板生产线3条，建成运行后年产120万平方米铝塑复合板。</w:t>
      </w:r>
    </w:p>
    <w:p w14:paraId="2F052036">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961" w:name="_Toc4649"/>
      <w:bookmarkStart w:id="962" w:name="_Toc25894"/>
      <w:bookmarkStart w:id="963" w:name="_Toc15507"/>
      <w:bookmarkStart w:id="964" w:name="_Toc11868"/>
      <w:r>
        <w:rPr>
          <w:rFonts w:hint="default"/>
          <w:color w:val="auto"/>
          <w:spacing w:val="0"/>
          <w:w w:val="100"/>
          <w:position w:val="0"/>
          <w:highlight w:val="none"/>
          <w:lang w:val="en-US" w:eastAsia="zh-CN"/>
        </w:rPr>
        <w:t>9.2环境质量现状评价结论</w:t>
      </w:r>
      <w:bookmarkEnd w:id="961"/>
      <w:bookmarkEnd w:id="962"/>
      <w:bookmarkEnd w:id="963"/>
      <w:bookmarkEnd w:id="964"/>
    </w:p>
    <w:p w14:paraId="415F263A">
      <w:pPr>
        <w:keepNext w:val="0"/>
        <w:keepLines w:val="0"/>
        <w:pageBreakBefore w:val="0"/>
        <w:widowControl w:val="0"/>
        <w:tabs>
          <w:tab w:val="left" w:pos="720"/>
        </w:tabs>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0"/>
          <w:position w:val="0"/>
          <w:sz w:val="24"/>
          <w:highlight w:val="none"/>
        </w:rPr>
      </w:pPr>
      <w:bookmarkStart w:id="965" w:name="_Toc25161"/>
      <w:bookmarkStart w:id="966" w:name="_Toc28800"/>
      <w:bookmarkStart w:id="967" w:name="_Toc10975"/>
      <w:bookmarkStart w:id="968" w:name="_Toc201140756"/>
      <w:bookmarkStart w:id="969" w:name="_Toc204061302"/>
      <w:bookmarkStart w:id="970" w:name="_Toc204058016"/>
      <w:r>
        <w:rPr>
          <w:rFonts w:hint="default" w:ascii="Times New Roman" w:hAnsi="Times New Roman" w:eastAsia="宋体" w:cs="Times New Roman"/>
          <w:caps w:val="0"/>
          <w:snapToGrid/>
          <w:color w:val="auto"/>
          <w:spacing w:val="0"/>
          <w:w w:val="100"/>
          <w:kern w:val="0"/>
          <w:position w:val="0"/>
          <w:sz w:val="24"/>
          <w:highlight w:val="none"/>
        </w:rPr>
        <w:t>（1）环境空气质量现状</w:t>
      </w:r>
    </w:p>
    <w:p w14:paraId="5E20BAB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textAlignment w:val="auto"/>
        <w:outlineLvl w:val="9"/>
        <w:rPr>
          <w:rFonts w:hint="default" w:ascii="Times New Roman" w:hAnsi="Times New Roman" w:eastAsia="宋体" w:cs="Times New Roman"/>
          <w:caps w:val="0"/>
          <w:snapToGrid/>
          <w:color w:val="auto"/>
          <w:spacing w:val="0"/>
          <w:w w:val="100"/>
          <w:kern w:val="0"/>
          <w:position w:val="0"/>
          <w:sz w:val="24"/>
          <w:highlight w:val="none"/>
          <w:lang w:bidi="ar"/>
        </w:rPr>
      </w:pPr>
      <w:r>
        <w:rPr>
          <w:rFonts w:hint="default" w:ascii="Times New Roman" w:hAnsi="Times New Roman" w:cs="Times New Roman"/>
          <w:color w:val="auto"/>
          <w:spacing w:val="0"/>
          <w:w w:val="100"/>
          <w:kern w:val="21"/>
          <w:position w:val="0"/>
          <w:szCs w:val="24"/>
          <w:lang w:val="en-US" w:eastAsia="zh-CN"/>
        </w:rPr>
        <w:t>乌鲁木齐市2025年SO</w:t>
      </w:r>
      <w:r>
        <w:rPr>
          <w:rFonts w:hint="default" w:ascii="Times New Roman" w:hAnsi="Times New Roman" w:cs="Times New Roman"/>
          <w:color w:val="auto"/>
          <w:spacing w:val="0"/>
          <w:w w:val="100"/>
          <w:kern w:val="21"/>
          <w:position w:val="0"/>
          <w:szCs w:val="24"/>
          <w:vertAlign w:val="subscript"/>
          <w:lang w:val="en-US" w:eastAsia="zh-CN"/>
        </w:rPr>
        <w:t>2</w:t>
      </w:r>
      <w:r>
        <w:rPr>
          <w:rFonts w:hint="default" w:ascii="Times New Roman" w:hAnsi="Times New Roman" w:cs="Times New Roman"/>
          <w:color w:val="auto"/>
          <w:spacing w:val="0"/>
          <w:w w:val="100"/>
          <w:kern w:val="21"/>
          <w:position w:val="0"/>
          <w:szCs w:val="24"/>
          <w:lang w:val="en-US" w:eastAsia="zh-CN"/>
        </w:rPr>
        <w:t>、NO</w:t>
      </w:r>
      <w:r>
        <w:rPr>
          <w:rFonts w:hint="default" w:ascii="Times New Roman" w:hAnsi="Times New Roman" w:cs="Times New Roman"/>
          <w:color w:val="auto"/>
          <w:spacing w:val="0"/>
          <w:w w:val="100"/>
          <w:kern w:val="21"/>
          <w:position w:val="0"/>
          <w:szCs w:val="24"/>
          <w:vertAlign w:val="subscript"/>
          <w:lang w:val="en-US" w:eastAsia="zh-CN"/>
        </w:rPr>
        <w:t>2</w:t>
      </w:r>
      <w:r>
        <w:rPr>
          <w:rFonts w:hint="default" w:ascii="Times New Roman" w:hAnsi="Times New Roman" w:cs="Times New Roman"/>
          <w:color w:val="auto"/>
          <w:spacing w:val="0"/>
          <w:w w:val="100"/>
          <w:kern w:val="21"/>
          <w:position w:val="0"/>
          <w:szCs w:val="24"/>
          <w:lang w:val="en-US" w:eastAsia="zh-CN"/>
        </w:rPr>
        <w:t>、PM</w:t>
      </w:r>
      <w:r>
        <w:rPr>
          <w:rFonts w:hint="default" w:ascii="Times New Roman" w:hAnsi="Times New Roman" w:cs="Times New Roman"/>
          <w:color w:val="auto"/>
          <w:spacing w:val="0"/>
          <w:w w:val="100"/>
          <w:kern w:val="21"/>
          <w:position w:val="0"/>
          <w:szCs w:val="24"/>
          <w:vertAlign w:val="subscript"/>
          <w:lang w:val="en-US" w:eastAsia="zh-CN"/>
        </w:rPr>
        <w:t>10</w:t>
      </w:r>
      <w:r>
        <w:rPr>
          <w:rFonts w:hint="default" w:ascii="Times New Roman" w:hAnsi="Times New Roman" w:cs="Times New Roman"/>
          <w:color w:val="auto"/>
          <w:spacing w:val="0"/>
          <w:w w:val="100"/>
          <w:kern w:val="21"/>
          <w:position w:val="0"/>
          <w:szCs w:val="24"/>
          <w:lang w:val="en-US" w:eastAsia="zh-CN"/>
        </w:rPr>
        <w:t>、PM</w:t>
      </w:r>
      <w:r>
        <w:rPr>
          <w:rFonts w:hint="default" w:ascii="Times New Roman" w:hAnsi="Times New Roman" w:cs="Times New Roman"/>
          <w:color w:val="auto"/>
          <w:spacing w:val="0"/>
          <w:w w:val="100"/>
          <w:kern w:val="21"/>
          <w:position w:val="0"/>
          <w:szCs w:val="24"/>
          <w:vertAlign w:val="subscript"/>
          <w:lang w:val="en-US" w:eastAsia="zh-CN"/>
        </w:rPr>
        <w:t>2.5</w:t>
      </w:r>
      <w:r>
        <w:rPr>
          <w:rFonts w:hint="default" w:ascii="Times New Roman" w:hAnsi="Times New Roman" w:cs="Times New Roman"/>
          <w:color w:val="auto"/>
          <w:spacing w:val="0"/>
          <w:w w:val="100"/>
          <w:kern w:val="21"/>
          <w:position w:val="0"/>
          <w:szCs w:val="24"/>
          <w:lang w:val="en-US" w:eastAsia="zh-CN"/>
        </w:rPr>
        <w:t>年均浓度分别为6μg/m</w:t>
      </w:r>
      <w:r>
        <w:rPr>
          <w:rFonts w:hint="default" w:ascii="Times New Roman" w:hAnsi="Times New Roman" w:cs="Times New Roman"/>
          <w:color w:val="auto"/>
          <w:spacing w:val="0"/>
          <w:w w:val="100"/>
          <w:kern w:val="21"/>
          <w:position w:val="0"/>
          <w:szCs w:val="24"/>
          <w:vertAlign w:val="superscript"/>
          <w:lang w:val="en-US" w:eastAsia="zh-CN"/>
        </w:rPr>
        <w:t>3</w:t>
      </w:r>
      <w:r>
        <w:rPr>
          <w:rFonts w:hint="default" w:ascii="Times New Roman" w:hAnsi="Times New Roman" w:cs="Times New Roman"/>
          <w:color w:val="auto"/>
          <w:spacing w:val="0"/>
          <w:w w:val="100"/>
          <w:kern w:val="21"/>
          <w:position w:val="0"/>
          <w:szCs w:val="24"/>
          <w:lang w:val="en-US" w:eastAsia="zh-CN"/>
        </w:rPr>
        <w:t>、29μg/m</w:t>
      </w:r>
      <w:r>
        <w:rPr>
          <w:rFonts w:hint="default" w:ascii="Times New Roman" w:hAnsi="Times New Roman" w:cs="Times New Roman"/>
          <w:color w:val="auto"/>
          <w:spacing w:val="0"/>
          <w:w w:val="100"/>
          <w:kern w:val="21"/>
          <w:position w:val="0"/>
          <w:szCs w:val="24"/>
          <w:vertAlign w:val="superscript"/>
          <w:lang w:val="en-US" w:eastAsia="zh-CN"/>
        </w:rPr>
        <w:t>3</w:t>
      </w:r>
      <w:r>
        <w:rPr>
          <w:rFonts w:hint="default" w:ascii="Times New Roman" w:hAnsi="Times New Roman" w:cs="Times New Roman"/>
          <w:color w:val="auto"/>
          <w:spacing w:val="0"/>
          <w:w w:val="100"/>
          <w:kern w:val="21"/>
          <w:position w:val="0"/>
          <w:szCs w:val="24"/>
          <w:lang w:val="en-US" w:eastAsia="zh-CN"/>
        </w:rPr>
        <w:t>、62μg/m</w:t>
      </w:r>
      <w:r>
        <w:rPr>
          <w:rFonts w:hint="default" w:ascii="Times New Roman" w:hAnsi="Times New Roman" w:cs="Times New Roman"/>
          <w:color w:val="auto"/>
          <w:spacing w:val="0"/>
          <w:w w:val="100"/>
          <w:kern w:val="21"/>
          <w:position w:val="0"/>
          <w:szCs w:val="24"/>
          <w:vertAlign w:val="superscript"/>
          <w:lang w:val="en-US" w:eastAsia="zh-CN"/>
        </w:rPr>
        <w:t>3</w:t>
      </w:r>
      <w:r>
        <w:rPr>
          <w:rFonts w:hint="default" w:ascii="Times New Roman" w:hAnsi="Times New Roman" w:cs="Times New Roman"/>
          <w:color w:val="auto"/>
          <w:spacing w:val="0"/>
          <w:w w:val="100"/>
          <w:kern w:val="21"/>
          <w:position w:val="0"/>
          <w:szCs w:val="24"/>
          <w:lang w:val="en-US" w:eastAsia="zh-CN"/>
        </w:rPr>
        <w:t>、35μg/m</w:t>
      </w:r>
      <w:r>
        <w:rPr>
          <w:rFonts w:hint="default" w:ascii="Times New Roman" w:hAnsi="Times New Roman" w:cs="Times New Roman"/>
          <w:color w:val="auto"/>
          <w:spacing w:val="0"/>
          <w:w w:val="100"/>
          <w:kern w:val="21"/>
          <w:position w:val="0"/>
          <w:szCs w:val="24"/>
          <w:vertAlign w:val="superscript"/>
          <w:lang w:val="en-US" w:eastAsia="zh-CN"/>
        </w:rPr>
        <w:t>3</w:t>
      </w:r>
      <w:r>
        <w:rPr>
          <w:rFonts w:hint="default" w:ascii="Times New Roman" w:hAnsi="Times New Roman" w:cs="Times New Roman"/>
          <w:color w:val="auto"/>
          <w:spacing w:val="0"/>
          <w:w w:val="100"/>
          <w:kern w:val="21"/>
          <w:position w:val="0"/>
          <w:szCs w:val="24"/>
          <w:lang w:val="en-US" w:eastAsia="zh-CN"/>
        </w:rPr>
        <w:t>；CO24小时平均第95百分位数为1.4mg/m</w:t>
      </w:r>
      <w:r>
        <w:rPr>
          <w:rFonts w:hint="default" w:ascii="Times New Roman" w:hAnsi="Times New Roman" w:cs="Times New Roman"/>
          <w:color w:val="auto"/>
          <w:spacing w:val="0"/>
          <w:w w:val="100"/>
          <w:kern w:val="21"/>
          <w:position w:val="0"/>
          <w:szCs w:val="24"/>
          <w:vertAlign w:val="superscript"/>
          <w:lang w:val="en-US" w:eastAsia="zh-CN"/>
        </w:rPr>
        <w:t>3</w:t>
      </w:r>
      <w:r>
        <w:rPr>
          <w:rFonts w:hint="default" w:ascii="Times New Roman" w:hAnsi="Times New Roman" w:cs="Times New Roman"/>
          <w:color w:val="auto"/>
          <w:spacing w:val="0"/>
          <w:w w:val="100"/>
          <w:kern w:val="21"/>
          <w:position w:val="0"/>
          <w:szCs w:val="24"/>
          <w:lang w:val="en-US" w:eastAsia="zh-CN"/>
        </w:rPr>
        <w:t>，O</w:t>
      </w:r>
      <w:r>
        <w:rPr>
          <w:rFonts w:hint="default" w:ascii="Times New Roman" w:hAnsi="Times New Roman" w:cs="Times New Roman"/>
          <w:color w:val="auto"/>
          <w:spacing w:val="0"/>
          <w:w w:val="100"/>
          <w:kern w:val="21"/>
          <w:position w:val="0"/>
          <w:szCs w:val="24"/>
          <w:vertAlign w:val="subscript"/>
          <w:lang w:val="en-US" w:eastAsia="zh-CN"/>
        </w:rPr>
        <w:t>3</w:t>
      </w:r>
      <w:r>
        <w:rPr>
          <w:rFonts w:hint="default" w:ascii="Times New Roman" w:hAnsi="Times New Roman" w:cs="Times New Roman"/>
          <w:color w:val="auto"/>
          <w:spacing w:val="0"/>
          <w:w w:val="100"/>
          <w:kern w:val="21"/>
          <w:position w:val="0"/>
          <w:szCs w:val="24"/>
          <w:lang w:val="en-US" w:eastAsia="zh-CN"/>
        </w:rPr>
        <w:t>日最大8小时平均第90百分位数为128μg/m</w:t>
      </w:r>
      <w:r>
        <w:rPr>
          <w:rFonts w:hint="default" w:ascii="Times New Roman" w:hAnsi="Times New Roman" w:cs="Times New Roman"/>
          <w:color w:val="auto"/>
          <w:spacing w:val="0"/>
          <w:w w:val="100"/>
          <w:kern w:val="21"/>
          <w:position w:val="0"/>
          <w:szCs w:val="24"/>
          <w:vertAlign w:val="superscript"/>
          <w:lang w:val="en-US" w:eastAsia="zh-CN"/>
        </w:rPr>
        <w:t>3</w:t>
      </w:r>
      <w:r>
        <w:rPr>
          <w:rFonts w:hint="default" w:ascii="Times New Roman" w:hAnsi="Times New Roman" w:cs="Times New Roman"/>
          <w:color w:val="auto"/>
          <w:spacing w:val="0"/>
          <w:w w:val="100"/>
          <w:kern w:val="21"/>
          <w:position w:val="0"/>
          <w:szCs w:val="24"/>
          <w:lang w:val="en-US" w:eastAsia="zh-CN"/>
        </w:rPr>
        <w:t>；各污染物平均浓度均优于</w:t>
      </w:r>
      <w:r>
        <w:rPr>
          <w:color w:val="auto"/>
          <w:spacing w:val="0"/>
          <w:w w:val="100"/>
          <w:kern w:val="21"/>
          <w:position w:val="0"/>
          <w:szCs w:val="24"/>
        </w:rPr>
        <w:t>《环境空气质量标准》（GB3095-20</w:t>
      </w:r>
      <w:r>
        <w:rPr>
          <w:rFonts w:hint="eastAsia"/>
          <w:color w:val="auto"/>
          <w:spacing w:val="0"/>
          <w:w w:val="100"/>
          <w:kern w:val="21"/>
          <w:position w:val="0"/>
          <w:szCs w:val="24"/>
          <w:lang w:val="en-US" w:eastAsia="zh-CN"/>
        </w:rPr>
        <w:t>26</w:t>
      </w:r>
      <w:r>
        <w:rPr>
          <w:color w:val="auto"/>
          <w:spacing w:val="0"/>
          <w:w w:val="100"/>
          <w:kern w:val="21"/>
          <w:position w:val="0"/>
          <w:szCs w:val="24"/>
        </w:rPr>
        <w:t>）中的</w:t>
      </w:r>
      <w:r>
        <w:rPr>
          <w:rFonts w:hint="eastAsia"/>
          <w:color w:val="auto"/>
          <w:spacing w:val="0"/>
          <w:w w:val="100"/>
          <w:kern w:val="21"/>
          <w:position w:val="0"/>
          <w:szCs w:val="24"/>
          <w:lang w:val="en-US" w:eastAsia="zh-CN"/>
        </w:rPr>
        <w:t>过渡阶段浓度限值</w:t>
      </w:r>
      <w:r>
        <w:rPr>
          <w:color w:val="auto"/>
          <w:spacing w:val="0"/>
          <w:w w:val="100"/>
          <w:kern w:val="21"/>
          <w:position w:val="0"/>
          <w:szCs w:val="24"/>
        </w:rPr>
        <w:t>二级标准</w:t>
      </w:r>
      <w:r>
        <w:rPr>
          <w:rFonts w:hint="default" w:ascii="Times New Roman" w:hAnsi="Times New Roman" w:cs="Times New Roman"/>
          <w:color w:val="auto"/>
          <w:spacing w:val="0"/>
          <w:w w:val="100"/>
          <w:kern w:val="21"/>
          <w:position w:val="0"/>
          <w:szCs w:val="24"/>
        </w:rPr>
        <w:t>；超过</w:t>
      </w:r>
      <w:r>
        <w:rPr>
          <w:color w:val="auto"/>
          <w:spacing w:val="0"/>
          <w:w w:val="100"/>
          <w:kern w:val="21"/>
          <w:position w:val="0"/>
          <w:szCs w:val="24"/>
        </w:rPr>
        <w:t>《环境空气质量标准》（GB3095-20</w:t>
      </w:r>
      <w:r>
        <w:rPr>
          <w:rFonts w:hint="eastAsia"/>
          <w:color w:val="auto"/>
          <w:spacing w:val="0"/>
          <w:w w:val="100"/>
          <w:kern w:val="21"/>
          <w:position w:val="0"/>
          <w:szCs w:val="24"/>
          <w:lang w:val="en-US" w:eastAsia="zh-CN"/>
        </w:rPr>
        <w:t>26</w:t>
      </w:r>
      <w:r>
        <w:rPr>
          <w:color w:val="auto"/>
          <w:spacing w:val="0"/>
          <w:w w:val="100"/>
          <w:kern w:val="21"/>
          <w:position w:val="0"/>
          <w:szCs w:val="24"/>
        </w:rPr>
        <w:t>）中的</w:t>
      </w:r>
      <w:r>
        <w:rPr>
          <w:rFonts w:hint="eastAsia"/>
          <w:color w:val="auto"/>
          <w:spacing w:val="0"/>
          <w:w w:val="100"/>
          <w:kern w:val="21"/>
          <w:position w:val="0"/>
          <w:szCs w:val="24"/>
          <w:lang w:val="en-US" w:eastAsia="zh-CN"/>
        </w:rPr>
        <w:t>过渡阶段浓度限值</w:t>
      </w:r>
      <w:r>
        <w:rPr>
          <w:color w:val="auto"/>
          <w:spacing w:val="0"/>
          <w:w w:val="100"/>
          <w:kern w:val="21"/>
          <w:position w:val="0"/>
          <w:szCs w:val="24"/>
        </w:rPr>
        <w:t>二级标准</w:t>
      </w:r>
      <w:r>
        <w:rPr>
          <w:rFonts w:hint="default" w:ascii="Times New Roman" w:hAnsi="Times New Roman" w:cs="Times New Roman"/>
          <w:color w:val="auto"/>
          <w:spacing w:val="0"/>
          <w:w w:val="100"/>
          <w:kern w:val="21"/>
          <w:position w:val="0"/>
          <w:szCs w:val="24"/>
        </w:rPr>
        <w:t>的污染物为PM</w:t>
      </w:r>
      <w:r>
        <w:rPr>
          <w:rFonts w:hint="default" w:ascii="Times New Roman" w:hAnsi="Times New Roman" w:cs="Times New Roman"/>
          <w:color w:val="auto"/>
          <w:spacing w:val="0"/>
          <w:w w:val="100"/>
          <w:kern w:val="21"/>
          <w:position w:val="0"/>
          <w:szCs w:val="24"/>
          <w:vertAlign w:val="subscript"/>
        </w:rPr>
        <w:t>10</w:t>
      </w:r>
      <w:r>
        <w:rPr>
          <w:rFonts w:hint="default" w:ascii="Times New Roman" w:hAnsi="Times New Roman" w:cs="Times New Roman"/>
          <w:color w:val="auto"/>
          <w:spacing w:val="0"/>
          <w:w w:val="100"/>
          <w:kern w:val="21"/>
          <w:position w:val="0"/>
          <w:szCs w:val="24"/>
        </w:rPr>
        <w:t>、PM</w:t>
      </w:r>
      <w:r>
        <w:rPr>
          <w:rFonts w:hint="default" w:ascii="Times New Roman" w:hAnsi="Times New Roman" w:cs="Times New Roman"/>
          <w:color w:val="auto"/>
          <w:spacing w:val="0"/>
          <w:w w:val="100"/>
          <w:kern w:val="21"/>
          <w:position w:val="0"/>
          <w:szCs w:val="24"/>
          <w:vertAlign w:val="subscript"/>
        </w:rPr>
        <w:t>2.5</w:t>
      </w:r>
      <w:r>
        <w:rPr>
          <w:rFonts w:hint="default" w:ascii="Times New Roman" w:hAnsi="Times New Roman" w:cs="Times New Roman"/>
          <w:color w:val="auto"/>
          <w:spacing w:val="0"/>
          <w:w w:val="100"/>
          <w:kern w:val="21"/>
          <w:position w:val="0"/>
          <w:szCs w:val="24"/>
        </w:rPr>
        <w:t>，判定本项目所在区域为环境空气质量不达标区。经调查，PM</w:t>
      </w:r>
      <w:r>
        <w:rPr>
          <w:rFonts w:hint="default" w:ascii="Times New Roman" w:hAnsi="Times New Roman" w:cs="Times New Roman"/>
          <w:color w:val="auto"/>
          <w:spacing w:val="0"/>
          <w:w w:val="100"/>
          <w:kern w:val="21"/>
          <w:position w:val="0"/>
          <w:szCs w:val="24"/>
          <w:vertAlign w:val="subscript"/>
        </w:rPr>
        <w:t>10</w:t>
      </w:r>
      <w:r>
        <w:rPr>
          <w:rFonts w:hint="default" w:ascii="Times New Roman" w:hAnsi="Times New Roman" w:cs="Times New Roman"/>
          <w:color w:val="auto"/>
          <w:spacing w:val="0"/>
          <w:w w:val="100"/>
          <w:kern w:val="21"/>
          <w:position w:val="0"/>
          <w:szCs w:val="24"/>
        </w:rPr>
        <w:t>、PM</w:t>
      </w:r>
      <w:r>
        <w:rPr>
          <w:rFonts w:hint="default" w:ascii="Times New Roman" w:hAnsi="Times New Roman" w:cs="Times New Roman"/>
          <w:color w:val="auto"/>
          <w:spacing w:val="0"/>
          <w:w w:val="100"/>
          <w:kern w:val="21"/>
          <w:position w:val="0"/>
          <w:szCs w:val="24"/>
          <w:vertAlign w:val="subscript"/>
        </w:rPr>
        <w:t>2.5</w:t>
      </w:r>
      <w:r>
        <w:rPr>
          <w:rFonts w:hint="default" w:ascii="Times New Roman" w:hAnsi="Times New Roman" w:cs="Times New Roman"/>
          <w:color w:val="auto"/>
          <w:spacing w:val="0"/>
          <w:w w:val="100"/>
          <w:kern w:val="21"/>
          <w:position w:val="0"/>
          <w:szCs w:val="24"/>
        </w:rPr>
        <w:t>超标的原因主要是当地气候条件较差，干旱少雨</w:t>
      </w:r>
      <w:r>
        <w:rPr>
          <w:rFonts w:hint="default" w:ascii="Times New Roman" w:hAnsi="Times New Roman" w:cs="Times New Roman"/>
          <w:color w:val="auto"/>
          <w:spacing w:val="0"/>
          <w:w w:val="100"/>
          <w:kern w:val="0"/>
          <w:position w:val="0"/>
          <w:szCs w:val="24"/>
        </w:rPr>
        <w:t>，</w:t>
      </w:r>
      <w:r>
        <w:rPr>
          <w:rFonts w:hint="default" w:ascii="Times New Roman" w:hAnsi="Times New Roman" w:cs="Times New Roman"/>
          <w:color w:val="auto"/>
          <w:spacing w:val="0"/>
          <w:w w:val="100"/>
          <w:position w:val="0"/>
        </w:rPr>
        <w:t>工业生产及机动车尾气等因素</w:t>
      </w:r>
      <w:r>
        <w:rPr>
          <w:rFonts w:hint="default" w:ascii="Times New Roman" w:hAnsi="Times New Roman" w:cs="Times New Roman"/>
          <w:color w:val="auto"/>
          <w:spacing w:val="0"/>
          <w:w w:val="100"/>
          <w:kern w:val="21"/>
          <w:position w:val="0"/>
          <w:szCs w:val="24"/>
        </w:rPr>
        <w:t>引起的</w:t>
      </w:r>
      <w:r>
        <w:rPr>
          <w:rFonts w:hint="default" w:ascii="Times New Roman" w:hAnsi="Times New Roman" w:eastAsia="宋体" w:cs="Times New Roman"/>
          <w:caps w:val="0"/>
          <w:snapToGrid/>
          <w:color w:val="auto"/>
          <w:spacing w:val="0"/>
          <w:w w:val="100"/>
          <w:kern w:val="0"/>
          <w:position w:val="0"/>
          <w:szCs w:val="24"/>
          <w:highlight w:val="none"/>
        </w:rPr>
        <w:t>。</w:t>
      </w:r>
    </w:p>
    <w:p w14:paraId="11A36FE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textAlignment w:val="auto"/>
        <w:outlineLvl w:val="9"/>
        <w:rPr>
          <w:rFonts w:hint="default" w:ascii="Times New Roman" w:hAnsi="Times New Roman" w:eastAsia="宋体" w:cs="Times New Roman"/>
          <w:caps w:val="0"/>
          <w:snapToGrid/>
          <w:color w:val="auto"/>
          <w:spacing w:val="0"/>
          <w:w w:val="100"/>
          <w:kern w:val="0"/>
          <w:position w:val="0"/>
          <w:sz w:val="24"/>
          <w:highlight w:val="none"/>
          <w:lang w:val="en-US" w:eastAsia="zh-CN"/>
        </w:rPr>
      </w:pPr>
      <w:r>
        <w:rPr>
          <w:rFonts w:hint="eastAsia" w:cs="Times New Roman"/>
          <w:caps w:val="0"/>
          <w:snapToGrid/>
          <w:color w:val="auto"/>
          <w:spacing w:val="0"/>
          <w:w w:val="100"/>
          <w:kern w:val="0"/>
          <w:position w:val="0"/>
          <w:sz w:val="24"/>
          <w:highlight w:val="none"/>
          <w:lang w:val="en-US" w:eastAsia="zh-CN"/>
        </w:rPr>
        <w:t>TSP</w:t>
      </w:r>
      <w:r>
        <w:rPr>
          <w:rFonts w:hint="default" w:ascii="Times New Roman" w:hAnsi="Times New Roman" w:eastAsia="宋体" w:cs="Times New Roman"/>
          <w:caps w:val="0"/>
          <w:snapToGrid/>
          <w:color w:val="auto"/>
          <w:spacing w:val="0"/>
          <w:w w:val="100"/>
          <w:kern w:val="0"/>
          <w:position w:val="0"/>
          <w:sz w:val="24"/>
          <w:highlight w:val="none"/>
          <w:lang w:val="en-US" w:eastAsia="zh-CN"/>
        </w:rPr>
        <w:t>24小时平均浓度满足《环境空气质量标准》（GB3095-20</w:t>
      </w:r>
      <w:r>
        <w:rPr>
          <w:rFonts w:hint="eastAsia" w:ascii="Times New Roman" w:hAnsi="Times New Roman" w:eastAsia="宋体" w:cs="Times New Roman"/>
          <w:caps w:val="0"/>
          <w:snapToGrid/>
          <w:color w:val="auto"/>
          <w:spacing w:val="0"/>
          <w:w w:val="100"/>
          <w:kern w:val="0"/>
          <w:position w:val="0"/>
          <w:sz w:val="24"/>
          <w:highlight w:val="none"/>
          <w:lang w:val="en-US" w:eastAsia="zh-CN"/>
        </w:rPr>
        <w:t>26</w:t>
      </w:r>
      <w:r>
        <w:rPr>
          <w:rFonts w:hint="default" w:ascii="Times New Roman" w:hAnsi="Times New Roman" w:eastAsia="宋体" w:cs="Times New Roman"/>
          <w:caps w:val="0"/>
          <w:snapToGrid/>
          <w:color w:val="auto"/>
          <w:spacing w:val="0"/>
          <w:w w:val="100"/>
          <w:kern w:val="0"/>
          <w:position w:val="0"/>
          <w:sz w:val="24"/>
          <w:highlight w:val="none"/>
          <w:lang w:val="en-US" w:eastAsia="zh-CN"/>
        </w:rPr>
        <w:t>）二级标准限值；非甲烷总烃1小时浓度值满足《大气污染物综合排放标准详解》浓度限值要求。</w:t>
      </w:r>
    </w:p>
    <w:p w14:paraId="7529FF6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textAlignment w:val="auto"/>
        <w:outlineLvl w:val="9"/>
        <w:rPr>
          <w:rFonts w:hint="default" w:ascii="Times New Roman" w:hAnsi="Times New Roman" w:eastAsia="宋体" w:cs="Times New Roman"/>
          <w:caps w:val="0"/>
          <w:snapToGrid/>
          <w:color w:val="auto"/>
          <w:spacing w:val="0"/>
          <w:w w:val="100"/>
          <w:kern w:val="0"/>
          <w:position w:val="0"/>
          <w:sz w:val="24"/>
          <w:highlight w:val="none"/>
          <w:lang w:val="en-US" w:eastAsia="zh-CN"/>
        </w:rPr>
      </w:pPr>
      <w:r>
        <w:rPr>
          <w:rFonts w:hint="default" w:ascii="Times New Roman" w:hAnsi="Times New Roman" w:eastAsia="宋体" w:cs="Times New Roman"/>
          <w:caps w:val="0"/>
          <w:snapToGrid/>
          <w:color w:val="auto"/>
          <w:spacing w:val="0"/>
          <w:w w:val="100"/>
          <w:kern w:val="0"/>
          <w:position w:val="0"/>
          <w:sz w:val="24"/>
          <w:highlight w:val="none"/>
          <w:lang w:val="en-US" w:eastAsia="zh-CN"/>
        </w:rPr>
        <w:t>（2）水环境质量现状</w:t>
      </w:r>
    </w:p>
    <w:p w14:paraId="5F5188B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textAlignment w:val="auto"/>
        <w:outlineLvl w:val="9"/>
        <w:rPr>
          <w:rFonts w:hint="default" w:ascii="Times New Roman" w:hAnsi="Times New Roman" w:eastAsia="宋体" w:cs="Times New Roman"/>
          <w:caps w:val="0"/>
          <w:snapToGrid/>
          <w:color w:val="auto"/>
          <w:spacing w:val="0"/>
          <w:w w:val="100"/>
          <w:kern w:val="0"/>
          <w:position w:val="0"/>
          <w:sz w:val="24"/>
          <w:highlight w:val="none"/>
          <w:lang w:val="en-US" w:eastAsia="zh-CN"/>
        </w:rPr>
      </w:pPr>
      <w:r>
        <w:rPr>
          <w:rFonts w:hint="default" w:ascii="Times New Roman" w:hAnsi="Times New Roman" w:eastAsia="宋体" w:cs="Times New Roman"/>
          <w:caps w:val="0"/>
          <w:snapToGrid/>
          <w:color w:val="auto"/>
          <w:spacing w:val="0"/>
          <w:w w:val="100"/>
          <w:kern w:val="0"/>
          <w:position w:val="0"/>
          <w:sz w:val="24"/>
          <w:highlight w:val="none"/>
          <w:lang w:val="en-US" w:eastAsia="zh-CN"/>
        </w:rPr>
        <w:t>建设项目评价区域范围内地下水</w:t>
      </w:r>
      <w:r>
        <w:rPr>
          <w:rFonts w:hint="default" w:ascii="Times New Roman" w:hAnsi="Times New Roman" w:eastAsia="宋体" w:cs="Times New Roman"/>
          <w:i w:val="0"/>
          <w:iCs w:val="0"/>
          <w:snapToGrid w:val="0"/>
          <w:color w:val="auto"/>
          <w:spacing w:val="0"/>
          <w:kern w:val="21"/>
          <w:sz w:val="24"/>
          <w:szCs w:val="24"/>
          <w:u w:val="none"/>
          <w:lang w:val="en-US" w:eastAsia="zh-CN" w:bidi="ar"/>
        </w:rPr>
        <w:t>硫酸盐，氯离子，钠，总硬度，溶解性总固体超出标准，其余</w:t>
      </w:r>
      <w:r>
        <w:rPr>
          <w:rFonts w:hint="default" w:ascii="Times New Roman" w:hAnsi="Times New Roman" w:eastAsia="宋体" w:cs="Times New Roman"/>
          <w:color w:val="auto"/>
          <w:spacing w:val="0"/>
          <w:w w:val="100"/>
          <w:kern w:val="21"/>
          <w:position w:val="0"/>
          <w:sz w:val="24"/>
          <w:szCs w:val="24"/>
          <w:lang w:val="en-US" w:eastAsia="zh-CN"/>
        </w:rPr>
        <w:t>各项监测指标均符合《地下水质量标准》（GB/T14848-2017）中Ⅲ类标准。超标与项目区属干早区，地下水径流缓慢、交替滞后，溶滤作用强烈及地下水赋存环境有关</w:t>
      </w:r>
      <w:r>
        <w:rPr>
          <w:rFonts w:hint="eastAsia" w:ascii="Times New Roman" w:hAnsi="Times New Roman" w:eastAsia="宋体" w:cs="Times New Roman"/>
          <w:color w:val="auto"/>
          <w:spacing w:val="0"/>
          <w:w w:val="100"/>
          <w:kern w:val="21"/>
          <w:position w:val="0"/>
          <w:sz w:val="24"/>
          <w:szCs w:val="24"/>
          <w:lang w:val="en-US" w:eastAsia="zh-CN"/>
        </w:rPr>
        <w:t>，而非外部环境污染所致，</w:t>
      </w:r>
      <w:r>
        <w:rPr>
          <w:rFonts w:hint="default" w:ascii="Times New Roman" w:hAnsi="Times New Roman" w:eastAsia="宋体" w:cs="Times New Roman"/>
          <w:color w:val="auto"/>
          <w:spacing w:val="0"/>
          <w:w w:val="100"/>
          <w:kern w:val="21"/>
          <w:position w:val="0"/>
          <w:sz w:val="24"/>
          <w:szCs w:val="24"/>
          <w:lang w:val="en-US" w:eastAsia="zh-CN"/>
        </w:rPr>
        <w:t>项目所在区域地下水水质较差。</w:t>
      </w:r>
    </w:p>
    <w:p w14:paraId="26F662A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textAlignment w:val="auto"/>
        <w:outlineLvl w:val="9"/>
        <w:rPr>
          <w:rFonts w:hint="default" w:ascii="Times New Roman" w:hAnsi="Times New Roman" w:eastAsia="宋体" w:cs="Times New Roman"/>
          <w:caps w:val="0"/>
          <w:snapToGrid/>
          <w:color w:val="auto"/>
          <w:spacing w:val="0"/>
          <w:w w:val="100"/>
          <w:kern w:val="0"/>
          <w:position w:val="0"/>
          <w:sz w:val="24"/>
          <w:highlight w:val="none"/>
          <w:lang w:val="en-US" w:eastAsia="zh-CN"/>
        </w:rPr>
      </w:pPr>
      <w:r>
        <w:rPr>
          <w:rFonts w:hint="default" w:ascii="Times New Roman" w:hAnsi="Times New Roman" w:eastAsia="宋体" w:cs="Times New Roman"/>
          <w:caps w:val="0"/>
          <w:snapToGrid/>
          <w:color w:val="auto"/>
          <w:spacing w:val="0"/>
          <w:w w:val="100"/>
          <w:kern w:val="0"/>
          <w:position w:val="0"/>
          <w:sz w:val="24"/>
          <w:highlight w:val="none"/>
          <w:lang w:val="en-US" w:eastAsia="zh-CN"/>
        </w:rPr>
        <w:t>（3）声环境质量现状</w:t>
      </w:r>
    </w:p>
    <w:p w14:paraId="4704075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textAlignment w:val="auto"/>
        <w:outlineLvl w:val="9"/>
        <w:rPr>
          <w:rFonts w:hint="default" w:ascii="Times New Roman" w:hAnsi="Times New Roman" w:eastAsia="宋体" w:cs="Times New Roman"/>
          <w:caps w:val="0"/>
          <w:snapToGrid/>
          <w:color w:val="auto"/>
          <w:spacing w:val="0"/>
          <w:w w:val="100"/>
          <w:kern w:val="0"/>
          <w:position w:val="0"/>
          <w:sz w:val="24"/>
          <w:highlight w:val="none"/>
          <w:lang w:val="en-US" w:eastAsia="zh-CN"/>
        </w:rPr>
      </w:pPr>
      <w:r>
        <w:rPr>
          <w:rFonts w:hint="default" w:ascii="Times New Roman" w:hAnsi="Times New Roman" w:eastAsia="宋体" w:cs="Times New Roman"/>
          <w:caps w:val="0"/>
          <w:snapToGrid/>
          <w:color w:val="auto"/>
          <w:spacing w:val="0"/>
          <w:w w:val="100"/>
          <w:kern w:val="0"/>
          <w:position w:val="0"/>
          <w:sz w:val="24"/>
          <w:highlight w:val="none"/>
          <w:lang w:val="en-US" w:eastAsia="zh-CN"/>
        </w:rPr>
        <w:t>从声环境质量现状监测数据可知，本项目厂界昼间噪声值为5</w:t>
      </w:r>
      <w:r>
        <w:rPr>
          <w:rFonts w:hint="eastAsia" w:eastAsia="宋体" w:cs="Times New Roman"/>
          <w:caps w:val="0"/>
          <w:snapToGrid/>
          <w:color w:val="auto"/>
          <w:spacing w:val="0"/>
          <w:w w:val="100"/>
          <w:kern w:val="0"/>
          <w:position w:val="0"/>
          <w:sz w:val="24"/>
          <w:highlight w:val="none"/>
          <w:lang w:val="en-US" w:eastAsia="zh-CN"/>
        </w:rPr>
        <w:t>4</w:t>
      </w:r>
      <w:r>
        <w:rPr>
          <w:rFonts w:hint="default" w:ascii="Times New Roman" w:hAnsi="Times New Roman" w:eastAsia="宋体" w:cs="Times New Roman"/>
          <w:caps w:val="0"/>
          <w:snapToGrid/>
          <w:color w:val="auto"/>
          <w:spacing w:val="0"/>
          <w:w w:val="100"/>
          <w:kern w:val="0"/>
          <w:position w:val="0"/>
          <w:sz w:val="24"/>
          <w:highlight w:val="none"/>
          <w:lang w:val="en-US" w:eastAsia="zh-CN"/>
        </w:rPr>
        <w:t>～</w:t>
      </w:r>
      <w:r>
        <w:rPr>
          <w:rFonts w:hint="eastAsia" w:eastAsia="宋体" w:cs="Times New Roman"/>
          <w:caps w:val="0"/>
          <w:snapToGrid/>
          <w:color w:val="auto"/>
          <w:spacing w:val="0"/>
          <w:w w:val="100"/>
          <w:kern w:val="0"/>
          <w:position w:val="0"/>
          <w:sz w:val="24"/>
          <w:highlight w:val="none"/>
          <w:lang w:val="en-US" w:eastAsia="zh-CN"/>
        </w:rPr>
        <w:t>61</w:t>
      </w:r>
      <w:r>
        <w:rPr>
          <w:rFonts w:hint="default" w:ascii="Times New Roman" w:hAnsi="Times New Roman" w:eastAsia="宋体" w:cs="Times New Roman"/>
          <w:caps w:val="0"/>
          <w:snapToGrid/>
          <w:color w:val="auto"/>
          <w:spacing w:val="0"/>
          <w:w w:val="100"/>
          <w:kern w:val="0"/>
          <w:position w:val="0"/>
          <w:sz w:val="24"/>
          <w:highlight w:val="none"/>
          <w:lang w:val="en-US" w:eastAsia="zh-CN"/>
        </w:rPr>
        <w:t>dB（A），夜间噪声值为4</w:t>
      </w:r>
      <w:r>
        <w:rPr>
          <w:rFonts w:hint="eastAsia" w:eastAsia="宋体" w:cs="Times New Roman"/>
          <w:caps w:val="0"/>
          <w:snapToGrid/>
          <w:color w:val="auto"/>
          <w:spacing w:val="0"/>
          <w:w w:val="100"/>
          <w:kern w:val="0"/>
          <w:position w:val="0"/>
          <w:sz w:val="24"/>
          <w:highlight w:val="none"/>
          <w:lang w:val="en-US" w:eastAsia="zh-CN"/>
        </w:rPr>
        <w:t>1</w:t>
      </w:r>
      <w:r>
        <w:rPr>
          <w:rFonts w:hint="default" w:ascii="Times New Roman" w:hAnsi="Times New Roman" w:eastAsia="宋体" w:cs="Times New Roman"/>
          <w:caps w:val="0"/>
          <w:snapToGrid/>
          <w:color w:val="auto"/>
          <w:spacing w:val="0"/>
          <w:w w:val="100"/>
          <w:kern w:val="0"/>
          <w:position w:val="0"/>
          <w:sz w:val="24"/>
          <w:highlight w:val="none"/>
          <w:lang w:val="en-US" w:eastAsia="zh-CN"/>
        </w:rPr>
        <w:t>～4</w:t>
      </w:r>
      <w:r>
        <w:rPr>
          <w:rFonts w:hint="eastAsia" w:eastAsia="宋体" w:cs="Times New Roman"/>
          <w:caps w:val="0"/>
          <w:snapToGrid/>
          <w:color w:val="auto"/>
          <w:spacing w:val="0"/>
          <w:w w:val="100"/>
          <w:kern w:val="0"/>
          <w:position w:val="0"/>
          <w:sz w:val="24"/>
          <w:highlight w:val="none"/>
          <w:lang w:val="en-US" w:eastAsia="zh-CN"/>
        </w:rPr>
        <w:t>4</w:t>
      </w:r>
      <w:r>
        <w:rPr>
          <w:rFonts w:hint="default" w:ascii="Times New Roman" w:hAnsi="Times New Roman" w:eastAsia="宋体" w:cs="Times New Roman"/>
          <w:caps w:val="0"/>
          <w:snapToGrid/>
          <w:color w:val="auto"/>
          <w:spacing w:val="0"/>
          <w:w w:val="100"/>
          <w:kern w:val="0"/>
          <w:position w:val="0"/>
          <w:sz w:val="24"/>
          <w:highlight w:val="none"/>
          <w:lang w:val="en-US" w:eastAsia="zh-CN"/>
        </w:rPr>
        <w:t>dB（A），均满足《声环境质量标准》（GB3096-2008）3类标准，项目区声环境质量较好。</w:t>
      </w:r>
    </w:p>
    <w:p w14:paraId="06A0CC8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textAlignment w:val="auto"/>
        <w:outlineLvl w:val="9"/>
        <w:rPr>
          <w:rFonts w:hint="default" w:ascii="Times New Roman" w:hAnsi="Times New Roman" w:eastAsia="宋体" w:cs="Times New Roman"/>
          <w:caps w:val="0"/>
          <w:snapToGrid/>
          <w:color w:val="auto"/>
          <w:spacing w:val="0"/>
          <w:w w:val="100"/>
          <w:kern w:val="0"/>
          <w:position w:val="0"/>
          <w:sz w:val="24"/>
          <w:highlight w:val="none"/>
          <w:lang w:val="en-US" w:eastAsia="zh-CN"/>
        </w:rPr>
      </w:pPr>
      <w:r>
        <w:rPr>
          <w:rFonts w:hint="default" w:ascii="Times New Roman" w:hAnsi="Times New Roman" w:eastAsia="宋体" w:cs="Times New Roman"/>
          <w:caps w:val="0"/>
          <w:snapToGrid/>
          <w:color w:val="auto"/>
          <w:spacing w:val="0"/>
          <w:w w:val="100"/>
          <w:kern w:val="0"/>
          <w:position w:val="0"/>
          <w:sz w:val="24"/>
          <w:highlight w:val="none"/>
          <w:lang w:val="en-US" w:eastAsia="zh-CN"/>
        </w:rPr>
        <w:t>（4）土壤环境质量现状</w:t>
      </w:r>
    </w:p>
    <w:p w14:paraId="1241CA6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textAlignment w:val="auto"/>
        <w:outlineLvl w:val="9"/>
        <w:rPr>
          <w:rFonts w:hint="default" w:ascii="Times New Roman" w:hAnsi="Times New Roman" w:eastAsia="宋体" w:cs="Times New Roman"/>
          <w:caps w:val="0"/>
          <w:snapToGrid/>
          <w:color w:val="auto"/>
          <w:spacing w:val="0"/>
          <w:w w:val="100"/>
          <w:kern w:val="0"/>
          <w:position w:val="0"/>
          <w:sz w:val="24"/>
          <w:highlight w:val="none"/>
          <w:lang w:val="en-US" w:eastAsia="zh-CN"/>
        </w:rPr>
      </w:pPr>
      <w:r>
        <w:rPr>
          <w:rFonts w:hint="default" w:ascii="Times New Roman" w:hAnsi="Times New Roman" w:eastAsia="宋体" w:cs="Times New Roman"/>
          <w:caps w:val="0"/>
          <w:snapToGrid/>
          <w:color w:val="auto"/>
          <w:spacing w:val="0"/>
          <w:w w:val="100"/>
          <w:kern w:val="0"/>
          <w:position w:val="0"/>
          <w:sz w:val="24"/>
          <w:highlight w:val="none"/>
          <w:lang w:val="en-US" w:eastAsia="zh-CN"/>
        </w:rPr>
        <w:t>本项目可不开展土壤环境影响评价工作，因此本次环评不再土壤环境进行现状监测及评价。</w:t>
      </w:r>
    </w:p>
    <w:p w14:paraId="5C073E13">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971" w:name="_Toc7745"/>
      <w:r>
        <w:rPr>
          <w:rFonts w:hint="default"/>
          <w:color w:val="auto"/>
          <w:spacing w:val="0"/>
          <w:w w:val="100"/>
          <w:position w:val="0"/>
          <w:highlight w:val="none"/>
          <w:lang w:val="en-US" w:eastAsia="zh-CN"/>
        </w:rPr>
        <w:t>9.</w:t>
      </w:r>
      <w:r>
        <w:rPr>
          <w:rFonts w:hint="eastAsia"/>
          <w:color w:val="auto"/>
          <w:spacing w:val="0"/>
          <w:w w:val="100"/>
          <w:position w:val="0"/>
          <w:highlight w:val="none"/>
          <w:lang w:val="en-US" w:eastAsia="zh-CN"/>
        </w:rPr>
        <w:t>3</w:t>
      </w:r>
      <w:r>
        <w:rPr>
          <w:rFonts w:hint="default"/>
          <w:color w:val="auto"/>
          <w:spacing w:val="0"/>
          <w:w w:val="100"/>
          <w:position w:val="0"/>
          <w:highlight w:val="none"/>
          <w:lang w:val="en-US" w:eastAsia="zh-CN"/>
        </w:rPr>
        <w:t>环境影响分析与评价结论</w:t>
      </w:r>
      <w:bookmarkEnd w:id="965"/>
      <w:bookmarkEnd w:id="966"/>
      <w:bookmarkEnd w:id="967"/>
      <w:bookmarkEnd w:id="971"/>
    </w:p>
    <w:p w14:paraId="6475EAD6">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972" w:name="_Toc5093"/>
      <w:bookmarkStart w:id="973" w:name="_Toc19254"/>
      <w:bookmarkStart w:id="974" w:name="_Toc2788"/>
      <w:r>
        <w:rPr>
          <w:rFonts w:hint="default"/>
          <w:color w:val="auto"/>
          <w:spacing w:val="0"/>
          <w:w w:val="100"/>
          <w:position w:val="0"/>
          <w:highlight w:val="none"/>
          <w:lang w:val="en-US" w:eastAsia="zh-CN"/>
        </w:rPr>
        <w:t>9.</w:t>
      </w:r>
      <w:r>
        <w:rPr>
          <w:rFonts w:hint="eastAsia"/>
          <w:color w:val="auto"/>
          <w:spacing w:val="0"/>
          <w:w w:val="100"/>
          <w:position w:val="0"/>
          <w:highlight w:val="none"/>
          <w:lang w:val="en-US" w:eastAsia="zh-CN"/>
        </w:rPr>
        <w:t>3</w:t>
      </w:r>
      <w:r>
        <w:rPr>
          <w:rFonts w:hint="default"/>
          <w:color w:val="auto"/>
          <w:spacing w:val="0"/>
          <w:w w:val="100"/>
          <w:position w:val="0"/>
          <w:highlight w:val="none"/>
          <w:lang w:val="en-US" w:eastAsia="zh-CN"/>
        </w:rPr>
        <w:t>.1大气环境影响分析与评价结论</w:t>
      </w:r>
      <w:bookmarkEnd w:id="972"/>
      <w:bookmarkEnd w:id="973"/>
      <w:bookmarkEnd w:id="974"/>
    </w:p>
    <w:bookmarkEnd w:id="968"/>
    <w:bookmarkEnd w:id="969"/>
    <w:bookmarkEnd w:id="970"/>
    <w:p w14:paraId="48FDC2C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eastAsia="zh-CN"/>
        </w:rPr>
      </w:pPr>
      <w:r>
        <w:rPr>
          <w:rFonts w:hint="default" w:ascii="Times New Roman" w:hAnsi="Times New Roman" w:eastAsia="宋体" w:cs="Times New Roman"/>
          <w:caps w:val="0"/>
          <w:snapToGrid/>
          <w:color w:val="auto"/>
          <w:spacing w:val="0"/>
          <w:w w:val="100"/>
          <w:kern w:val="21"/>
          <w:position w:val="0"/>
          <w:sz w:val="24"/>
          <w:szCs w:val="24"/>
          <w:highlight w:val="none"/>
          <w:lang w:eastAsia="zh-CN"/>
        </w:rPr>
        <w:t>由估算结果可知，污染物占标率&lt;10%，各类污染物对地面的贡献浓度均较小，对环境空气不会产生明显的影响，各类污染物排放均满足相应要求。</w:t>
      </w:r>
    </w:p>
    <w:p w14:paraId="396F470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eastAsia="zh-CN"/>
        </w:rPr>
      </w:pPr>
      <w:r>
        <w:rPr>
          <w:rFonts w:hint="default" w:ascii="Times New Roman" w:hAnsi="Times New Roman" w:eastAsia="宋体" w:cs="Times New Roman"/>
          <w:caps w:val="0"/>
          <w:snapToGrid/>
          <w:color w:val="auto"/>
          <w:spacing w:val="0"/>
          <w:w w:val="100"/>
          <w:kern w:val="21"/>
          <w:position w:val="0"/>
          <w:sz w:val="24"/>
          <w:szCs w:val="24"/>
          <w:highlight w:val="none"/>
          <w:lang w:eastAsia="zh-CN"/>
        </w:rPr>
        <w:t>因此，项目实施后不会对区域大气环境产生明显影响。</w:t>
      </w:r>
    </w:p>
    <w:p w14:paraId="5519A4FE">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975" w:name="_Toc24814"/>
      <w:bookmarkStart w:id="976" w:name="_Toc14540"/>
      <w:bookmarkStart w:id="977" w:name="_Toc25428"/>
      <w:r>
        <w:rPr>
          <w:rFonts w:hint="default"/>
          <w:color w:val="auto"/>
          <w:spacing w:val="0"/>
          <w:w w:val="100"/>
          <w:position w:val="0"/>
          <w:highlight w:val="none"/>
          <w:lang w:val="en-US" w:eastAsia="zh-CN"/>
        </w:rPr>
        <w:t>9.</w:t>
      </w:r>
      <w:r>
        <w:rPr>
          <w:rFonts w:hint="eastAsia"/>
          <w:color w:val="auto"/>
          <w:spacing w:val="0"/>
          <w:w w:val="100"/>
          <w:position w:val="0"/>
          <w:highlight w:val="none"/>
          <w:lang w:val="en-US" w:eastAsia="zh-CN"/>
        </w:rPr>
        <w:t>3</w:t>
      </w:r>
      <w:r>
        <w:rPr>
          <w:rFonts w:hint="default"/>
          <w:color w:val="auto"/>
          <w:spacing w:val="0"/>
          <w:w w:val="100"/>
          <w:position w:val="0"/>
          <w:highlight w:val="none"/>
          <w:lang w:val="en-US" w:eastAsia="zh-CN"/>
        </w:rPr>
        <w:t>.2水环境影响分析与评价结论</w:t>
      </w:r>
      <w:bookmarkEnd w:id="975"/>
      <w:bookmarkEnd w:id="976"/>
      <w:bookmarkEnd w:id="977"/>
    </w:p>
    <w:p w14:paraId="652A724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eastAsia="zh-CN"/>
        </w:rPr>
      </w:pPr>
      <w:r>
        <w:rPr>
          <w:color w:val="auto"/>
          <w:spacing w:val="0"/>
          <w:w w:val="100"/>
          <w:position w:val="0"/>
          <w:highlight w:val="none"/>
        </w:rPr>
        <w:t>本项目</w:t>
      </w:r>
      <w:r>
        <w:rPr>
          <w:rFonts w:hint="eastAsia"/>
          <w:color w:val="auto"/>
          <w:spacing w:val="0"/>
          <w:w w:val="100"/>
          <w:position w:val="0"/>
          <w:highlight w:val="none"/>
          <w:lang w:val="en-US" w:eastAsia="zh-CN"/>
        </w:rPr>
        <w:t>无生产废水外排，</w:t>
      </w:r>
      <w:r>
        <w:rPr>
          <w:rFonts w:hint="eastAsia" w:cs="Times New Roman"/>
          <w:caps w:val="0"/>
          <w:snapToGrid/>
          <w:color w:val="auto"/>
          <w:spacing w:val="0"/>
          <w:w w:val="100"/>
          <w:kern w:val="21"/>
          <w:position w:val="0"/>
          <w:sz w:val="24"/>
          <w:szCs w:val="24"/>
          <w:highlight w:val="none"/>
          <w:lang w:val="en-US" w:eastAsia="zh-CN"/>
        </w:rPr>
        <w:t>生活污水直接排入园区管网，</w:t>
      </w:r>
      <w:r>
        <w:rPr>
          <w:bCs/>
          <w:color w:val="auto"/>
          <w:spacing w:val="0"/>
          <w:w w:val="100"/>
          <w:kern w:val="2"/>
          <w:position w:val="0"/>
          <w:highlight w:val="none"/>
        </w:rPr>
        <w:t>排放浓度符合《污水综合排放标准》（GB8978-1996）表4中三级标准</w:t>
      </w:r>
      <w:r>
        <w:rPr>
          <w:rFonts w:hint="eastAsia" w:eastAsia="宋体"/>
          <w:color w:val="auto"/>
          <w:spacing w:val="0"/>
          <w:w w:val="100"/>
          <w:position w:val="0"/>
          <w:highlight w:val="none"/>
          <w:lang w:val="en-US" w:eastAsia="zh-CN"/>
        </w:rPr>
        <w:t>及《污水排入城镇下水道水质标准》（</w:t>
      </w:r>
      <w:r>
        <w:rPr>
          <w:rFonts w:hint="default" w:eastAsia="宋体"/>
          <w:color w:val="auto"/>
          <w:spacing w:val="0"/>
          <w:w w:val="100"/>
          <w:position w:val="0"/>
          <w:highlight w:val="none"/>
          <w:lang w:val="en-US" w:eastAsia="zh-CN"/>
        </w:rPr>
        <w:t>GB/T31962-2015</w:t>
      </w:r>
      <w:r>
        <w:rPr>
          <w:rFonts w:hint="eastAsia" w:eastAsia="宋体"/>
          <w:color w:val="auto"/>
          <w:spacing w:val="0"/>
          <w:w w:val="100"/>
          <w:position w:val="0"/>
          <w:highlight w:val="none"/>
          <w:lang w:val="en-US" w:eastAsia="zh-CN"/>
        </w:rPr>
        <w:t>）中</w:t>
      </w:r>
      <w:r>
        <w:rPr>
          <w:rFonts w:hint="default" w:eastAsia="宋体"/>
          <w:color w:val="auto"/>
          <w:spacing w:val="0"/>
          <w:w w:val="100"/>
          <w:position w:val="0"/>
          <w:highlight w:val="none"/>
          <w:lang w:val="en-US" w:eastAsia="zh-CN"/>
        </w:rPr>
        <w:t>NH</w:t>
      </w:r>
      <w:r>
        <w:rPr>
          <w:rFonts w:hint="default" w:eastAsia="宋体"/>
          <w:color w:val="auto"/>
          <w:spacing w:val="0"/>
          <w:w w:val="100"/>
          <w:position w:val="0"/>
          <w:highlight w:val="none"/>
          <w:vertAlign w:val="subscript"/>
          <w:lang w:val="en-US" w:eastAsia="zh-CN"/>
        </w:rPr>
        <w:t>3</w:t>
      </w:r>
      <w:r>
        <w:rPr>
          <w:rFonts w:hint="default" w:eastAsia="宋体"/>
          <w:color w:val="auto"/>
          <w:spacing w:val="0"/>
          <w:w w:val="100"/>
          <w:position w:val="0"/>
          <w:highlight w:val="none"/>
          <w:lang w:val="en-US" w:eastAsia="zh-CN"/>
        </w:rPr>
        <w:t>-N</w:t>
      </w:r>
      <w:r>
        <w:rPr>
          <w:rFonts w:hint="eastAsia" w:eastAsia="宋体"/>
          <w:color w:val="auto"/>
          <w:spacing w:val="0"/>
          <w:w w:val="100"/>
          <w:position w:val="0"/>
          <w:highlight w:val="none"/>
          <w:lang w:val="en-US" w:eastAsia="zh-CN"/>
        </w:rPr>
        <w:t>最高允许值</w:t>
      </w:r>
      <w:r>
        <w:rPr>
          <w:rFonts w:hint="default" w:eastAsia="宋体"/>
          <w:color w:val="auto"/>
          <w:spacing w:val="0"/>
          <w:w w:val="100"/>
          <w:position w:val="0"/>
          <w:highlight w:val="none"/>
          <w:lang w:val="en-US" w:eastAsia="zh-CN"/>
        </w:rPr>
        <w:t>B</w:t>
      </w:r>
      <w:r>
        <w:rPr>
          <w:rFonts w:hint="eastAsia" w:eastAsia="宋体"/>
          <w:color w:val="auto"/>
          <w:spacing w:val="0"/>
          <w:w w:val="100"/>
          <w:position w:val="0"/>
          <w:highlight w:val="none"/>
          <w:lang w:val="en-US" w:eastAsia="zh-CN"/>
        </w:rPr>
        <w:t>级标准</w:t>
      </w:r>
      <w:r>
        <w:rPr>
          <w:rFonts w:hint="default" w:eastAsia="宋体"/>
          <w:color w:val="auto"/>
          <w:spacing w:val="0"/>
          <w:w w:val="100"/>
          <w:position w:val="0"/>
          <w:highlight w:val="none"/>
          <w:lang w:val="en-US" w:eastAsia="zh-CN"/>
        </w:rPr>
        <w:t>45mg/L</w:t>
      </w:r>
      <w:r>
        <w:rPr>
          <w:bCs/>
          <w:color w:val="auto"/>
          <w:spacing w:val="0"/>
          <w:w w:val="100"/>
          <w:kern w:val="2"/>
          <w:position w:val="0"/>
          <w:highlight w:val="none"/>
        </w:rPr>
        <w:t>，由</w:t>
      </w:r>
      <w:r>
        <w:rPr>
          <w:rFonts w:hint="eastAsia"/>
          <w:bCs/>
          <w:color w:val="auto"/>
          <w:spacing w:val="0"/>
          <w:w w:val="100"/>
          <w:kern w:val="2"/>
          <w:position w:val="0"/>
          <w:highlight w:val="none"/>
        </w:rPr>
        <w:t>阜西区污水处理厂</w:t>
      </w:r>
      <w:r>
        <w:rPr>
          <w:bCs/>
          <w:color w:val="auto"/>
          <w:spacing w:val="0"/>
          <w:w w:val="100"/>
          <w:kern w:val="2"/>
          <w:position w:val="0"/>
          <w:highlight w:val="none"/>
        </w:rPr>
        <w:t>处理。</w:t>
      </w:r>
      <w:r>
        <w:rPr>
          <w:color w:val="auto"/>
          <w:spacing w:val="0"/>
          <w:w w:val="100"/>
          <w:position w:val="0"/>
          <w:highlight w:val="none"/>
        </w:rPr>
        <w:t>对周围环境影响较小。</w:t>
      </w:r>
    </w:p>
    <w:p w14:paraId="37F0FAD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eastAsia="zh-CN"/>
        </w:rPr>
      </w:pPr>
      <w:r>
        <w:rPr>
          <w:rFonts w:hint="default" w:ascii="Times New Roman" w:hAnsi="Times New Roman" w:eastAsia="宋体" w:cs="Times New Roman"/>
          <w:caps w:val="0"/>
          <w:snapToGrid/>
          <w:color w:val="auto"/>
          <w:spacing w:val="0"/>
          <w:w w:val="100"/>
          <w:kern w:val="21"/>
          <w:position w:val="0"/>
          <w:sz w:val="24"/>
          <w:szCs w:val="24"/>
          <w:highlight w:val="none"/>
          <w:lang w:eastAsia="zh-CN"/>
        </w:rPr>
        <w:t>因此，项目实施后对水环境影响较小。</w:t>
      </w:r>
    </w:p>
    <w:p w14:paraId="59CBF453">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978" w:name="_Toc9390"/>
      <w:bookmarkStart w:id="979" w:name="_Toc29096"/>
      <w:bookmarkStart w:id="980" w:name="_Toc25137"/>
      <w:r>
        <w:rPr>
          <w:rFonts w:hint="default"/>
          <w:color w:val="auto"/>
          <w:spacing w:val="0"/>
          <w:w w:val="100"/>
          <w:position w:val="0"/>
          <w:highlight w:val="none"/>
          <w:lang w:val="en-US" w:eastAsia="zh-CN"/>
        </w:rPr>
        <w:t>9.</w:t>
      </w:r>
      <w:r>
        <w:rPr>
          <w:rFonts w:hint="eastAsia"/>
          <w:color w:val="auto"/>
          <w:spacing w:val="0"/>
          <w:w w:val="100"/>
          <w:position w:val="0"/>
          <w:highlight w:val="none"/>
          <w:lang w:val="en-US" w:eastAsia="zh-CN"/>
        </w:rPr>
        <w:t>3</w:t>
      </w:r>
      <w:r>
        <w:rPr>
          <w:rFonts w:hint="default"/>
          <w:color w:val="auto"/>
          <w:spacing w:val="0"/>
          <w:w w:val="100"/>
          <w:position w:val="0"/>
          <w:highlight w:val="none"/>
          <w:lang w:val="en-US" w:eastAsia="zh-CN"/>
        </w:rPr>
        <w:t>.3声环境影响分析与评价结论</w:t>
      </w:r>
      <w:bookmarkEnd w:id="978"/>
      <w:bookmarkEnd w:id="979"/>
      <w:bookmarkEnd w:id="980"/>
    </w:p>
    <w:p w14:paraId="7844B88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eastAsia="zh-CN"/>
        </w:rPr>
      </w:pPr>
      <w:r>
        <w:rPr>
          <w:rFonts w:hint="default" w:ascii="Times New Roman" w:hAnsi="Times New Roman" w:eastAsia="宋体" w:cs="Times New Roman"/>
          <w:caps w:val="0"/>
          <w:snapToGrid/>
          <w:color w:val="auto"/>
          <w:spacing w:val="0"/>
          <w:w w:val="100"/>
          <w:kern w:val="21"/>
          <w:position w:val="0"/>
          <w:sz w:val="24"/>
          <w:szCs w:val="24"/>
          <w:highlight w:val="none"/>
          <w:lang w:eastAsia="zh-CN"/>
        </w:rPr>
        <w:t>项目建成后，噪声源对厂界的</w:t>
      </w:r>
      <w:r>
        <w:rPr>
          <w:rFonts w:hint="eastAsia" w:ascii="Times New Roman" w:hAnsi="Times New Roman" w:cs="Times New Roman"/>
          <w:caps w:val="0"/>
          <w:snapToGrid/>
          <w:color w:val="auto"/>
          <w:spacing w:val="0"/>
          <w:w w:val="100"/>
          <w:kern w:val="21"/>
          <w:position w:val="0"/>
          <w:sz w:val="24"/>
          <w:szCs w:val="24"/>
          <w:highlight w:val="none"/>
          <w:lang w:val="en-US" w:eastAsia="zh-CN"/>
        </w:rPr>
        <w:t>贡献</w:t>
      </w:r>
      <w:r>
        <w:rPr>
          <w:rFonts w:hint="default" w:ascii="Times New Roman" w:hAnsi="Times New Roman" w:eastAsia="宋体" w:cs="Times New Roman"/>
          <w:caps w:val="0"/>
          <w:snapToGrid/>
          <w:color w:val="auto"/>
          <w:spacing w:val="0"/>
          <w:w w:val="100"/>
          <w:kern w:val="21"/>
          <w:position w:val="0"/>
          <w:sz w:val="24"/>
          <w:szCs w:val="24"/>
          <w:highlight w:val="none"/>
          <w:lang w:eastAsia="zh-CN"/>
        </w:rPr>
        <w:t>值满足《工业企业厂界环境噪声排放标准》（GB12348-2008）3类标准要求。在采取噪声防治措施后对</w:t>
      </w:r>
      <w:r>
        <w:rPr>
          <w:rFonts w:hint="default" w:ascii="Times New Roman" w:hAnsi="Times New Roman" w:eastAsia="宋体" w:cs="Times New Roman"/>
          <w:caps w:val="0"/>
          <w:snapToGrid/>
          <w:color w:val="auto"/>
          <w:spacing w:val="0"/>
          <w:w w:val="100"/>
          <w:kern w:val="21"/>
          <w:position w:val="0"/>
          <w:sz w:val="24"/>
          <w:szCs w:val="24"/>
          <w:highlight w:val="none"/>
          <w:lang w:val="en-US" w:eastAsia="zh-CN"/>
        </w:rPr>
        <w:t>周边</w:t>
      </w:r>
      <w:r>
        <w:rPr>
          <w:rFonts w:hint="default" w:ascii="Times New Roman" w:hAnsi="Times New Roman" w:eastAsia="宋体" w:cs="Times New Roman"/>
          <w:caps w:val="0"/>
          <w:snapToGrid/>
          <w:color w:val="auto"/>
          <w:spacing w:val="0"/>
          <w:w w:val="100"/>
          <w:kern w:val="21"/>
          <w:position w:val="0"/>
          <w:sz w:val="24"/>
          <w:szCs w:val="24"/>
          <w:highlight w:val="none"/>
          <w:lang w:eastAsia="zh-CN"/>
        </w:rPr>
        <w:t>声环境无影响。</w:t>
      </w:r>
    </w:p>
    <w:p w14:paraId="25DCB823">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981" w:name="_Toc23524"/>
      <w:bookmarkStart w:id="982" w:name="_Toc31823"/>
      <w:bookmarkStart w:id="983" w:name="_Toc16261"/>
      <w:r>
        <w:rPr>
          <w:rFonts w:hint="default"/>
          <w:color w:val="auto"/>
          <w:spacing w:val="0"/>
          <w:w w:val="100"/>
          <w:position w:val="0"/>
          <w:highlight w:val="none"/>
          <w:lang w:val="en-US" w:eastAsia="zh-CN"/>
        </w:rPr>
        <w:t>9.</w:t>
      </w:r>
      <w:r>
        <w:rPr>
          <w:rFonts w:hint="eastAsia"/>
          <w:color w:val="auto"/>
          <w:spacing w:val="0"/>
          <w:w w:val="100"/>
          <w:position w:val="0"/>
          <w:highlight w:val="none"/>
          <w:lang w:val="en-US" w:eastAsia="zh-CN"/>
        </w:rPr>
        <w:t>3</w:t>
      </w:r>
      <w:r>
        <w:rPr>
          <w:rFonts w:hint="default"/>
          <w:color w:val="auto"/>
          <w:spacing w:val="0"/>
          <w:w w:val="100"/>
          <w:position w:val="0"/>
          <w:highlight w:val="none"/>
          <w:lang w:val="en-US" w:eastAsia="zh-CN"/>
        </w:rPr>
        <w:t>.4固体废物影响分析与评价结论</w:t>
      </w:r>
      <w:bookmarkEnd w:id="981"/>
      <w:bookmarkEnd w:id="982"/>
      <w:bookmarkEnd w:id="983"/>
    </w:p>
    <w:p w14:paraId="2420606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eastAsia="zh-CN"/>
        </w:rPr>
      </w:pPr>
      <w:r>
        <w:rPr>
          <w:rFonts w:hint="default" w:ascii="Times New Roman" w:hAnsi="Times New Roman" w:eastAsia="宋体" w:cs="Times New Roman"/>
          <w:caps w:val="0"/>
          <w:snapToGrid/>
          <w:color w:val="auto"/>
          <w:spacing w:val="0"/>
          <w:w w:val="100"/>
          <w:kern w:val="21"/>
          <w:position w:val="0"/>
          <w:sz w:val="24"/>
          <w:szCs w:val="24"/>
          <w:highlight w:val="none"/>
          <w:lang w:eastAsia="zh-CN"/>
        </w:rPr>
        <w:t>本项目产生</w:t>
      </w:r>
      <w:r>
        <w:rPr>
          <w:rFonts w:hint="eastAsia" w:cs="Times New Roman"/>
          <w:caps w:val="0"/>
          <w:snapToGrid/>
          <w:color w:val="auto"/>
          <w:spacing w:val="0"/>
          <w:w w:val="100"/>
          <w:kern w:val="21"/>
          <w:position w:val="0"/>
          <w:sz w:val="24"/>
          <w:szCs w:val="24"/>
          <w:highlight w:val="none"/>
          <w:lang w:val="en-US" w:eastAsia="zh-CN"/>
        </w:rPr>
        <w:t>一般固废</w:t>
      </w:r>
      <w:r>
        <w:rPr>
          <w:rFonts w:hint="default" w:ascii="Times New Roman" w:hAnsi="Times New Roman" w:eastAsia="宋体" w:cs="Times New Roman"/>
          <w:caps w:val="0"/>
          <w:snapToGrid/>
          <w:color w:val="auto"/>
          <w:spacing w:val="0"/>
          <w:w w:val="100"/>
          <w:kern w:val="0"/>
          <w:position w:val="0"/>
          <w:szCs w:val="24"/>
          <w:highlight w:val="none"/>
          <w:lang w:val="en-US" w:eastAsia="zh-CN"/>
        </w:rPr>
        <w:t>外售至</w:t>
      </w:r>
      <w:r>
        <w:rPr>
          <w:rFonts w:hint="eastAsia" w:cs="Times New Roman"/>
          <w:caps w:val="0"/>
          <w:snapToGrid/>
          <w:color w:val="auto"/>
          <w:spacing w:val="0"/>
          <w:w w:val="100"/>
          <w:kern w:val="0"/>
          <w:position w:val="0"/>
          <w:szCs w:val="24"/>
          <w:highlight w:val="none"/>
          <w:lang w:val="en-US" w:eastAsia="zh-CN"/>
        </w:rPr>
        <w:t>废品回收站综合利用</w:t>
      </w:r>
      <w:r>
        <w:rPr>
          <w:rFonts w:hint="eastAsia" w:cs="Times New Roman"/>
          <w:caps w:val="0"/>
          <w:snapToGrid/>
          <w:color w:val="auto"/>
          <w:spacing w:val="0"/>
          <w:w w:val="100"/>
          <w:kern w:val="21"/>
          <w:position w:val="0"/>
          <w:sz w:val="24"/>
          <w:szCs w:val="24"/>
          <w:highlight w:val="none"/>
          <w:lang w:eastAsia="zh-CN"/>
        </w:rPr>
        <w:t>；</w:t>
      </w:r>
      <w:r>
        <w:rPr>
          <w:rFonts w:hint="default" w:ascii="Times New Roman" w:hAnsi="Times New Roman" w:eastAsia="宋体" w:cs="Times New Roman"/>
          <w:caps w:val="0"/>
          <w:snapToGrid/>
          <w:color w:val="auto"/>
          <w:spacing w:val="0"/>
          <w:w w:val="100"/>
          <w:kern w:val="0"/>
          <w:position w:val="0"/>
          <w:highlight w:val="none"/>
        </w:rPr>
        <w:t>生活垃圾通过在厂区设置一定数量的密闭式垃圾桶收集，定期</w:t>
      </w:r>
      <w:r>
        <w:rPr>
          <w:rFonts w:hint="default" w:ascii="Times New Roman" w:hAnsi="Times New Roman" w:eastAsia="宋体" w:cs="Times New Roman"/>
          <w:caps w:val="0"/>
          <w:snapToGrid/>
          <w:color w:val="auto"/>
          <w:spacing w:val="0"/>
          <w:w w:val="100"/>
          <w:kern w:val="0"/>
          <w:position w:val="0"/>
          <w:szCs w:val="22"/>
          <w:highlight w:val="none"/>
        </w:rPr>
        <w:t>交环卫部门</w:t>
      </w:r>
      <w:r>
        <w:rPr>
          <w:rFonts w:hint="default" w:ascii="Times New Roman" w:hAnsi="Times New Roman" w:eastAsia="宋体" w:cs="Times New Roman"/>
          <w:caps w:val="0"/>
          <w:snapToGrid/>
          <w:color w:val="auto"/>
          <w:spacing w:val="0"/>
          <w:w w:val="100"/>
          <w:kern w:val="0"/>
          <w:position w:val="0"/>
          <w:szCs w:val="22"/>
          <w:highlight w:val="none"/>
          <w:lang w:val="en-US" w:eastAsia="zh-CN"/>
        </w:rPr>
        <w:t>清运处置</w:t>
      </w:r>
      <w:r>
        <w:rPr>
          <w:rFonts w:hint="eastAsia" w:cs="Times New Roman"/>
          <w:caps w:val="0"/>
          <w:snapToGrid/>
          <w:color w:val="auto"/>
          <w:spacing w:val="0"/>
          <w:w w:val="100"/>
          <w:kern w:val="0"/>
          <w:position w:val="0"/>
          <w:szCs w:val="22"/>
          <w:highlight w:val="none"/>
          <w:lang w:val="en-US" w:eastAsia="zh-CN"/>
        </w:rPr>
        <w:t>；</w:t>
      </w:r>
      <w:r>
        <w:rPr>
          <w:rFonts w:hint="default" w:ascii="Times New Roman" w:hAnsi="Times New Roman" w:eastAsia="宋体" w:cs="Times New Roman"/>
          <w:caps w:val="0"/>
          <w:snapToGrid/>
          <w:color w:val="auto"/>
          <w:spacing w:val="0"/>
          <w:w w:val="100"/>
          <w:kern w:val="21"/>
          <w:position w:val="0"/>
          <w:sz w:val="24"/>
          <w:szCs w:val="24"/>
          <w:highlight w:val="none"/>
          <w:lang w:eastAsia="zh-CN"/>
        </w:rPr>
        <w:t>危险废物暂存于危废贮存库，定期由有资质的单位拉运处理，项目所有固体废物均得到妥善处置和综合利用，不会对周边环境产生不良影响。</w:t>
      </w:r>
    </w:p>
    <w:p w14:paraId="177A9694">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984" w:name="_Toc28496"/>
      <w:bookmarkStart w:id="985" w:name="_Toc13503"/>
      <w:bookmarkStart w:id="986" w:name="_Toc4757"/>
      <w:r>
        <w:rPr>
          <w:rFonts w:hint="default"/>
          <w:color w:val="auto"/>
          <w:spacing w:val="0"/>
          <w:w w:val="100"/>
          <w:position w:val="0"/>
          <w:highlight w:val="none"/>
          <w:lang w:val="en-US" w:eastAsia="zh-CN"/>
        </w:rPr>
        <w:t>9.</w:t>
      </w:r>
      <w:r>
        <w:rPr>
          <w:rFonts w:hint="eastAsia"/>
          <w:color w:val="auto"/>
          <w:spacing w:val="0"/>
          <w:w w:val="100"/>
          <w:position w:val="0"/>
          <w:highlight w:val="none"/>
          <w:lang w:val="en-US" w:eastAsia="zh-CN"/>
        </w:rPr>
        <w:t>3</w:t>
      </w:r>
      <w:r>
        <w:rPr>
          <w:rFonts w:hint="default"/>
          <w:color w:val="auto"/>
          <w:spacing w:val="0"/>
          <w:w w:val="100"/>
          <w:position w:val="0"/>
          <w:highlight w:val="none"/>
          <w:lang w:val="en-US" w:eastAsia="zh-CN"/>
        </w:rPr>
        <w:t>.5生态环境影响分析与评价结论</w:t>
      </w:r>
      <w:bookmarkEnd w:id="984"/>
      <w:bookmarkEnd w:id="985"/>
      <w:bookmarkEnd w:id="986"/>
    </w:p>
    <w:p w14:paraId="0FEF75F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eastAsia="zh-CN"/>
        </w:rPr>
      </w:pPr>
      <w:r>
        <w:rPr>
          <w:rFonts w:hint="default" w:ascii="Times New Roman" w:hAnsi="Times New Roman" w:eastAsia="宋体" w:cs="Times New Roman"/>
          <w:caps w:val="0"/>
          <w:snapToGrid/>
          <w:color w:val="auto"/>
          <w:spacing w:val="0"/>
          <w:w w:val="100"/>
          <w:kern w:val="21"/>
          <w:position w:val="0"/>
          <w:sz w:val="24"/>
          <w:szCs w:val="24"/>
          <w:highlight w:val="none"/>
          <w:lang w:eastAsia="zh-CN"/>
        </w:rPr>
        <w:t>本项目</w:t>
      </w:r>
      <w:r>
        <w:rPr>
          <w:rFonts w:hint="eastAsia" w:ascii="Times New Roman" w:hAnsi="Times New Roman" w:eastAsia="宋体" w:cs="Times New Roman"/>
          <w:caps w:val="0"/>
          <w:snapToGrid/>
          <w:color w:val="auto"/>
          <w:spacing w:val="0"/>
          <w:w w:val="100"/>
          <w:kern w:val="21"/>
          <w:position w:val="0"/>
          <w:sz w:val="24"/>
          <w:szCs w:val="24"/>
          <w:highlight w:val="none"/>
          <w:lang w:val="en-US" w:eastAsia="zh-CN"/>
        </w:rPr>
        <w:t>所</w:t>
      </w:r>
      <w:r>
        <w:rPr>
          <w:rFonts w:hint="default" w:ascii="Times New Roman" w:hAnsi="Times New Roman" w:eastAsia="宋体" w:cs="Times New Roman"/>
          <w:caps w:val="0"/>
          <w:snapToGrid/>
          <w:color w:val="auto"/>
          <w:spacing w:val="0"/>
          <w:w w:val="100"/>
          <w:kern w:val="21"/>
          <w:position w:val="0"/>
          <w:sz w:val="24"/>
          <w:szCs w:val="24"/>
          <w:highlight w:val="none"/>
          <w:lang w:val="en-US" w:eastAsia="zh-CN"/>
        </w:rPr>
        <w:t>在</w:t>
      </w:r>
      <w:r>
        <w:rPr>
          <w:rFonts w:hint="eastAsia" w:ascii="Times New Roman" w:hAnsi="Times New Roman" w:cs="Times New Roman"/>
          <w:caps w:val="0"/>
          <w:snapToGrid/>
          <w:color w:val="auto"/>
          <w:spacing w:val="0"/>
          <w:w w:val="100"/>
          <w:kern w:val="21"/>
          <w:position w:val="0"/>
          <w:sz w:val="24"/>
          <w:szCs w:val="24"/>
          <w:highlight w:val="none"/>
          <w:lang w:val="en-US" w:eastAsia="zh-CN"/>
        </w:rPr>
        <w:t>用地为工业用地</w:t>
      </w:r>
      <w:r>
        <w:rPr>
          <w:rFonts w:hint="default" w:ascii="Times New Roman" w:hAnsi="Times New Roman" w:eastAsia="宋体" w:cs="Times New Roman"/>
          <w:caps w:val="0"/>
          <w:snapToGrid/>
          <w:color w:val="auto"/>
          <w:spacing w:val="0"/>
          <w:w w:val="100"/>
          <w:kern w:val="21"/>
          <w:position w:val="0"/>
          <w:sz w:val="24"/>
          <w:szCs w:val="24"/>
          <w:highlight w:val="none"/>
          <w:lang w:val="en-US" w:eastAsia="zh-CN"/>
        </w:rPr>
        <w:t>，不会</w:t>
      </w:r>
      <w:r>
        <w:rPr>
          <w:rFonts w:hint="default" w:ascii="Times New Roman" w:hAnsi="Times New Roman" w:eastAsia="宋体" w:cs="Times New Roman"/>
          <w:caps w:val="0"/>
          <w:snapToGrid/>
          <w:color w:val="auto"/>
          <w:spacing w:val="0"/>
          <w:w w:val="100"/>
          <w:kern w:val="21"/>
          <w:position w:val="0"/>
          <w:sz w:val="24"/>
          <w:szCs w:val="24"/>
          <w:highlight w:val="none"/>
          <w:lang w:eastAsia="zh-CN"/>
        </w:rPr>
        <w:t>使评价区内生态系统完整性发生本质的改变，项目的实施对整个区域生态完整性影响较小。</w:t>
      </w:r>
    </w:p>
    <w:p w14:paraId="21501FD9">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987" w:name="_Toc464"/>
      <w:bookmarkStart w:id="988" w:name="_Toc23508"/>
      <w:bookmarkStart w:id="989" w:name="_Toc13015"/>
      <w:r>
        <w:rPr>
          <w:rFonts w:hint="default"/>
          <w:color w:val="auto"/>
          <w:spacing w:val="0"/>
          <w:w w:val="100"/>
          <w:position w:val="0"/>
          <w:highlight w:val="none"/>
          <w:lang w:val="en-US" w:eastAsia="zh-CN"/>
        </w:rPr>
        <w:t>9.</w:t>
      </w:r>
      <w:r>
        <w:rPr>
          <w:rFonts w:hint="eastAsia"/>
          <w:color w:val="auto"/>
          <w:spacing w:val="0"/>
          <w:w w:val="100"/>
          <w:position w:val="0"/>
          <w:highlight w:val="none"/>
          <w:lang w:val="en-US" w:eastAsia="zh-CN"/>
        </w:rPr>
        <w:t>3</w:t>
      </w:r>
      <w:r>
        <w:rPr>
          <w:rFonts w:hint="default"/>
          <w:color w:val="auto"/>
          <w:spacing w:val="0"/>
          <w:w w:val="100"/>
          <w:position w:val="0"/>
          <w:highlight w:val="none"/>
          <w:lang w:val="en-US" w:eastAsia="zh-CN"/>
        </w:rPr>
        <w:t>.6土壤环境影响分析与评价结论</w:t>
      </w:r>
      <w:bookmarkEnd w:id="987"/>
      <w:bookmarkEnd w:id="988"/>
      <w:bookmarkEnd w:id="989"/>
    </w:p>
    <w:p w14:paraId="1D41C64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eastAsia="zh-CN"/>
        </w:rPr>
      </w:pPr>
      <w:r>
        <w:rPr>
          <w:rFonts w:hint="default" w:ascii="Times New Roman" w:hAnsi="Times New Roman" w:eastAsia="宋体" w:cs="Times New Roman"/>
          <w:caps w:val="0"/>
          <w:snapToGrid/>
          <w:color w:val="auto"/>
          <w:spacing w:val="0"/>
          <w:w w:val="100"/>
          <w:kern w:val="21"/>
          <w:position w:val="0"/>
          <w:sz w:val="24"/>
          <w:szCs w:val="24"/>
          <w:highlight w:val="none"/>
          <w:lang w:eastAsia="zh-CN"/>
        </w:rPr>
        <w:t>本项目为污染影响型建设项目，运行期可能对土壤环境产生影响的主要污染途径为大气沉降和原料</w:t>
      </w:r>
      <w:r>
        <w:rPr>
          <w:rFonts w:hint="default" w:ascii="Times New Roman" w:hAnsi="Times New Roman" w:eastAsia="宋体" w:cs="Times New Roman"/>
          <w:caps w:val="0"/>
          <w:snapToGrid/>
          <w:color w:val="auto"/>
          <w:spacing w:val="0"/>
          <w:w w:val="100"/>
          <w:kern w:val="21"/>
          <w:position w:val="0"/>
          <w:sz w:val="24"/>
          <w:szCs w:val="24"/>
          <w:highlight w:val="none"/>
          <w:lang w:val="en-US" w:eastAsia="zh-CN"/>
        </w:rPr>
        <w:t>泄漏</w:t>
      </w:r>
      <w:r>
        <w:rPr>
          <w:rFonts w:hint="default" w:ascii="Times New Roman" w:hAnsi="Times New Roman" w:eastAsia="宋体" w:cs="Times New Roman"/>
          <w:caps w:val="0"/>
          <w:snapToGrid/>
          <w:color w:val="auto"/>
          <w:spacing w:val="0"/>
          <w:w w:val="100"/>
          <w:kern w:val="21"/>
          <w:position w:val="0"/>
          <w:sz w:val="24"/>
          <w:szCs w:val="24"/>
          <w:highlight w:val="none"/>
          <w:lang w:eastAsia="zh-CN"/>
        </w:rPr>
        <w:t>造成垂直入渗。在严格落实相应防渗措施后，运营期加强管理，严防跑冒滴漏事故，项目的建设对土壤环境的影响较小；大气污染物沉降进入土壤中增量较小。因此，本项目对土壤环境的影响是可以接受的。</w:t>
      </w:r>
    </w:p>
    <w:p w14:paraId="62D66311">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990" w:name="_Toc10427"/>
      <w:bookmarkStart w:id="991" w:name="_Toc13819"/>
      <w:bookmarkStart w:id="992" w:name="_Toc15418"/>
      <w:r>
        <w:rPr>
          <w:rFonts w:hint="default"/>
          <w:color w:val="auto"/>
          <w:spacing w:val="0"/>
          <w:w w:val="100"/>
          <w:position w:val="0"/>
          <w:highlight w:val="none"/>
          <w:lang w:val="en-US" w:eastAsia="zh-CN"/>
        </w:rPr>
        <w:t>9.</w:t>
      </w:r>
      <w:r>
        <w:rPr>
          <w:rFonts w:hint="eastAsia"/>
          <w:color w:val="auto"/>
          <w:spacing w:val="0"/>
          <w:w w:val="100"/>
          <w:position w:val="0"/>
          <w:highlight w:val="none"/>
          <w:lang w:val="en-US" w:eastAsia="zh-CN"/>
        </w:rPr>
        <w:t>3</w:t>
      </w:r>
      <w:r>
        <w:rPr>
          <w:rFonts w:hint="default"/>
          <w:color w:val="auto"/>
          <w:spacing w:val="0"/>
          <w:w w:val="100"/>
          <w:position w:val="0"/>
          <w:highlight w:val="none"/>
          <w:lang w:val="en-US" w:eastAsia="zh-CN"/>
        </w:rPr>
        <w:t>.7环境风险评价结论</w:t>
      </w:r>
      <w:bookmarkEnd w:id="990"/>
      <w:bookmarkEnd w:id="991"/>
      <w:bookmarkEnd w:id="992"/>
    </w:p>
    <w:p w14:paraId="289CA81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eastAsia="zh-CN"/>
        </w:rPr>
      </w:pPr>
      <w:bookmarkStart w:id="993" w:name="_Toc28171"/>
      <w:r>
        <w:rPr>
          <w:rFonts w:hint="default" w:ascii="Times New Roman" w:hAnsi="Times New Roman" w:eastAsia="宋体" w:cs="Times New Roman"/>
          <w:caps w:val="0"/>
          <w:snapToGrid/>
          <w:color w:val="auto"/>
          <w:spacing w:val="0"/>
          <w:w w:val="100"/>
          <w:kern w:val="21"/>
          <w:position w:val="0"/>
          <w:sz w:val="24"/>
          <w:szCs w:val="24"/>
          <w:highlight w:val="none"/>
          <w:lang w:eastAsia="zh-CN"/>
        </w:rPr>
        <w:t>根据风险评价结果，在落实项目提出的各项风险防范措施和应急预案，加强风险管理的条件下，项目产生的环境风险在可接受的范围内，本项目环境风险事故对周围环境的影响较小。</w:t>
      </w:r>
    </w:p>
    <w:bookmarkEnd w:id="993"/>
    <w:p w14:paraId="46378FBB">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994" w:name="_Toc12529"/>
      <w:bookmarkStart w:id="995" w:name="_Toc29107"/>
      <w:bookmarkStart w:id="996" w:name="_Toc29147"/>
      <w:bookmarkStart w:id="997" w:name="_Toc30459"/>
      <w:r>
        <w:rPr>
          <w:rFonts w:hint="default"/>
          <w:color w:val="auto"/>
          <w:spacing w:val="0"/>
          <w:w w:val="100"/>
          <w:position w:val="0"/>
          <w:highlight w:val="none"/>
          <w:lang w:val="en-US" w:eastAsia="zh-CN"/>
        </w:rPr>
        <w:t>9.</w:t>
      </w:r>
      <w:r>
        <w:rPr>
          <w:rFonts w:hint="eastAsia"/>
          <w:color w:val="auto"/>
          <w:spacing w:val="0"/>
          <w:w w:val="100"/>
          <w:position w:val="0"/>
          <w:highlight w:val="none"/>
          <w:lang w:val="en-US" w:eastAsia="zh-CN"/>
        </w:rPr>
        <w:t>4</w:t>
      </w:r>
      <w:r>
        <w:rPr>
          <w:rFonts w:hint="default"/>
          <w:color w:val="auto"/>
          <w:spacing w:val="0"/>
          <w:w w:val="100"/>
          <w:position w:val="0"/>
          <w:highlight w:val="none"/>
          <w:lang w:val="en-US" w:eastAsia="zh-CN"/>
        </w:rPr>
        <w:t>环境保护措施</w:t>
      </w:r>
      <w:bookmarkEnd w:id="994"/>
      <w:bookmarkEnd w:id="995"/>
      <w:bookmarkEnd w:id="996"/>
      <w:bookmarkEnd w:id="997"/>
    </w:p>
    <w:p w14:paraId="3523F5C8">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998" w:name="_Toc3869"/>
      <w:bookmarkStart w:id="999" w:name="_Toc4216"/>
      <w:bookmarkStart w:id="1000" w:name="_Toc29514"/>
      <w:r>
        <w:rPr>
          <w:rFonts w:hint="default"/>
          <w:color w:val="auto"/>
          <w:spacing w:val="0"/>
          <w:w w:val="100"/>
          <w:position w:val="0"/>
          <w:highlight w:val="none"/>
          <w:lang w:val="en-US" w:eastAsia="zh-CN"/>
        </w:rPr>
        <w:t>9.</w:t>
      </w:r>
      <w:r>
        <w:rPr>
          <w:rFonts w:hint="eastAsia"/>
          <w:color w:val="auto"/>
          <w:spacing w:val="0"/>
          <w:w w:val="100"/>
          <w:position w:val="0"/>
          <w:highlight w:val="none"/>
          <w:lang w:val="en-US" w:eastAsia="zh-CN"/>
        </w:rPr>
        <w:t>4</w:t>
      </w:r>
      <w:r>
        <w:rPr>
          <w:rFonts w:hint="default"/>
          <w:color w:val="auto"/>
          <w:spacing w:val="0"/>
          <w:w w:val="100"/>
          <w:position w:val="0"/>
          <w:highlight w:val="none"/>
          <w:lang w:val="en-US" w:eastAsia="zh-CN"/>
        </w:rPr>
        <w:t>.1废气</w:t>
      </w:r>
      <w:bookmarkEnd w:id="998"/>
      <w:bookmarkEnd w:id="999"/>
      <w:bookmarkEnd w:id="1000"/>
    </w:p>
    <w:p w14:paraId="7C7B296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textAlignment w:val="auto"/>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①项目有组织废气</w:t>
      </w:r>
    </w:p>
    <w:p w14:paraId="098B0A6F">
      <w:pPr>
        <w:pStyle w:val="32"/>
        <w:keepNext w:val="0"/>
        <w:keepLines w:val="0"/>
        <w:pageBreakBefore w:val="0"/>
        <w:widowControl w:val="0"/>
        <w:kinsoku/>
        <w:wordWrap/>
        <w:overflowPunct/>
        <w:topLinePunct w:val="0"/>
        <w:autoSpaceDE/>
        <w:autoSpaceDN/>
        <w:bidi w:val="0"/>
        <w:adjustRightInd/>
        <w:snapToGrid/>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本项目</w:t>
      </w:r>
      <w:r>
        <w:rPr>
          <w:rFonts w:hint="eastAsia" w:cs="Times New Roman"/>
          <w:caps w:val="0"/>
          <w:snapToGrid/>
          <w:color w:val="auto"/>
          <w:spacing w:val="0"/>
          <w:w w:val="100"/>
          <w:kern w:val="21"/>
          <w:position w:val="0"/>
          <w:sz w:val="24"/>
          <w:szCs w:val="24"/>
          <w:highlight w:val="none"/>
          <w:lang w:val="en-US" w:eastAsia="zh-CN" w:bidi="ar-SA"/>
        </w:rPr>
        <w:t>铝塑复合板</w:t>
      </w:r>
      <w:r>
        <w:rPr>
          <w:rFonts w:hint="eastAsia" w:ascii="Times New Roman" w:hAnsi="Times New Roman" w:eastAsia="宋体" w:cs="Times New Roman"/>
          <w:caps w:val="0"/>
          <w:snapToGrid/>
          <w:color w:val="auto"/>
          <w:spacing w:val="0"/>
          <w:w w:val="100"/>
          <w:kern w:val="21"/>
          <w:position w:val="0"/>
          <w:sz w:val="24"/>
          <w:szCs w:val="24"/>
          <w:highlight w:val="none"/>
          <w:lang w:val="en-US" w:eastAsia="zh-CN" w:bidi="ar-SA"/>
        </w:rPr>
        <w:t>生产线</w:t>
      </w:r>
      <w:r>
        <w:rPr>
          <w:rFonts w:hint="eastAsia" w:cs="Times New Roman"/>
          <w:caps w:val="0"/>
          <w:snapToGrid/>
          <w:color w:val="auto"/>
          <w:spacing w:val="0"/>
          <w:w w:val="100"/>
          <w:kern w:val="21"/>
          <w:position w:val="0"/>
          <w:sz w:val="24"/>
          <w:szCs w:val="24"/>
          <w:highlight w:val="none"/>
          <w:lang w:val="en-US" w:eastAsia="zh-CN" w:bidi="ar-SA"/>
        </w:rPr>
        <w:t>混料搅拌颗粒物经密闭管道+布袋除尘器处理由15m排气筒（DA001）排放；</w:t>
      </w:r>
      <w:r>
        <w:rPr>
          <w:rFonts w:hint="eastAsia"/>
          <w:color w:val="auto"/>
          <w:spacing w:val="0"/>
          <w:w w:val="100"/>
          <w:position w:val="0"/>
          <w:highlight w:val="none"/>
          <w:lang w:val="en-US" w:eastAsia="zh-CN"/>
        </w:rPr>
        <w:t>挤出成型、热压复合、修边保温、热压工段</w:t>
      </w:r>
      <w:r>
        <w:rPr>
          <w:rFonts w:hint="eastAsia" w:ascii="Times New Roman" w:hAnsi="Times New Roman" w:eastAsia="宋体" w:cs="Times New Roman"/>
          <w:caps w:val="0"/>
          <w:snapToGrid/>
          <w:color w:val="auto"/>
          <w:spacing w:val="0"/>
          <w:w w:val="100"/>
          <w:kern w:val="21"/>
          <w:position w:val="0"/>
          <w:sz w:val="24"/>
          <w:szCs w:val="24"/>
          <w:highlight w:val="none"/>
          <w:lang w:val="en-US" w:eastAsia="zh-CN" w:bidi="ar-SA"/>
        </w:rPr>
        <w:t>有机废气</w:t>
      </w:r>
      <w:r>
        <w:rPr>
          <w:rFonts w:hint="eastAsia" w:cs="Times New Roman"/>
          <w:caps w:val="0"/>
          <w:snapToGrid/>
          <w:color w:val="auto"/>
          <w:spacing w:val="0"/>
          <w:w w:val="100"/>
          <w:kern w:val="21"/>
          <w:position w:val="0"/>
          <w:sz w:val="24"/>
          <w:szCs w:val="24"/>
          <w:highlight w:val="none"/>
          <w:lang w:val="en-US" w:eastAsia="zh-CN" w:bidi="ar-SA"/>
        </w:rPr>
        <w:t>由集气罩收集后经“</w:t>
      </w: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活性炭吸附脱附</w:t>
      </w:r>
      <w:r>
        <w:rPr>
          <w:rFonts w:hint="eastAsia" w:cs="Times New Roman"/>
          <w:caps w:val="0"/>
          <w:snapToGrid/>
          <w:color w:val="auto"/>
          <w:spacing w:val="0"/>
          <w:w w:val="100"/>
          <w:kern w:val="21"/>
          <w:position w:val="0"/>
          <w:sz w:val="24"/>
          <w:szCs w:val="24"/>
          <w:highlight w:val="none"/>
          <w:lang w:val="en-US" w:eastAsia="zh-CN" w:bidi="ar-SA"/>
        </w:rPr>
        <w:t>+</w:t>
      </w: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催化燃烧装置</w:t>
      </w:r>
      <w:r>
        <w:rPr>
          <w:rFonts w:hint="eastAsia" w:cs="Times New Roman"/>
          <w:caps w:val="0"/>
          <w:snapToGrid/>
          <w:color w:val="auto"/>
          <w:spacing w:val="0"/>
          <w:w w:val="100"/>
          <w:kern w:val="21"/>
          <w:position w:val="0"/>
          <w:sz w:val="24"/>
          <w:szCs w:val="24"/>
          <w:highlight w:val="none"/>
          <w:lang w:val="en-US" w:eastAsia="zh-CN" w:bidi="ar-SA"/>
        </w:rPr>
        <w:t>”处理后经15m排气筒</w:t>
      </w:r>
      <w:r>
        <w:rPr>
          <w:rFonts w:hint="eastAsia" w:ascii="Times New Roman" w:hAnsi="Times New Roman" w:eastAsia="宋体" w:cs="Times New Roman"/>
          <w:caps w:val="0"/>
          <w:snapToGrid/>
          <w:color w:val="auto"/>
          <w:spacing w:val="0"/>
          <w:w w:val="100"/>
          <w:kern w:val="21"/>
          <w:position w:val="0"/>
          <w:sz w:val="24"/>
          <w:szCs w:val="24"/>
          <w:highlight w:val="none"/>
          <w:lang w:val="en-US" w:eastAsia="zh-CN" w:bidi="ar-SA"/>
        </w:rPr>
        <w:t>（DA00</w:t>
      </w:r>
      <w:r>
        <w:rPr>
          <w:rFonts w:hint="eastAsia" w:cs="Times New Roman"/>
          <w:caps w:val="0"/>
          <w:snapToGrid/>
          <w:color w:val="auto"/>
          <w:spacing w:val="0"/>
          <w:w w:val="100"/>
          <w:kern w:val="21"/>
          <w:position w:val="0"/>
          <w:sz w:val="24"/>
          <w:szCs w:val="24"/>
          <w:highlight w:val="none"/>
          <w:lang w:val="en-US" w:eastAsia="zh-CN" w:bidi="ar-SA"/>
        </w:rPr>
        <w:t>2</w:t>
      </w:r>
      <w:r>
        <w:rPr>
          <w:rFonts w:hint="eastAsia" w:ascii="Times New Roman" w:hAnsi="Times New Roman" w:eastAsia="宋体" w:cs="Times New Roman"/>
          <w:caps w:val="0"/>
          <w:snapToGrid/>
          <w:color w:val="auto"/>
          <w:spacing w:val="0"/>
          <w:w w:val="100"/>
          <w:kern w:val="21"/>
          <w:position w:val="0"/>
          <w:sz w:val="24"/>
          <w:szCs w:val="24"/>
          <w:highlight w:val="none"/>
          <w:lang w:val="en-US" w:eastAsia="zh-CN" w:bidi="ar-SA"/>
        </w:rPr>
        <w:t>）排放，</w:t>
      </w: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处理后的废气排放均满足</w:t>
      </w:r>
      <w:r>
        <w:rPr>
          <w:rFonts w:hint="eastAsia" w:cs="Times New Roman"/>
          <w:caps w:val="0"/>
          <w:snapToGrid/>
          <w:color w:val="auto"/>
          <w:spacing w:val="0"/>
          <w:w w:val="100"/>
          <w:kern w:val="21"/>
          <w:position w:val="0"/>
          <w:sz w:val="24"/>
          <w:szCs w:val="24"/>
          <w:highlight w:val="none"/>
          <w:lang w:val="en-US" w:eastAsia="zh-CN" w:bidi="ar-SA"/>
        </w:rPr>
        <w:t>《合成树脂工业污染物排放标准》（GB31572-2015）（含2024年修改单）</w:t>
      </w:r>
      <w:r>
        <w:rPr>
          <w:rFonts w:hint="eastAsia" w:ascii="Times New Roman" w:hAnsi="Times New Roman" w:eastAsia="宋体" w:cs="Times New Roman"/>
          <w:caps w:val="0"/>
          <w:snapToGrid/>
          <w:color w:val="auto"/>
          <w:spacing w:val="0"/>
          <w:w w:val="100"/>
          <w:kern w:val="21"/>
          <w:position w:val="0"/>
          <w:sz w:val="24"/>
          <w:szCs w:val="24"/>
          <w:highlight w:val="none"/>
          <w:lang w:val="en-US" w:eastAsia="zh-CN" w:bidi="ar-SA"/>
        </w:rPr>
        <w:t>表5大气污染物特别排放限值</w:t>
      </w: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w:t>
      </w:r>
    </w:p>
    <w:p w14:paraId="69B447D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②无组织废气</w:t>
      </w:r>
    </w:p>
    <w:p w14:paraId="50BD55B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本项目无组织废气主要采取安装通风换气扇，加强车间通风及加强厂区绿化等措施，根据工程分析及估算结果可知，项目无组织废气均能够做到达标排放，且占标率较小，最大落地浓度出现距离也较近，对周边敏感点影响较小。</w:t>
      </w:r>
    </w:p>
    <w:p w14:paraId="6D6903A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textAlignment w:val="auto"/>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sz w:val="24"/>
          <w:szCs w:val="24"/>
          <w:highlight w:val="none"/>
          <w:lang w:val="en-US" w:eastAsia="zh-CN" w:bidi="ar-SA"/>
        </w:rPr>
        <w:t>综上所述，本项目的废气防治措施</w:t>
      </w:r>
      <w:r>
        <w:rPr>
          <w:rFonts w:hint="default" w:ascii="Times New Roman" w:hAnsi="Times New Roman" w:eastAsia="宋体" w:cs="Times New Roman"/>
          <w:caps w:val="0"/>
          <w:snapToGrid/>
          <w:color w:val="auto"/>
          <w:spacing w:val="0"/>
          <w:w w:val="100"/>
          <w:kern w:val="21"/>
          <w:position w:val="0"/>
          <w:highlight w:val="none"/>
        </w:rPr>
        <w:t>可行</w:t>
      </w:r>
      <w:r>
        <w:rPr>
          <w:rFonts w:hint="default" w:ascii="Times New Roman" w:hAnsi="Times New Roman" w:eastAsia="宋体" w:cs="Times New Roman"/>
          <w:caps w:val="0"/>
          <w:snapToGrid/>
          <w:color w:val="auto"/>
          <w:spacing w:val="0"/>
          <w:w w:val="100"/>
          <w:kern w:val="21"/>
          <w:position w:val="0"/>
          <w:highlight w:val="none"/>
          <w:lang w:eastAsia="zh-CN"/>
        </w:rPr>
        <w:t>，</w:t>
      </w:r>
      <w:r>
        <w:rPr>
          <w:rFonts w:hint="default" w:ascii="Times New Roman" w:hAnsi="Times New Roman" w:eastAsia="宋体" w:cs="Times New Roman"/>
          <w:caps w:val="0"/>
          <w:snapToGrid/>
          <w:color w:val="auto"/>
          <w:spacing w:val="0"/>
          <w:w w:val="100"/>
          <w:kern w:val="21"/>
          <w:position w:val="0"/>
          <w:highlight w:val="none"/>
          <w:lang w:val="en-US" w:eastAsia="zh-CN"/>
        </w:rPr>
        <w:t>废气均能达标排放，对周边环境影响较小</w:t>
      </w:r>
      <w:r>
        <w:rPr>
          <w:rFonts w:hint="default" w:ascii="Times New Roman" w:hAnsi="Times New Roman" w:eastAsia="宋体" w:cs="Times New Roman"/>
          <w:caps w:val="0"/>
          <w:snapToGrid/>
          <w:color w:val="auto"/>
          <w:spacing w:val="0"/>
          <w:w w:val="100"/>
          <w:kern w:val="21"/>
          <w:position w:val="0"/>
          <w:highlight w:val="none"/>
        </w:rPr>
        <w:t>。</w:t>
      </w:r>
    </w:p>
    <w:p w14:paraId="6A46BF21">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001" w:name="_Toc22967"/>
      <w:bookmarkStart w:id="1002" w:name="_Toc8137"/>
      <w:bookmarkStart w:id="1003" w:name="_Toc119"/>
      <w:r>
        <w:rPr>
          <w:rFonts w:hint="default"/>
          <w:color w:val="auto"/>
          <w:spacing w:val="0"/>
          <w:w w:val="100"/>
          <w:position w:val="0"/>
          <w:highlight w:val="none"/>
          <w:lang w:val="en-US" w:eastAsia="zh-CN"/>
        </w:rPr>
        <w:t>9.</w:t>
      </w:r>
      <w:r>
        <w:rPr>
          <w:rFonts w:hint="eastAsia"/>
          <w:color w:val="auto"/>
          <w:spacing w:val="0"/>
          <w:w w:val="100"/>
          <w:position w:val="0"/>
          <w:highlight w:val="none"/>
          <w:lang w:val="en-US" w:eastAsia="zh-CN"/>
        </w:rPr>
        <w:t>4</w:t>
      </w:r>
      <w:r>
        <w:rPr>
          <w:rFonts w:hint="default"/>
          <w:color w:val="auto"/>
          <w:spacing w:val="0"/>
          <w:w w:val="100"/>
          <w:position w:val="0"/>
          <w:highlight w:val="none"/>
          <w:lang w:val="en-US" w:eastAsia="zh-CN"/>
        </w:rPr>
        <w:t>.2废水</w:t>
      </w:r>
      <w:bookmarkEnd w:id="1001"/>
      <w:bookmarkEnd w:id="1002"/>
      <w:bookmarkEnd w:id="1003"/>
    </w:p>
    <w:p w14:paraId="70452D0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textAlignment w:val="auto"/>
        <w:outlineLvl w:val="9"/>
        <w:rPr>
          <w:rFonts w:hint="default" w:ascii="Times New Roman" w:hAnsi="Times New Roman" w:eastAsia="宋体" w:cs="Times New Roman"/>
          <w:caps w:val="0"/>
          <w:snapToGrid/>
          <w:color w:val="auto"/>
          <w:spacing w:val="0"/>
          <w:w w:val="100"/>
          <w:kern w:val="21"/>
          <w:position w:val="0"/>
          <w:highlight w:val="none"/>
          <w:lang w:val="en-US" w:eastAsia="zh-CN"/>
        </w:rPr>
      </w:pPr>
      <w:r>
        <w:rPr>
          <w:color w:val="auto"/>
          <w:spacing w:val="0"/>
          <w:w w:val="100"/>
          <w:position w:val="0"/>
          <w:highlight w:val="none"/>
        </w:rPr>
        <w:t>本项目</w:t>
      </w:r>
      <w:r>
        <w:rPr>
          <w:rFonts w:hint="eastAsia"/>
          <w:color w:val="auto"/>
          <w:spacing w:val="0"/>
          <w:w w:val="100"/>
          <w:position w:val="0"/>
          <w:highlight w:val="none"/>
          <w:lang w:val="en-US" w:eastAsia="zh-CN"/>
        </w:rPr>
        <w:t>无生产废水排放，生活污水</w:t>
      </w:r>
      <w:r>
        <w:rPr>
          <w:color w:val="auto"/>
          <w:spacing w:val="0"/>
          <w:w w:val="100"/>
          <w:position w:val="0"/>
          <w:highlight w:val="none"/>
        </w:rPr>
        <w:t>排入</w:t>
      </w:r>
      <w:r>
        <w:rPr>
          <w:rFonts w:hint="eastAsia"/>
          <w:color w:val="auto"/>
          <w:spacing w:val="0"/>
          <w:w w:val="100"/>
          <w:position w:val="0"/>
          <w:highlight w:val="none"/>
          <w:lang w:val="en-US" w:eastAsia="zh-CN"/>
        </w:rPr>
        <w:t>园区污水</w:t>
      </w:r>
      <w:r>
        <w:rPr>
          <w:color w:val="auto"/>
          <w:spacing w:val="0"/>
          <w:w w:val="100"/>
          <w:position w:val="0"/>
          <w:highlight w:val="none"/>
        </w:rPr>
        <w:t>管网</w:t>
      </w:r>
      <w:r>
        <w:rPr>
          <w:rFonts w:hint="eastAsia" w:ascii="Times New Roman" w:hAnsi="Times New Roman" w:cs="Times New Roman"/>
          <w:caps w:val="0"/>
          <w:snapToGrid/>
          <w:color w:val="auto"/>
          <w:spacing w:val="0"/>
          <w:w w:val="100"/>
          <w:kern w:val="21"/>
          <w:position w:val="0"/>
          <w:sz w:val="24"/>
          <w:szCs w:val="24"/>
          <w:highlight w:val="none"/>
          <w:lang w:eastAsia="zh-CN"/>
        </w:rPr>
        <w:t>，</w:t>
      </w:r>
      <w:r>
        <w:rPr>
          <w:bCs/>
          <w:color w:val="auto"/>
          <w:spacing w:val="0"/>
          <w:w w:val="100"/>
          <w:kern w:val="2"/>
          <w:position w:val="0"/>
          <w:highlight w:val="none"/>
        </w:rPr>
        <w:t>排放浓度符合《污水综合排放标准》（GB 8978-1996）表4中三级标准，由</w:t>
      </w:r>
      <w:r>
        <w:rPr>
          <w:rFonts w:hint="eastAsia"/>
          <w:bCs/>
          <w:color w:val="auto"/>
          <w:spacing w:val="0"/>
          <w:w w:val="100"/>
          <w:kern w:val="2"/>
          <w:position w:val="0"/>
          <w:highlight w:val="none"/>
          <w:lang w:eastAsia="zh-CN"/>
        </w:rPr>
        <w:t>阜西区污水处理厂</w:t>
      </w:r>
      <w:r>
        <w:rPr>
          <w:bCs/>
          <w:color w:val="auto"/>
          <w:spacing w:val="0"/>
          <w:w w:val="100"/>
          <w:kern w:val="2"/>
          <w:position w:val="0"/>
          <w:highlight w:val="none"/>
        </w:rPr>
        <w:t>处理。</w:t>
      </w:r>
      <w:r>
        <w:rPr>
          <w:color w:val="auto"/>
          <w:spacing w:val="0"/>
          <w:w w:val="100"/>
          <w:position w:val="0"/>
          <w:highlight w:val="none"/>
        </w:rPr>
        <w:t>对周围环境影响较小。</w:t>
      </w:r>
    </w:p>
    <w:p w14:paraId="5C5C58B7">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004" w:name="_Toc11805"/>
      <w:bookmarkStart w:id="1005" w:name="_Toc4085"/>
      <w:bookmarkStart w:id="1006" w:name="_Toc9274"/>
      <w:r>
        <w:rPr>
          <w:rFonts w:hint="default"/>
          <w:color w:val="auto"/>
          <w:spacing w:val="0"/>
          <w:w w:val="100"/>
          <w:position w:val="0"/>
          <w:highlight w:val="none"/>
          <w:lang w:val="en-US" w:eastAsia="zh-CN"/>
        </w:rPr>
        <w:t>9.</w:t>
      </w:r>
      <w:r>
        <w:rPr>
          <w:rFonts w:hint="eastAsia"/>
          <w:color w:val="auto"/>
          <w:spacing w:val="0"/>
          <w:w w:val="100"/>
          <w:position w:val="0"/>
          <w:highlight w:val="none"/>
          <w:lang w:val="en-US" w:eastAsia="zh-CN"/>
        </w:rPr>
        <w:t>4</w:t>
      </w:r>
      <w:r>
        <w:rPr>
          <w:rFonts w:hint="default"/>
          <w:color w:val="auto"/>
          <w:spacing w:val="0"/>
          <w:w w:val="100"/>
          <w:position w:val="0"/>
          <w:highlight w:val="none"/>
          <w:lang w:val="en-US" w:eastAsia="zh-CN"/>
        </w:rPr>
        <w:t>.3噪声</w:t>
      </w:r>
      <w:bookmarkEnd w:id="1004"/>
      <w:bookmarkEnd w:id="1005"/>
      <w:bookmarkEnd w:id="1006"/>
    </w:p>
    <w:p w14:paraId="4D077DE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textAlignment w:val="auto"/>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项目主要产噪设备为</w:t>
      </w:r>
      <w:r>
        <w:rPr>
          <w:rFonts w:hint="eastAsia" w:cs="Times New Roman"/>
          <w:caps w:val="0"/>
          <w:snapToGrid/>
          <w:color w:val="auto"/>
          <w:spacing w:val="0"/>
          <w:w w:val="100"/>
          <w:kern w:val="21"/>
          <w:position w:val="0"/>
          <w:highlight w:val="none"/>
          <w:lang w:val="en-US" w:eastAsia="zh-CN"/>
        </w:rPr>
        <w:t>生产设备</w:t>
      </w:r>
      <w:r>
        <w:rPr>
          <w:rFonts w:hint="default" w:ascii="Times New Roman" w:hAnsi="Times New Roman" w:eastAsia="宋体" w:cs="Times New Roman"/>
          <w:caps w:val="0"/>
          <w:snapToGrid/>
          <w:color w:val="auto"/>
          <w:spacing w:val="0"/>
          <w:w w:val="100"/>
          <w:kern w:val="21"/>
          <w:position w:val="0"/>
          <w:highlight w:val="none"/>
        </w:rPr>
        <w:t>以及风机等设备。通过采取选用低噪声设备、基础减振，室内布置、消声器等措施控制噪声后，再经距离衰减，厂界噪声贡献值满足《工业企业厂界环境噪声排放标准》（GB12348-2008）3类标准。</w:t>
      </w:r>
    </w:p>
    <w:p w14:paraId="11C9A45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textAlignment w:val="auto"/>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综上</w:t>
      </w:r>
      <w:r>
        <w:rPr>
          <w:rFonts w:hint="default" w:ascii="Times New Roman" w:hAnsi="Times New Roman" w:eastAsia="宋体" w:cs="Times New Roman"/>
          <w:caps w:val="0"/>
          <w:snapToGrid/>
          <w:color w:val="auto"/>
          <w:spacing w:val="0"/>
          <w:w w:val="100"/>
          <w:kern w:val="21"/>
          <w:position w:val="0"/>
          <w:highlight w:val="none"/>
          <w:lang w:val="en-US" w:eastAsia="zh-CN"/>
        </w:rPr>
        <w:t>所述，本项目对周边声环境的影响较小。</w:t>
      </w:r>
    </w:p>
    <w:p w14:paraId="412E91D4">
      <w:pPr>
        <w:pStyle w:val="4"/>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007" w:name="_Toc5384"/>
      <w:bookmarkStart w:id="1008" w:name="_Toc24924"/>
      <w:bookmarkStart w:id="1009" w:name="_Toc11616"/>
      <w:r>
        <w:rPr>
          <w:rFonts w:hint="default"/>
          <w:color w:val="auto"/>
          <w:spacing w:val="0"/>
          <w:w w:val="100"/>
          <w:position w:val="0"/>
          <w:highlight w:val="none"/>
          <w:lang w:val="en-US" w:eastAsia="zh-CN"/>
        </w:rPr>
        <w:t>9.</w:t>
      </w:r>
      <w:r>
        <w:rPr>
          <w:rFonts w:hint="eastAsia"/>
          <w:color w:val="auto"/>
          <w:spacing w:val="0"/>
          <w:w w:val="100"/>
          <w:position w:val="0"/>
          <w:highlight w:val="none"/>
          <w:lang w:val="en-US" w:eastAsia="zh-CN"/>
        </w:rPr>
        <w:t>4</w:t>
      </w:r>
      <w:r>
        <w:rPr>
          <w:rFonts w:hint="default"/>
          <w:color w:val="auto"/>
          <w:spacing w:val="0"/>
          <w:w w:val="100"/>
          <w:position w:val="0"/>
          <w:highlight w:val="none"/>
          <w:lang w:val="en-US" w:eastAsia="zh-CN"/>
        </w:rPr>
        <w:t>.4固废</w:t>
      </w:r>
      <w:bookmarkEnd w:id="1007"/>
      <w:bookmarkEnd w:id="1008"/>
      <w:bookmarkEnd w:id="1009"/>
    </w:p>
    <w:p w14:paraId="09F9170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textAlignment w:val="auto"/>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对于项目产生的一般固体废物，</w:t>
      </w:r>
      <w:r>
        <w:rPr>
          <w:rFonts w:hint="default" w:ascii="Times New Roman" w:hAnsi="Times New Roman" w:eastAsia="宋体" w:cs="Times New Roman"/>
          <w:caps w:val="0"/>
          <w:snapToGrid/>
          <w:color w:val="auto"/>
          <w:spacing w:val="0"/>
          <w:w w:val="100"/>
          <w:kern w:val="0"/>
          <w:position w:val="0"/>
          <w:highlight w:val="none"/>
        </w:rPr>
        <w:t>废包装材料</w:t>
      </w:r>
      <w:r>
        <w:rPr>
          <w:rFonts w:hint="eastAsia" w:cs="Times New Roman"/>
          <w:caps w:val="0"/>
          <w:snapToGrid/>
          <w:color w:val="auto"/>
          <w:spacing w:val="0"/>
          <w:w w:val="100"/>
          <w:kern w:val="0"/>
          <w:position w:val="0"/>
          <w:highlight w:val="none"/>
          <w:lang w:eastAsia="zh-CN"/>
        </w:rPr>
        <w:t>、</w:t>
      </w:r>
      <w:r>
        <w:rPr>
          <w:rFonts w:hint="default" w:ascii="Times New Roman" w:hAnsi="Times New Roman" w:eastAsia="宋体" w:cs="Times New Roman"/>
          <w:caps w:val="0"/>
          <w:snapToGrid/>
          <w:color w:val="auto"/>
          <w:spacing w:val="0"/>
          <w:w w:val="100"/>
          <w:kern w:val="0"/>
          <w:position w:val="0"/>
          <w:highlight w:val="none"/>
        </w:rPr>
        <w:t>废过滤渣和废过滤网</w:t>
      </w:r>
      <w:r>
        <w:rPr>
          <w:rFonts w:hint="eastAsia" w:cs="Times New Roman"/>
          <w:caps w:val="0"/>
          <w:snapToGrid/>
          <w:color w:val="auto"/>
          <w:spacing w:val="0"/>
          <w:w w:val="100"/>
          <w:kern w:val="0"/>
          <w:position w:val="0"/>
          <w:highlight w:val="none"/>
          <w:lang w:eastAsia="zh-CN"/>
        </w:rPr>
        <w:t>、</w:t>
      </w:r>
      <w:r>
        <w:rPr>
          <w:rFonts w:hint="default" w:ascii="Times New Roman" w:hAnsi="Times New Roman" w:eastAsia="宋体" w:cs="Times New Roman"/>
          <w:caps w:val="0"/>
          <w:snapToGrid/>
          <w:color w:val="auto"/>
          <w:spacing w:val="0"/>
          <w:w w:val="100"/>
          <w:kern w:val="0"/>
          <w:position w:val="0"/>
          <w:highlight w:val="none"/>
        </w:rPr>
        <w:t>边角料</w:t>
      </w:r>
      <w:r>
        <w:rPr>
          <w:rFonts w:hint="eastAsia" w:cs="Times New Roman"/>
          <w:caps w:val="0"/>
          <w:snapToGrid/>
          <w:color w:val="auto"/>
          <w:spacing w:val="0"/>
          <w:w w:val="100"/>
          <w:kern w:val="0"/>
          <w:position w:val="0"/>
          <w:highlight w:val="none"/>
          <w:lang w:eastAsia="zh-CN"/>
        </w:rPr>
        <w:t>、</w:t>
      </w:r>
      <w:r>
        <w:rPr>
          <w:rFonts w:hint="default" w:ascii="Times New Roman" w:hAnsi="Times New Roman" w:eastAsia="宋体" w:cs="Times New Roman"/>
          <w:caps w:val="0"/>
          <w:snapToGrid/>
          <w:color w:val="auto"/>
          <w:spacing w:val="0"/>
          <w:w w:val="100"/>
          <w:kern w:val="0"/>
          <w:position w:val="0"/>
          <w:highlight w:val="none"/>
        </w:rPr>
        <w:t>除尘器收集粉尘</w:t>
      </w:r>
      <w:r>
        <w:rPr>
          <w:rFonts w:hint="eastAsia" w:cs="Times New Roman"/>
          <w:caps w:val="0"/>
          <w:snapToGrid/>
          <w:color w:val="auto"/>
          <w:spacing w:val="0"/>
          <w:w w:val="100"/>
          <w:kern w:val="0"/>
          <w:position w:val="0"/>
          <w:highlight w:val="none"/>
          <w:lang w:eastAsia="zh-CN"/>
        </w:rPr>
        <w:t>、</w:t>
      </w:r>
      <w:r>
        <w:rPr>
          <w:rFonts w:hint="default" w:ascii="Times New Roman" w:hAnsi="Times New Roman" w:eastAsia="宋体" w:cs="Times New Roman"/>
          <w:caps w:val="0"/>
          <w:snapToGrid/>
          <w:color w:val="auto"/>
          <w:spacing w:val="0"/>
          <w:w w:val="100"/>
          <w:kern w:val="0"/>
          <w:position w:val="0"/>
          <w:highlight w:val="none"/>
        </w:rPr>
        <w:t>废布袋</w:t>
      </w:r>
      <w:r>
        <w:rPr>
          <w:rFonts w:hint="default" w:ascii="Times New Roman" w:hAnsi="Times New Roman" w:eastAsia="宋体" w:cs="Times New Roman"/>
          <w:caps w:val="0"/>
          <w:snapToGrid/>
          <w:color w:val="auto"/>
          <w:spacing w:val="0"/>
          <w:w w:val="100"/>
          <w:kern w:val="0"/>
          <w:position w:val="0"/>
          <w:szCs w:val="24"/>
          <w:highlight w:val="none"/>
          <w:lang w:val="en-US" w:eastAsia="zh-CN"/>
        </w:rPr>
        <w:t>集中收集至本项目</w:t>
      </w:r>
      <w:r>
        <w:rPr>
          <w:rFonts w:hint="eastAsia" w:cs="Times New Roman"/>
          <w:caps w:val="0"/>
          <w:snapToGrid/>
          <w:color w:val="auto"/>
          <w:spacing w:val="0"/>
          <w:w w:val="100"/>
          <w:kern w:val="0"/>
          <w:position w:val="0"/>
          <w:szCs w:val="24"/>
          <w:highlight w:val="none"/>
          <w:lang w:val="en-US" w:eastAsia="zh-CN"/>
        </w:rPr>
        <w:t>一般固废暂存区</w:t>
      </w:r>
      <w:r>
        <w:rPr>
          <w:rFonts w:hint="default" w:ascii="Times New Roman" w:hAnsi="Times New Roman" w:eastAsia="宋体" w:cs="Times New Roman"/>
          <w:caps w:val="0"/>
          <w:snapToGrid/>
          <w:color w:val="auto"/>
          <w:spacing w:val="0"/>
          <w:w w:val="100"/>
          <w:kern w:val="0"/>
          <w:position w:val="0"/>
          <w:szCs w:val="24"/>
          <w:highlight w:val="none"/>
          <w:lang w:val="en-US" w:eastAsia="zh-CN"/>
        </w:rPr>
        <w:t>，</w:t>
      </w:r>
      <w:r>
        <w:rPr>
          <w:rFonts w:hint="default" w:ascii="Times New Roman" w:hAnsi="Times New Roman" w:eastAsia="宋体" w:cs="Times New Roman"/>
          <w:caps w:val="0"/>
          <w:snapToGrid/>
          <w:color w:val="auto"/>
          <w:spacing w:val="0"/>
          <w:w w:val="100"/>
          <w:kern w:val="21"/>
          <w:position w:val="0"/>
          <w:highlight w:val="none"/>
        </w:rPr>
        <w:t>集中收集后</w:t>
      </w:r>
      <w:r>
        <w:rPr>
          <w:rFonts w:hint="eastAsia" w:ascii="Times New Roman" w:hAnsi="Times New Roman" w:eastAsia="宋体" w:cs="Times New Roman"/>
          <w:caps w:val="0"/>
          <w:snapToGrid/>
          <w:color w:val="auto"/>
          <w:spacing w:val="0"/>
          <w:w w:val="100"/>
          <w:kern w:val="21"/>
          <w:position w:val="0"/>
          <w:highlight w:val="none"/>
          <w:lang w:val="en-US" w:eastAsia="zh-CN"/>
        </w:rPr>
        <w:t>外售于废品回收站</w:t>
      </w:r>
      <w:r>
        <w:rPr>
          <w:rFonts w:hint="default" w:ascii="Times New Roman" w:hAnsi="Times New Roman" w:eastAsia="宋体" w:cs="Times New Roman"/>
          <w:caps w:val="0"/>
          <w:snapToGrid/>
          <w:color w:val="auto"/>
          <w:spacing w:val="0"/>
          <w:w w:val="100"/>
          <w:kern w:val="21"/>
          <w:position w:val="0"/>
          <w:highlight w:val="none"/>
        </w:rPr>
        <w:t>，满足《一般工业固体废物贮存和填埋污染控制标准》（GB18599-2020）中的相关规定。</w:t>
      </w:r>
    </w:p>
    <w:p w14:paraId="6D9DB5B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textAlignment w:val="auto"/>
        <w:outlineLvl w:val="9"/>
        <w:rPr>
          <w:rFonts w:hint="default" w:ascii="Times New Roman" w:hAnsi="Times New Roman" w:eastAsia="宋体" w:cs="Times New Roman"/>
          <w:caps w:val="0"/>
          <w:snapToGrid/>
          <w:color w:val="auto"/>
          <w:spacing w:val="0"/>
          <w:w w:val="100"/>
          <w:kern w:val="21"/>
          <w:position w:val="0"/>
          <w:highlight w:val="none"/>
        </w:rPr>
      </w:pPr>
      <w:r>
        <w:rPr>
          <w:rStyle w:val="37"/>
          <w:rFonts w:hint="default"/>
          <w:color w:val="auto"/>
          <w:spacing w:val="0"/>
          <w:w w:val="100"/>
          <w:position w:val="0"/>
          <w:highlight w:val="none"/>
        </w:rPr>
        <w:t>对于项目产生的</w:t>
      </w:r>
      <w:r>
        <w:rPr>
          <w:rFonts w:hint="default" w:ascii="Times New Roman" w:hAnsi="Times New Roman" w:eastAsia="宋体" w:cs="Times New Roman"/>
          <w:caps w:val="0"/>
          <w:snapToGrid/>
          <w:color w:val="auto"/>
          <w:spacing w:val="0"/>
          <w:w w:val="100"/>
          <w:kern w:val="0"/>
          <w:position w:val="0"/>
          <w:highlight w:val="none"/>
        </w:rPr>
        <w:t>沾油废手套、抹布</w:t>
      </w:r>
      <w:r>
        <w:rPr>
          <w:rFonts w:hint="eastAsia" w:cs="Times New Roman"/>
          <w:caps w:val="0"/>
          <w:snapToGrid/>
          <w:color w:val="auto"/>
          <w:spacing w:val="0"/>
          <w:w w:val="100"/>
          <w:kern w:val="0"/>
          <w:position w:val="0"/>
          <w:highlight w:val="none"/>
          <w:lang w:eastAsia="zh-CN"/>
        </w:rPr>
        <w:t>、</w:t>
      </w:r>
      <w:r>
        <w:rPr>
          <w:rFonts w:hint="default" w:ascii="Times New Roman" w:hAnsi="Times New Roman" w:eastAsia="宋体" w:cs="Times New Roman"/>
          <w:caps w:val="0"/>
          <w:snapToGrid/>
          <w:color w:val="auto"/>
          <w:spacing w:val="0"/>
          <w:w w:val="100"/>
          <w:kern w:val="0"/>
          <w:position w:val="0"/>
          <w:highlight w:val="none"/>
        </w:rPr>
        <w:t>废机油</w:t>
      </w:r>
      <w:r>
        <w:rPr>
          <w:rFonts w:hint="eastAsia" w:cs="Times New Roman"/>
          <w:caps w:val="0"/>
          <w:snapToGrid/>
          <w:color w:val="auto"/>
          <w:spacing w:val="0"/>
          <w:w w:val="100"/>
          <w:kern w:val="0"/>
          <w:position w:val="0"/>
          <w:highlight w:val="none"/>
          <w:lang w:eastAsia="zh-CN"/>
        </w:rPr>
        <w:t>、</w:t>
      </w:r>
      <w:r>
        <w:rPr>
          <w:rFonts w:hint="default" w:ascii="Times New Roman" w:hAnsi="Times New Roman" w:eastAsia="宋体" w:cs="Times New Roman"/>
          <w:caps w:val="0"/>
          <w:snapToGrid/>
          <w:color w:val="auto"/>
          <w:spacing w:val="0"/>
          <w:w w:val="100"/>
          <w:kern w:val="0"/>
          <w:position w:val="0"/>
          <w:highlight w:val="none"/>
        </w:rPr>
        <w:t>废机油桶</w:t>
      </w:r>
      <w:r>
        <w:rPr>
          <w:rFonts w:hint="eastAsia" w:cs="Times New Roman"/>
          <w:caps w:val="0"/>
          <w:snapToGrid/>
          <w:color w:val="auto"/>
          <w:spacing w:val="0"/>
          <w:w w:val="100"/>
          <w:kern w:val="0"/>
          <w:position w:val="0"/>
          <w:highlight w:val="none"/>
          <w:lang w:eastAsia="zh-CN"/>
        </w:rPr>
        <w:t>、</w:t>
      </w:r>
      <w:r>
        <w:rPr>
          <w:rFonts w:hint="default" w:ascii="Times New Roman" w:hAnsi="Times New Roman" w:eastAsia="宋体" w:cs="Times New Roman"/>
          <w:caps w:val="0"/>
          <w:snapToGrid/>
          <w:color w:val="auto"/>
          <w:spacing w:val="0"/>
          <w:w w:val="100"/>
          <w:kern w:val="0"/>
          <w:position w:val="0"/>
          <w:highlight w:val="none"/>
        </w:rPr>
        <w:t>废催化剂</w:t>
      </w:r>
      <w:r>
        <w:rPr>
          <w:rFonts w:hint="eastAsia" w:cs="Times New Roman"/>
          <w:caps w:val="0"/>
          <w:snapToGrid/>
          <w:color w:val="auto"/>
          <w:spacing w:val="0"/>
          <w:w w:val="100"/>
          <w:kern w:val="0"/>
          <w:position w:val="0"/>
          <w:highlight w:val="none"/>
          <w:lang w:eastAsia="zh-CN"/>
        </w:rPr>
        <w:t>、</w:t>
      </w:r>
      <w:r>
        <w:rPr>
          <w:rFonts w:hint="eastAsia" w:cs="Times New Roman"/>
          <w:caps w:val="0"/>
          <w:snapToGrid/>
          <w:color w:val="auto"/>
          <w:spacing w:val="0"/>
          <w:w w:val="100"/>
          <w:kern w:val="0"/>
          <w:position w:val="0"/>
          <w:highlight w:val="none"/>
          <w:lang w:val="en-US" w:eastAsia="zh-CN"/>
        </w:rPr>
        <w:t>废过滤棉、</w:t>
      </w:r>
      <w:r>
        <w:rPr>
          <w:rFonts w:hint="default" w:ascii="Times New Roman" w:hAnsi="Times New Roman" w:eastAsia="宋体" w:cs="Times New Roman"/>
          <w:caps w:val="0"/>
          <w:snapToGrid/>
          <w:color w:val="auto"/>
          <w:spacing w:val="0"/>
          <w:w w:val="100"/>
          <w:kern w:val="0"/>
          <w:position w:val="0"/>
          <w:highlight w:val="none"/>
        </w:rPr>
        <w:t>废活性炭</w:t>
      </w:r>
      <w:r>
        <w:rPr>
          <w:rStyle w:val="37"/>
          <w:rFonts w:hint="default"/>
          <w:color w:val="auto"/>
          <w:spacing w:val="0"/>
          <w:w w:val="100"/>
          <w:position w:val="0"/>
          <w:highlight w:val="none"/>
        </w:rPr>
        <w:t>等集中收集后暂存于</w:t>
      </w:r>
      <w:r>
        <w:rPr>
          <w:rStyle w:val="37"/>
          <w:rFonts w:hint="default"/>
          <w:color w:val="auto"/>
          <w:spacing w:val="0"/>
          <w:w w:val="100"/>
          <w:position w:val="0"/>
          <w:highlight w:val="none"/>
          <w:lang w:eastAsia="zh-CN"/>
        </w:rPr>
        <w:t>危废贮存库</w:t>
      </w:r>
      <w:r>
        <w:rPr>
          <w:rStyle w:val="37"/>
          <w:rFonts w:hint="default"/>
          <w:color w:val="auto"/>
          <w:spacing w:val="0"/>
          <w:w w:val="100"/>
          <w:position w:val="0"/>
          <w:highlight w:val="none"/>
        </w:rPr>
        <w:t>内，定期交</w:t>
      </w:r>
      <w:r>
        <w:rPr>
          <w:rStyle w:val="37"/>
          <w:rFonts w:hint="eastAsia"/>
          <w:color w:val="auto"/>
          <w:spacing w:val="0"/>
          <w:w w:val="100"/>
          <w:position w:val="0"/>
          <w:highlight w:val="none"/>
          <w:lang w:val="en-US" w:eastAsia="zh-CN"/>
        </w:rPr>
        <w:t>由</w:t>
      </w:r>
      <w:r>
        <w:rPr>
          <w:rStyle w:val="37"/>
          <w:rFonts w:hint="default"/>
          <w:color w:val="auto"/>
          <w:spacing w:val="0"/>
          <w:w w:val="100"/>
          <w:position w:val="0"/>
          <w:highlight w:val="none"/>
        </w:rPr>
        <w:t>有资质单位处置，满足《危险废物</w:t>
      </w:r>
      <w:r>
        <w:rPr>
          <w:rFonts w:hint="default" w:ascii="Times New Roman" w:hAnsi="Times New Roman" w:eastAsia="宋体" w:cs="Times New Roman"/>
          <w:caps w:val="0"/>
          <w:snapToGrid/>
          <w:color w:val="auto"/>
          <w:spacing w:val="0"/>
          <w:w w:val="100"/>
          <w:kern w:val="21"/>
          <w:position w:val="0"/>
          <w:highlight w:val="none"/>
        </w:rPr>
        <w:t>贮存污染控制标准》（GB18597-2023）的相关规定。</w:t>
      </w:r>
    </w:p>
    <w:p w14:paraId="58E4DE7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textAlignment w:val="auto"/>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综上，项目固废均得到合理处置，固废污染治理措施可行。</w:t>
      </w:r>
    </w:p>
    <w:p w14:paraId="7EF9CFFC">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010" w:name="_Toc19669"/>
      <w:bookmarkStart w:id="1011" w:name="_Toc29119"/>
      <w:bookmarkStart w:id="1012" w:name="_Toc22210"/>
      <w:bookmarkStart w:id="1013" w:name="_Toc4648"/>
      <w:r>
        <w:rPr>
          <w:rFonts w:hint="default"/>
          <w:color w:val="auto"/>
          <w:spacing w:val="0"/>
          <w:w w:val="100"/>
          <w:position w:val="0"/>
          <w:highlight w:val="none"/>
          <w:lang w:val="en-US" w:eastAsia="zh-CN"/>
        </w:rPr>
        <w:t>9.</w:t>
      </w:r>
      <w:r>
        <w:rPr>
          <w:rFonts w:hint="eastAsia"/>
          <w:color w:val="auto"/>
          <w:spacing w:val="0"/>
          <w:w w:val="100"/>
          <w:position w:val="0"/>
          <w:highlight w:val="none"/>
          <w:lang w:val="en-US" w:eastAsia="zh-CN"/>
        </w:rPr>
        <w:t>5</w:t>
      </w:r>
      <w:r>
        <w:rPr>
          <w:rFonts w:hint="default"/>
          <w:color w:val="auto"/>
          <w:spacing w:val="0"/>
          <w:w w:val="100"/>
          <w:position w:val="0"/>
          <w:highlight w:val="none"/>
          <w:lang w:val="en-US" w:eastAsia="zh-CN"/>
        </w:rPr>
        <w:t>环境影响经济损益分析结论</w:t>
      </w:r>
      <w:bookmarkEnd w:id="1010"/>
      <w:bookmarkEnd w:id="1011"/>
      <w:bookmarkEnd w:id="1012"/>
      <w:bookmarkEnd w:id="1013"/>
    </w:p>
    <w:p w14:paraId="680A1F8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textAlignment w:val="auto"/>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在经济效益方面，项目投资利润较高</w:t>
      </w:r>
      <w:r>
        <w:rPr>
          <w:rFonts w:hint="eastAsia" w:cs="Times New Roman"/>
          <w:caps w:val="0"/>
          <w:snapToGrid/>
          <w:color w:val="auto"/>
          <w:spacing w:val="0"/>
          <w:w w:val="100"/>
          <w:kern w:val="21"/>
          <w:position w:val="0"/>
          <w:highlight w:val="none"/>
          <w:lang w:eastAsia="zh-CN"/>
        </w:rPr>
        <w:t>，具</w:t>
      </w:r>
      <w:r>
        <w:rPr>
          <w:rFonts w:hint="default" w:ascii="Times New Roman" w:hAnsi="Times New Roman" w:eastAsia="宋体" w:cs="Times New Roman"/>
          <w:caps w:val="0"/>
          <w:snapToGrid/>
          <w:color w:val="auto"/>
          <w:spacing w:val="0"/>
          <w:w w:val="100"/>
          <w:kern w:val="21"/>
          <w:position w:val="0"/>
          <w:highlight w:val="none"/>
        </w:rPr>
        <w:t>有较好的经济效益；在社会效益方面，本项目提供就业和地方税收，对促进</w:t>
      </w:r>
      <w:r>
        <w:rPr>
          <w:rFonts w:hint="eastAsia" w:cs="Times New Roman"/>
          <w:caps w:val="0"/>
          <w:snapToGrid/>
          <w:color w:val="auto"/>
          <w:spacing w:val="0"/>
          <w:w w:val="100"/>
          <w:kern w:val="21"/>
          <w:position w:val="0"/>
          <w:highlight w:val="none"/>
          <w:lang w:eastAsia="zh-CN"/>
        </w:rPr>
        <w:t>地方</w:t>
      </w:r>
      <w:r>
        <w:rPr>
          <w:rFonts w:hint="default" w:ascii="Times New Roman" w:hAnsi="Times New Roman" w:eastAsia="宋体" w:cs="Times New Roman"/>
          <w:caps w:val="0"/>
          <w:snapToGrid/>
          <w:color w:val="auto"/>
          <w:spacing w:val="0"/>
          <w:w w:val="100"/>
          <w:kern w:val="21"/>
          <w:position w:val="0"/>
          <w:highlight w:val="none"/>
        </w:rPr>
        <w:t>经济发展有重要贡献；在环境效益方面，本项目的建设和运营会对周围环境产生一定的影响，但在工程建设中，只要严格执行有关的法律法规，环保措施执行“三同时”制度，可保证对环境的影响控制在允许范围内。以上三方面的分析结果表明，本项目的实施将有助于当地社会效益、经济效益、环境效益的统一协调发展，对环境的影响损失较小。</w:t>
      </w:r>
    </w:p>
    <w:p w14:paraId="58E7FBC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textAlignment w:val="auto"/>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从环境经济效益角度分析，项目的建设是可行的。</w:t>
      </w:r>
    </w:p>
    <w:p w14:paraId="7977D6BC">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014" w:name="_Toc3518"/>
      <w:bookmarkStart w:id="1015" w:name="_Toc13502"/>
      <w:bookmarkStart w:id="1016" w:name="_Toc4514"/>
      <w:bookmarkStart w:id="1017" w:name="_Toc12765"/>
      <w:r>
        <w:rPr>
          <w:rFonts w:hint="default"/>
          <w:color w:val="auto"/>
          <w:spacing w:val="0"/>
          <w:w w:val="100"/>
          <w:position w:val="0"/>
          <w:highlight w:val="none"/>
          <w:lang w:val="en-US" w:eastAsia="zh-CN"/>
        </w:rPr>
        <w:t>9.</w:t>
      </w:r>
      <w:r>
        <w:rPr>
          <w:rFonts w:hint="eastAsia"/>
          <w:color w:val="auto"/>
          <w:spacing w:val="0"/>
          <w:w w:val="100"/>
          <w:position w:val="0"/>
          <w:highlight w:val="none"/>
          <w:lang w:val="en-US" w:eastAsia="zh-CN"/>
        </w:rPr>
        <w:t>6</w:t>
      </w:r>
      <w:r>
        <w:rPr>
          <w:rFonts w:hint="default"/>
          <w:color w:val="auto"/>
          <w:spacing w:val="0"/>
          <w:w w:val="100"/>
          <w:position w:val="0"/>
          <w:highlight w:val="none"/>
          <w:lang w:val="en-US" w:eastAsia="zh-CN"/>
        </w:rPr>
        <w:t>环境管理与监测计划总结</w:t>
      </w:r>
      <w:bookmarkEnd w:id="1014"/>
      <w:bookmarkEnd w:id="1015"/>
      <w:bookmarkEnd w:id="1016"/>
      <w:bookmarkEnd w:id="1017"/>
    </w:p>
    <w:p w14:paraId="21ABCEB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textAlignment w:val="auto"/>
        <w:outlineLvl w:val="9"/>
        <w:rPr>
          <w:rFonts w:hint="default" w:ascii="Times New Roman" w:hAnsi="Times New Roman" w:eastAsia="宋体" w:cs="Times New Roman"/>
          <w:caps w:val="0"/>
          <w:snapToGrid/>
          <w:color w:val="auto"/>
          <w:spacing w:val="0"/>
          <w:w w:val="100"/>
          <w:kern w:val="21"/>
          <w:position w:val="0"/>
          <w:highlight w:val="none"/>
        </w:rPr>
      </w:pPr>
      <w:r>
        <w:rPr>
          <w:rFonts w:hint="default" w:ascii="Times New Roman" w:hAnsi="Times New Roman" w:eastAsia="宋体" w:cs="Times New Roman"/>
          <w:caps w:val="0"/>
          <w:snapToGrid/>
          <w:color w:val="auto"/>
          <w:spacing w:val="0"/>
          <w:w w:val="100"/>
          <w:kern w:val="21"/>
          <w:position w:val="0"/>
          <w:highlight w:val="none"/>
        </w:rPr>
        <w:t>本项目实施后</w:t>
      </w:r>
      <w:r>
        <w:rPr>
          <w:rFonts w:hint="eastAsia" w:cs="Times New Roman"/>
          <w:caps w:val="0"/>
          <w:snapToGrid/>
          <w:color w:val="auto"/>
          <w:spacing w:val="0"/>
          <w:w w:val="100"/>
          <w:kern w:val="21"/>
          <w:position w:val="0"/>
          <w:highlight w:val="none"/>
          <w:lang w:val="en-US" w:eastAsia="zh-CN"/>
        </w:rPr>
        <w:t>应建立</w:t>
      </w:r>
      <w:r>
        <w:rPr>
          <w:rFonts w:hint="default" w:ascii="Times New Roman" w:hAnsi="Times New Roman" w:eastAsia="宋体" w:cs="Times New Roman"/>
          <w:caps w:val="0"/>
          <w:snapToGrid/>
          <w:color w:val="auto"/>
          <w:spacing w:val="0"/>
          <w:w w:val="100"/>
          <w:kern w:val="21"/>
          <w:position w:val="0"/>
          <w:highlight w:val="none"/>
        </w:rPr>
        <w:t>工程环境保护管理体系，</w:t>
      </w:r>
      <w:r>
        <w:rPr>
          <w:rFonts w:hint="eastAsia" w:cs="Times New Roman"/>
          <w:caps w:val="0"/>
          <w:snapToGrid/>
          <w:color w:val="auto"/>
          <w:spacing w:val="0"/>
          <w:w w:val="100"/>
          <w:kern w:val="21"/>
          <w:position w:val="0"/>
          <w:highlight w:val="none"/>
          <w:lang w:val="en-US" w:eastAsia="zh-CN"/>
        </w:rPr>
        <w:t>并</w:t>
      </w:r>
      <w:r>
        <w:rPr>
          <w:rFonts w:hint="default" w:ascii="Times New Roman" w:hAnsi="Times New Roman" w:eastAsia="宋体" w:cs="Times New Roman"/>
          <w:caps w:val="0"/>
          <w:snapToGrid/>
          <w:color w:val="auto"/>
          <w:spacing w:val="0"/>
          <w:w w:val="100"/>
          <w:kern w:val="21"/>
          <w:position w:val="0"/>
          <w:highlight w:val="none"/>
        </w:rPr>
        <w:t>严格按照已制定环保制度执行。项目投入运行前应尽快按照相关法律法规及技术规范</w:t>
      </w:r>
      <w:r>
        <w:rPr>
          <w:rFonts w:hint="eastAsia" w:cs="Times New Roman"/>
          <w:caps w:val="0"/>
          <w:snapToGrid/>
          <w:color w:val="auto"/>
          <w:spacing w:val="0"/>
          <w:w w:val="100"/>
          <w:kern w:val="21"/>
          <w:position w:val="0"/>
          <w:highlight w:val="none"/>
          <w:lang w:val="en-US" w:eastAsia="zh-CN"/>
        </w:rPr>
        <w:t>申领</w:t>
      </w:r>
      <w:r>
        <w:rPr>
          <w:rFonts w:hint="default" w:ascii="Times New Roman" w:hAnsi="Times New Roman" w:eastAsia="宋体" w:cs="Times New Roman"/>
          <w:caps w:val="0"/>
          <w:snapToGrid/>
          <w:color w:val="auto"/>
          <w:spacing w:val="0"/>
          <w:w w:val="100"/>
          <w:kern w:val="21"/>
          <w:position w:val="0"/>
          <w:highlight w:val="none"/>
        </w:rPr>
        <w:t>排污许可证，并严格按照排污许可证自行</w:t>
      </w:r>
      <w:r>
        <w:rPr>
          <w:rFonts w:hint="default" w:ascii="Times New Roman" w:hAnsi="Times New Roman" w:eastAsia="宋体" w:cs="Times New Roman"/>
          <w:caps w:val="0"/>
          <w:snapToGrid/>
          <w:color w:val="auto"/>
          <w:spacing w:val="0"/>
          <w:w w:val="100"/>
          <w:kern w:val="21"/>
          <w:position w:val="0"/>
          <w:highlight w:val="none"/>
          <w:lang w:eastAsia="zh-CN"/>
        </w:rPr>
        <w:t>监测</w:t>
      </w:r>
      <w:r>
        <w:rPr>
          <w:rFonts w:hint="default" w:ascii="Times New Roman" w:hAnsi="Times New Roman" w:eastAsia="宋体" w:cs="Times New Roman"/>
          <w:caps w:val="0"/>
          <w:snapToGrid/>
          <w:color w:val="auto"/>
          <w:spacing w:val="0"/>
          <w:w w:val="100"/>
          <w:kern w:val="21"/>
          <w:position w:val="0"/>
          <w:highlight w:val="none"/>
        </w:rPr>
        <w:t>方案进行监测。</w:t>
      </w:r>
    </w:p>
    <w:p w14:paraId="0C318FBF">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018" w:name="_Toc12540"/>
      <w:r>
        <w:rPr>
          <w:rFonts w:hint="default"/>
          <w:color w:val="auto"/>
          <w:spacing w:val="0"/>
          <w:w w:val="100"/>
          <w:position w:val="0"/>
          <w:highlight w:val="none"/>
          <w:lang w:val="en-US" w:eastAsia="zh-CN"/>
        </w:rPr>
        <w:t>9.</w:t>
      </w:r>
      <w:r>
        <w:rPr>
          <w:rFonts w:hint="eastAsia"/>
          <w:color w:val="auto"/>
          <w:spacing w:val="0"/>
          <w:w w:val="100"/>
          <w:position w:val="0"/>
          <w:highlight w:val="none"/>
          <w:lang w:val="en-US" w:eastAsia="zh-CN"/>
        </w:rPr>
        <w:t>7</w:t>
      </w:r>
      <w:r>
        <w:rPr>
          <w:rFonts w:hint="default"/>
          <w:color w:val="auto"/>
          <w:spacing w:val="0"/>
          <w:w w:val="100"/>
          <w:position w:val="0"/>
          <w:highlight w:val="none"/>
          <w:lang w:val="en-US" w:eastAsia="zh-CN"/>
        </w:rPr>
        <w:t>公众参与结论</w:t>
      </w:r>
      <w:bookmarkEnd w:id="1018"/>
    </w:p>
    <w:p w14:paraId="2141513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textAlignment w:val="auto"/>
        <w:outlineLvl w:val="9"/>
        <w:rPr>
          <w:rFonts w:hint="default" w:ascii="Times New Roman" w:hAnsi="Times New Roman" w:eastAsia="宋体" w:cs="Times New Roman"/>
          <w:caps w:val="0"/>
          <w:snapToGrid/>
          <w:color w:val="auto"/>
          <w:spacing w:val="0"/>
          <w:w w:val="100"/>
          <w:kern w:val="21"/>
          <w:position w:val="0"/>
          <w:sz w:val="24"/>
          <w:szCs w:val="24"/>
          <w:highlight w:val="none"/>
          <w:lang w:eastAsia="zh-CN"/>
        </w:rPr>
      </w:pPr>
      <w:r>
        <w:rPr>
          <w:rFonts w:hint="default" w:ascii="Times New Roman" w:hAnsi="Times New Roman" w:eastAsia="宋体" w:cs="Times New Roman"/>
          <w:snapToGrid/>
          <w:color w:val="auto"/>
          <w:spacing w:val="0"/>
          <w:w w:val="100"/>
          <w:kern w:val="21"/>
          <w:position w:val="0"/>
          <w:sz w:val="24"/>
          <w:szCs w:val="24"/>
          <w:highlight w:val="none"/>
        </w:rPr>
        <w:t>根据《公众参与说明书》：工程公众参与采取多种形式，使工程所在区域相关部门、公众能够充分了解本项目建设对环境及个人的影响情况并反映其意愿，避免在工程实施过程中对公众利益构成危害或威胁。结果表明，</w:t>
      </w:r>
      <w:r>
        <w:rPr>
          <w:rFonts w:hint="default" w:ascii="Times New Roman" w:hAnsi="Times New Roman" w:eastAsia="宋体" w:cs="Times New Roman"/>
          <w:snapToGrid/>
          <w:color w:val="auto"/>
          <w:spacing w:val="0"/>
          <w:w w:val="100"/>
          <w:kern w:val="21"/>
          <w:position w:val="0"/>
          <w:sz w:val="24"/>
          <w:szCs w:val="24"/>
          <w:highlight w:val="none"/>
          <w:lang w:val="en-US" w:eastAsia="zh-CN" w:bidi="ar-SA"/>
        </w:rPr>
        <w:t>公示期间建设单位及环评单位均未收到任何公众意见及反馈</w:t>
      </w:r>
      <w:r>
        <w:rPr>
          <w:rFonts w:hint="default" w:ascii="Times New Roman" w:hAnsi="Times New Roman" w:eastAsia="宋体" w:cs="Times New Roman"/>
          <w:caps w:val="0"/>
          <w:snapToGrid/>
          <w:color w:val="auto"/>
          <w:spacing w:val="0"/>
          <w:w w:val="100"/>
          <w:kern w:val="21"/>
          <w:position w:val="0"/>
          <w:highlight w:val="none"/>
        </w:rPr>
        <w:t>。</w:t>
      </w:r>
    </w:p>
    <w:p w14:paraId="48A8730E">
      <w:pPr>
        <w:pStyle w:val="3"/>
        <w:keepNext w:val="0"/>
        <w:keepLines w:val="0"/>
        <w:pageBreakBefore w:val="0"/>
        <w:widowControl w:val="0"/>
        <w:kinsoku/>
        <w:wordWrap/>
        <w:overflowPunct/>
        <w:topLinePunct w:val="0"/>
        <w:autoSpaceDE/>
        <w:autoSpaceDN/>
        <w:bidi w:val="0"/>
        <w:adjustRightInd/>
        <w:snapToGrid/>
        <w:rPr>
          <w:rFonts w:hint="default"/>
          <w:color w:val="auto"/>
          <w:spacing w:val="0"/>
          <w:w w:val="100"/>
          <w:position w:val="0"/>
          <w:highlight w:val="none"/>
          <w:lang w:val="en-US" w:eastAsia="zh-CN"/>
        </w:rPr>
      </w:pPr>
      <w:bookmarkStart w:id="1019" w:name="_Toc12966"/>
      <w:bookmarkStart w:id="1020" w:name="_Toc10208"/>
      <w:bookmarkStart w:id="1021" w:name="_Toc775"/>
      <w:bookmarkStart w:id="1022" w:name="_Toc13810"/>
      <w:r>
        <w:rPr>
          <w:rFonts w:hint="default"/>
          <w:color w:val="auto"/>
          <w:spacing w:val="0"/>
          <w:w w:val="100"/>
          <w:position w:val="0"/>
          <w:highlight w:val="none"/>
          <w:lang w:val="en-US" w:eastAsia="zh-CN"/>
        </w:rPr>
        <w:t>9.</w:t>
      </w:r>
      <w:bookmarkEnd w:id="1019"/>
      <w:bookmarkStart w:id="1023" w:name="_Toc13739"/>
      <w:r>
        <w:rPr>
          <w:rFonts w:hint="eastAsia"/>
          <w:color w:val="auto"/>
          <w:spacing w:val="0"/>
          <w:w w:val="100"/>
          <w:position w:val="0"/>
          <w:highlight w:val="none"/>
          <w:lang w:val="en-US" w:eastAsia="zh-CN"/>
        </w:rPr>
        <w:t>8</w:t>
      </w:r>
      <w:r>
        <w:rPr>
          <w:rFonts w:hint="default"/>
          <w:color w:val="auto"/>
          <w:spacing w:val="0"/>
          <w:w w:val="100"/>
          <w:position w:val="0"/>
          <w:highlight w:val="none"/>
          <w:lang w:val="en-US" w:eastAsia="zh-CN"/>
        </w:rPr>
        <w:t>综合结论</w:t>
      </w:r>
      <w:bookmarkEnd w:id="1020"/>
      <w:bookmarkEnd w:id="1021"/>
      <w:bookmarkEnd w:id="1022"/>
      <w:bookmarkEnd w:id="1023"/>
    </w:p>
    <w:p w14:paraId="7BE0AACA">
      <w:pPr>
        <w:keepNext w:val="0"/>
        <w:keepLines w:val="0"/>
        <w:pageBreakBefore w:val="0"/>
        <w:widowControl w:val="0"/>
        <w:kinsoku/>
        <w:wordWrap/>
        <w:overflowPunct/>
        <w:topLinePunct w:val="0"/>
        <w:autoSpaceDE/>
        <w:autoSpaceDN/>
        <w:bidi w:val="0"/>
        <w:adjustRightInd/>
        <w:snapToGrid/>
        <w:ind w:left="0" w:leftChars="0" w:right="0" w:rightChars="0" w:firstLine="480" w:firstLineChars="200"/>
        <w:outlineLvl w:val="9"/>
        <w:rPr>
          <w:rFonts w:hint="default"/>
          <w:color w:val="auto"/>
          <w:spacing w:val="0"/>
          <w:w w:val="100"/>
          <w:position w:val="0"/>
          <w:highlight w:val="none"/>
          <w:lang w:val="en-US" w:eastAsia="zh-CN"/>
        </w:rPr>
      </w:pPr>
      <w:r>
        <w:rPr>
          <w:rFonts w:hint="default" w:ascii="Times New Roman" w:hAnsi="Times New Roman" w:eastAsia="宋体" w:cs="Times New Roman"/>
          <w:caps w:val="0"/>
          <w:snapToGrid/>
          <w:color w:val="auto"/>
          <w:spacing w:val="0"/>
          <w:w w:val="100"/>
          <w:kern w:val="21"/>
          <w:position w:val="0"/>
          <w:szCs w:val="24"/>
          <w:highlight w:val="none"/>
        </w:rPr>
        <w:t>项目符合国家产业政策，选址符合当地规划，平面布局基本合理。项目选址区域无明显环境制约因素，采取环评提出的环保措施和环境风险防范措施可实现“三废”和噪声达标排放，环境风险</w:t>
      </w:r>
      <w:r>
        <w:rPr>
          <w:rFonts w:hint="default" w:ascii="Times New Roman" w:hAnsi="Times New Roman" w:eastAsia="宋体" w:cs="Times New Roman"/>
          <w:caps w:val="0"/>
          <w:snapToGrid/>
          <w:color w:val="auto"/>
          <w:spacing w:val="0"/>
          <w:w w:val="100"/>
          <w:kern w:val="21"/>
          <w:position w:val="0"/>
          <w:szCs w:val="24"/>
          <w:highlight w:val="none"/>
          <w:lang w:val="en-US" w:eastAsia="zh-CN"/>
        </w:rPr>
        <w:t>可防可控</w:t>
      </w:r>
      <w:r>
        <w:rPr>
          <w:rFonts w:hint="default" w:ascii="Times New Roman" w:hAnsi="Times New Roman" w:eastAsia="宋体" w:cs="Times New Roman"/>
          <w:caps w:val="0"/>
          <w:snapToGrid/>
          <w:color w:val="auto"/>
          <w:spacing w:val="0"/>
          <w:w w:val="100"/>
          <w:kern w:val="21"/>
          <w:position w:val="0"/>
          <w:szCs w:val="24"/>
          <w:highlight w:val="none"/>
        </w:rPr>
        <w:t>；项目对各环境要素的影响小，不会改变区域的环境功能，不会造成环境质量超标。</w:t>
      </w:r>
      <w:r>
        <w:rPr>
          <w:rFonts w:hint="default" w:ascii="Times New Roman" w:hAnsi="Times New Roman" w:eastAsia="宋体" w:cs="Times New Roman"/>
          <w:caps w:val="0"/>
          <w:snapToGrid/>
          <w:color w:val="auto"/>
          <w:spacing w:val="0"/>
          <w:w w:val="100"/>
          <w:kern w:val="21"/>
          <w:position w:val="0"/>
          <w:highlight w:val="none"/>
        </w:rPr>
        <w:t>建设单位如能按照环境保护的规范要求认真落实治理和防治措施，并加强项目运行中的运行管理和污染监测，并注意检修及维护。在此基础上，保证各种治理措施正常运行的情况下，从环境保护角度出发，项目在认真落实环评报告和设计提出的各项环保措施，切实执行“三同时”的前提下，是可行的。</w:t>
      </w:r>
    </w:p>
    <w:sectPr>
      <w:pgSz w:w="11906" w:h="16838"/>
      <w:pgMar w:top="1440" w:right="1800" w:bottom="1440" w:left="1800" w:header="851" w:footer="850"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FangSong_GB2312">
    <w:altName w:val="仿宋_GB2312"/>
    <w:panose1 w:val="00000000000000000000"/>
    <w:charset w:val="00"/>
    <w:family w:val="auto"/>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Segoe UI">
    <w:panose1 w:val="020B0502040204020203"/>
    <w:charset w:val="00"/>
    <w:family w:val="auto"/>
    <w:pitch w:val="default"/>
    <w:sig w:usb0="E4002EFF" w:usb1="C000E47F" w:usb2="00000009" w:usb3="00000000" w:csb0="200001FF"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E78C3">
    <w:pPr>
      <w:pStyle w:val="16"/>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933833">
                          <w:pPr>
                            <w:pStyle w:val="1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33933833">
                    <w:pPr>
                      <w:pStyle w:val="1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D31CE">
    <w:pPr>
      <w:pStyle w:val="16"/>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A76BC9">
                          <w:pPr>
                            <w:pStyle w:val="16"/>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01A76BC9">
                    <w:pPr>
                      <w:pStyle w:val="16"/>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16C29">
    <w:pPr>
      <w:spacing w:line="169" w:lineRule="auto"/>
      <w:ind w:left="4044"/>
      <w:rPr>
        <w:rFonts w:ascii="Calibri" w:hAnsi="Calibri" w:eastAsia="Calibri" w:cs="Calibri"/>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203FCC">
                          <w:pPr>
                            <w:pStyle w:val="16"/>
                          </w:pPr>
                          <w:r>
                            <w:fldChar w:fldCharType="begin"/>
                          </w:r>
                          <w:r>
                            <w:instrText xml:space="preserve"> PAGE  \* MERGEFORMAT </w:instrText>
                          </w:r>
                          <w:r>
                            <w:fldChar w:fldCharType="separate"/>
                          </w:r>
                          <w:r>
                            <w:t>72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1A203FCC">
                    <w:pPr>
                      <w:pStyle w:val="16"/>
                    </w:pPr>
                    <w:r>
                      <w:fldChar w:fldCharType="begin"/>
                    </w:r>
                    <w:r>
                      <w:instrText xml:space="preserve"> PAGE  \* MERGEFORMAT </w:instrText>
                    </w:r>
                    <w:r>
                      <w:fldChar w:fldCharType="separate"/>
                    </w:r>
                    <w:r>
                      <w:t>72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083FC">
    <w:pPr>
      <w:spacing w:line="169" w:lineRule="auto"/>
      <w:ind w:left="4038"/>
      <w:rPr>
        <w:rFonts w:ascii="Calibri" w:hAnsi="Calibri" w:eastAsia="Calibri" w:cs="Calibri"/>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281AD6">
                          <w:pPr>
                            <w:pStyle w:val="16"/>
                          </w:pPr>
                          <w:r>
                            <w:fldChar w:fldCharType="begin"/>
                          </w:r>
                          <w:r>
                            <w:instrText xml:space="preserve"> PAGE  \* MERGEFORMAT </w:instrText>
                          </w:r>
                          <w:r>
                            <w:fldChar w:fldCharType="separate"/>
                          </w:r>
                          <w:r>
                            <w:t>139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58281AD6">
                    <w:pPr>
                      <w:pStyle w:val="16"/>
                    </w:pPr>
                    <w:r>
                      <w:fldChar w:fldCharType="begin"/>
                    </w:r>
                    <w:r>
                      <w:instrText xml:space="preserve"> PAGE  \* MERGEFORMAT </w:instrText>
                    </w:r>
                    <w:r>
                      <w:fldChar w:fldCharType="separate"/>
                    </w:r>
                    <w:r>
                      <w:t>139</w:t>
                    </w:r>
                    <w:r>
                      <w:fldChar w:fldCharType="end"/>
                    </w:r>
                  </w:p>
                </w:txbxContent>
              </v:textbox>
            </v:shape>
          </w:pict>
        </mc:Fallback>
      </mc:AlternateContent>
    </w:r>
    <w:r>
      <w:rPr>
        <w:rFonts w:ascii="Calibri" w:hAnsi="Calibri" w:eastAsia="Calibri" w:cs="Calibri"/>
        <w:spacing w:val="-4"/>
        <w:sz w:val="18"/>
        <w:szCs w:val="18"/>
      </w:rPr>
      <w:t>307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78DBD">
    <w:pPr>
      <w:pStyle w:val="16"/>
      <w:ind w:left="0" w:leftChars="0" w:firstLine="0" w:firstLineChars="0"/>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DBA5E7">
                          <w:pPr>
                            <w:pStyle w:val="16"/>
                          </w:pPr>
                          <w:r>
                            <w:fldChar w:fldCharType="begin"/>
                          </w:r>
                          <w:r>
                            <w:instrText xml:space="preserve"> PAGE  \* MERGEFORMAT </w:instrText>
                          </w:r>
                          <w:r>
                            <w:fldChar w:fldCharType="separate"/>
                          </w:r>
                          <w:r>
                            <w:t>178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4DDBA5E7">
                    <w:pPr>
                      <w:pStyle w:val="16"/>
                    </w:pPr>
                    <w:r>
                      <w:fldChar w:fldCharType="begin"/>
                    </w:r>
                    <w:r>
                      <w:instrText xml:space="preserve"> PAGE  \* MERGEFORMAT </w:instrText>
                    </w:r>
                    <w:r>
                      <w:fldChar w:fldCharType="separate"/>
                    </w:r>
                    <w:r>
                      <w:t>178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1AC5F">
    <w:pPr>
      <w:pStyle w:val="1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A6ED6">
    <w:pPr>
      <w:pStyle w:val="1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4ACF0">
    <w:pPr>
      <w:pStyle w:val="17"/>
      <w:pBdr>
        <w:bottom w:val="none" w:color="auto" w:sz="0" w:space="1"/>
      </w:pBd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3D3C4">
    <w:pPr>
      <w:pStyle w:val="17"/>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709DCF"/>
    <w:multiLevelType w:val="singleLevel"/>
    <w:tmpl w:val="BB709DCF"/>
    <w:lvl w:ilvl="0" w:tentative="0">
      <w:start w:val="1"/>
      <w:numFmt w:val="bullet"/>
      <w:pStyle w:val="15"/>
      <w:lvlText w:val=""/>
      <w:lvlJc w:val="left"/>
      <w:pPr>
        <w:tabs>
          <w:tab w:val="left" w:pos="2040"/>
        </w:tabs>
        <w:ind w:left="204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0YzliMzJjMmI4OTA0Y2E5YmM5NjUzMjU3NTY0ZmMifQ=="/>
  </w:docVars>
  <w:rsids>
    <w:rsidRoot w:val="00000000"/>
    <w:rsid w:val="00065EB6"/>
    <w:rsid w:val="001315D9"/>
    <w:rsid w:val="00417EF4"/>
    <w:rsid w:val="00453B73"/>
    <w:rsid w:val="005C7758"/>
    <w:rsid w:val="00610597"/>
    <w:rsid w:val="00692E5C"/>
    <w:rsid w:val="00CA1E91"/>
    <w:rsid w:val="0119677B"/>
    <w:rsid w:val="012706AB"/>
    <w:rsid w:val="0140055C"/>
    <w:rsid w:val="01635D69"/>
    <w:rsid w:val="018B0435"/>
    <w:rsid w:val="01AD0D56"/>
    <w:rsid w:val="01C901A1"/>
    <w:rsid w:val="01EC3E90"/>
    <w:rsid w:val="02786C45"/>
    <w:rsid w:val="028043E0"/>
    <w:rsid w:val="02836333"/>
    <w:rsid w:val="02AF4EDD"/>
    <w:rsid w:val="02B20860"/>
    <w:rsid w:val="02D30974"/>
    <w:rsid w:val="032928CD"/>
    <w:rsid w:val="033346AE"/>
    <w:rsid w:val="035508BA"/>
    <w:rsid w:val="035644BB"/>
    <w:rsid w:val="039B5B6E"/>
    <w:rsid w:val="03B94246"/>
    <w:rsid w:val="03D51EDD"/>
    <w:rsid w:val="03DB3B26"/>
    <w:rsid w:val="03F531F0"/>
    <w:rsid w:val="03FB660C"/>
    <w:rsid w:val="04106C6A"/>
    <w:rsid w:val="04472FBC"/>
    <w:rsid w:val="04572F0C"/>
    <w:rsid w:val="04726AA9"/>
    <w:rsid w:val="04912B00"/>
    <w:rsid w:val="04A3117E"/>
    <w:rsid w:val="04AB3B8E"/>
    <w:rsid w:val="04DA0918"/>
    <w:rsid w:val="0506251E"/>
    <w:rsid w:val="051F2C80"/>
    <w:rsid w:val="05FB473E"/>
    <w:rsid w:val="061E65E2"/>
    <w:rsid w:val="06B843C5"/>
    <w:rsid w:val="072A64DA"/>
    <w:rsid w:val="07852DBD"/>
    <w:rsid w:val="07917AF4"/>
    <w:rsid w:val="07A80859"/>
    <w:rsid w:val="07AF1BE8"/>
    <w:rsid w:val="07B539CB"/>
    <w:rsid w:val="07B62F76"/>
    <w:rsid w:val="07D93A30"/>
    <w:rsid w:val="07E850FA"/>
    <w:rsid w:val="08032247"/>
    <w:rsid w:val="08283748"/>
    <w:rsid w:val="08450161"/>
    <w:rsid w:val="086C262D"/>
    <w:rsid w:val="0889773B"/>
    <w:rsid w:val="088A1E36"/>
    <w:rsid w:val="08AE7DAC"/>
    <w:rsid w:val="09460264"/>
    <w:rsid w:val="097C1F9D"/>
    <w:rsid w:val="09870B78"/>
    <w:rsid w:val="0992531D"/>
    <w:rsid w:val="099C13F5"/>
    <w:rsid w:val="09A0622D"/>
    <w:rsid w:val="09C13E54"/>
    <w:rsid w:val="0A081AB0"/>
    <w:rsid w:val="0A217697"/>
    <w:rsid w:val="0A4A209B"/>
    <w:rsid w:val="0A682522"/>
    <w:rsid w:val="0A690774"/>
    <w:rsid w:val="0A747956"/>
    <w:rsid w:val="0AB80AEB"/>
    <w:rsid w:val="0AE05B5D"/>
    <w:rsid w:val="0AE324B0"/>
    <w:rsid w:val="0B297F03"/>
    <w:rsid w:val="0B776EC0"/>
    <w:rsid w:val="0B932F7D"/>
    <w:rsid w:val="0B9C2E79"/>
    <w:rsid w:val="0B9E444D"/>
    <w:rsid w:val="0BB630C9"/>
    <w:rsid w:val="0BEF39F7"/>
    <w:rsid w:val="0C1A4568"/>
    <w:rsid w:val="0C1F1669"/>
    <w:rsid w:val="0C325621"/>
    <w:rsid w:val="0C833643"/>
    <w:rsid w:val="0C9475FE"/>
    <w:rsid w:val="0CB40C51"/>
    <w:rsid w:val="0CBF7E83"/>
    <w:rsid w:val="0CC54B85"/>
    <w:rsid w:val="0CDB522D"/>
    <w:rsid w:val="0CEE31B2"/>
    <w:rsid w:val="0D1A0E57"/>
    <w:rsid w:val="0D1A5319"/>
    <w:rsid w:val="0D5204F4"/>
    <w:rsid w:val="0DA75089"/>
    <w:rsid w:val="0DAF4EAC"/>
    <w:rsid w:val="0DCF5641"/>
    <w:rsid w:val="0DF17A17"/>
    <w:rsid w:val="0DF20A80"/>
    <w:rsid w:val="0DF91E0E"/>
    <w:rsid w:val="0E060087"/>
    <w:rsid w:val="0E066E79"/>
    <w:rsid w:val="0E1A6C88"/>
    <w:rsid w:val="0E567261"/>
    <w:rsid w:val="0E883192"/>
    <w:rsid w:val="0EC304A4"/>
    <w:rsid w:val="0EE04F84"/>
    <w:rsid w:val="0EE77D0B"/>
    <w:rsid w:val="0EF34A9B"/>
    <w:rsid w:val="0F320FE9"/>
    <w:rsid w:val="0F871E43"/>
    <w:rsid w:val="0F9815A7"/>
    <w:rsid w:val="0FB00BF3"/>
    <w:rsid w:val="0FBA6DDF"/>
    <w:rsid w:val="0FD416B1"/>
    <w:rsid w:val="10022B5A"/>
    <w:rsid w:val="102922DA"/>
    <w:rsid w:val="103336F3"/>
    <w:rsid w:val="105337CE"/>
    <w:rsid w:val="10601A98"/>
    <w:rsid w:val="10790FE5"/>
    <w:rsid w:val="10827766"/>
    <w:rsid w:val="10A25A74"/>
    <w:rsid w:val="10E8616A"/>
    <w:rsid w:val="11034D52"/>
    <w:rsid w:val="110C301C"/>
    <w:rsid w:val="11131439"/>
    <w:rsid w:val="1145536B"/>
    <w:rsid w:val="11553800"/>
    <w:rsid w:val="115703B2"/>
    <w:rsid w:val="11967974"/>
    <w:rsid w:val="11B513DD"/>
    <w:rsid w:val="11F34DC7"/>
    <w:rsid w:val="121E4BCF"/>
    <w:rsid w:val="12456514"/>
    <w:rsid w:val="12492C39"/>
    <w:rsid w:val="124B58EA"/>
    <w:rsid w:val="12906AB9"/>
    <w:rsid w:val="12AB56A1"/>
    <w:rsid w:val="12B96D14"/>
    <w:rsid w:val="13250FB0"/>
    <w:rsid w:val="137D0DEC"/>
    <w:rsid w:val="13B95A70"/>
    <w:rsid w:val="13D26797"/>
    <w:rsid w:val="13F50396"/>
    <w:rsid w:val="141F1EA3"/>
    <w:rsid w:val="14667A34"/>
    <w:rsid w:val="147A022D"/>
    <w:rsid w:val="149C6447"/>
    <w:rsid w:val="14A800EA"/>
    <w:rsid w:val="14B7657F"/>
    <w:rsid w:val="153B2D0D"/>
    <w:rsid w:val="15420546"/>
    <w:rsid w:val="15792656"/>
    <w:rsid w:val="157B3263"/>
    <w:rsid w:val="15A13B32"/>
    <w:rsid w:val="15A42959"/>
    <w:rsid w:val="15F57802"/>
    <w:rsid w:val="161D0664"/>
    <w:rsid w:val="162B2238"/>
    <w:rsid w:val="162D415D"/>
    <w:rsid w:val="166B0E64"/>
    <w:rsid w:val="16A849F1"/>
    <w:rsid w:val="16C76F7C"/>
    <w:rsid w:val="16CC508A"/>
    <w:rsid w:val="16F44BA3"/>
    <w:rsid w:val="16F62DB8"/>
    <w:rsid w:val="16F65AE5"/>
    <w:rsid w:val="17223189"/>
    <w:rsid w:val="177C55A8"/>
    <w:rsid w:val="17C42121"/>
    <w:rsid w:val="17EE050A"/>
    <w:rsid w:val="1814504E"/>
    <w:rsid w:val="18512847"/>
    <w:rsid w:val="18544E28"/>
    <w:rsid w:val="185C1918"/>
    <w:rsid w:val="18721A3A"/>
    <w:rsid w:val="18C63235"/>
    <w:rsid w:val="191C08D5"/>
    <w:rsid w:val="192817FA"/>
    <w:rsid w:val="19323323"/>
    <w:rsid w:val="193816C7"/>
    <w:rsid w:val="193938E2"/>
    <w:rsid w:val="194B7296"/>
    <w:rsid w:val="19717B5E"/>
    <w:rsid w:val="197E7326"/>
    <w:rsid w:val="19801636"/>
    <w:rsid w:val="19855A45"/>
    <w:rsid w:val="19924EC5"/>
    <w:rsid w:val="19B47531"/>
    <w:rsid w:val="19B83B87"/>
    <w:rsid w:val="1ABF618E"/>
    <w:rsid w:val="1AED4AA9"/>
    <w:rsid w:val="1AF44089"/>
    <w:rsid w:val="1B041194"/>
    <w:rsid w:val="1B34092A"/>
    <w:rsid w:val="1B3A75C2"/>
    <w:rsid w:val="1B4C2CD0"/>
    <w:rsid w:val="1B6C0AC2"/>
    <w:rsid w:val="1BAB04C0"/>
    <w:rsid w:val="1CCA3FD1"/>
    <w:rsid w:val="1CD31A7D"/>
    <w:rsid w:val="1CDD0B4D"/>
    <w:rsid w:val="1CF06324"/>
    <w:rsid w:val="1D48081A"/>
    <w:rsid w:val="1D4D0B66"/>
    <w:rsid w:val="1D887DB3"/>
    <w:rsid w:val="1DB30792"/>
    <w:rsid w:val="1DDD3596"/>
    <w:rsid w:val="1DF93765"/>
    <w:rsid w:val="1E162569"/>
    <w:rsid w:val="1E712F6D"/>
    <w:rsid w:val="1E953136"/>
    <w:rsid w:val="1F0C7EB0"/>
    <w:rsid w:val="1F972A6A"/>
    <w:rsid w:val="1FA83B15"/>
    <w:rsid w:val="1FB5494E"/>
    <w:rsid w:val="1FDC333E"/>
    <w:rsid w:val="1FDC50EC"/>
    <w:rsid w:val="200366FF"/>
    <w:rsid w:val="20121CB5"/>
    <w:rsid w:val="201248D2"/>
    <w:rsid w:val="20564E9E"/>
    <w:rsid w:val="205D59B9"/>
    <w:rsid w:val="209F6845"/>
    <w:rsid w:val="21321F54"/>
    <w:rsid w:val="213B4094"/>
    <w:rsid w:val="218912A4"/>
    <w:rsid w:val="22230DB0"/>
    <w:rsid w:val="222E47BD"/>
    <w:rsid w:val="224F68B2"/>
    <w:rsid w:val="22571F8F"/>
    <w:rsid w:val="2278590E"/>
    <w:rsid w:val="22B33B1A"/>
    <w:rsid w:val="22E03770"/>
    <w:rsid w:val="22E5248F"/>
    <w:rsid w:val="230874D0"/>
    <w:rsid w:val="231A15C5"/>
    <w:rsid w:val="231D6147"/>
    <w:rsid w:val="231F1846"/>
    <w:rsid w:val="23360FB7"/>
    <w:rsid w:val="234F5BD5"/>
    <w:rsid w:val="237C7D5E"/>
    <w:rsid w:val="238826AD"/>
    <w:rsid w:val="23CD36CA"/>
    <w:rsid w:val="23DF51AB"/>
    <w:rsid w:val="23EF2322"/>
    <w:rsid w:val="23F64E36"/>
    <w:rsid w:val="240B2444"/>
    <w:rsid w:val="24114A94"/>
    <w:rsid w:val="24294DA2"/>
    <w:rsid w:val="24392B0D"/>
    <w:rsid w:val="24895B24"/>
    <w:rsid w:val="24926EEF"/>
    <w:rsid w:val="24E862E1"/>
    <w:rsid w:val="251C3122"/>
    <w:rsid w:val="25626093"/>
    <w:rsid w:val="25882A0D"/>
    <w:rsid w:val="258A2FBE"/>
    <w:rsid w:val="259326F1"/>
    <w:rsid w:val="25B1220E"/>
    <w:rsid w:val="25D9578E"/>
    <w:rsid w:val="2601765A"/>
    <w:rsid w:val="26170C2C"/>
    <w:rsid w:val="263228A3"/>
    <w:rsid w:val="269E134D"/>
    <w:rsid w:val="27194E78"/>
    <w:rsid w:val="2732478D"/>
    <w:rsid w:val="273A531C"/>
    <w:rsid w:val="275D4209"/>
    <w:rsid w:val="27637CDD"/>
    <w:rsid w:val="27BE3BCE"/>
    <w:rsid w:val="27C3777F"/>
    <w:rsid w:val="28101D2B"/>
    <w:rsid w:val="28216BD3"/>
    <w:rsid w:val="283205B8"/>
    <w:rsid w:val="28377363"/>
    <w:rsid w:val="287A36F4"/>
    <w:rsid w:val="29017971"/>
    <w:rsid w:val="2902118B"/>
    <w:rsid w:val="29527341"/>
    <w:rsid w:val="298D3469"/>
    <w:rsid w:val="299B2660"/>
    <w:rsid w:val="29A70519"/>
    <w:rsid w:val="29B32383"/>
    <w:rsid w:val="29B665AC"/>
    <w:rsid w:val="29F07CB0"/>
    <w:rsid w:val="2A0140CD"/>
    <w:rsid w:val="2A2A6ECE"/>
    <w:rsid w:val="2A2F6690"/>
    <w:rsid w:val="2AC61C74"/>
    <w:rsid w:val="2ADA2CD5"/>
    <w:rsid w:val="2ADC2444"/>
    <w:rsid w:val="2AF07C9E"/>
    <w:rsid w:val="2B056BED"/>
    <w:rsid w:val="2B0F45C8"/>
    <w:rsid w:val="2B2D2CA0"/>
    <w:rsid w:val="2C0C0B07"/>
    <w:rsid w:val="2C182D55"/>
    <w:rsid w:val="2C1C6592"/>
    <w:rsid w:val="2C5301D8"/>
    <w:rsid w:val="2C582FC6"/>
    <w:rsid w:val="2CB45632"/>
    <w:rsid w:val="2D03015C"/>
    <w:rsid w:val="2D0325B3"/>
    <w:rsid w:val="2D155537"/>
    <w:rsid w:val="2D3C0C46"/>
    <w:rsid w:val="2D6230D5"/>
    <w:rsid w:val="2D7D247B"/>
    <w:rsid w:val="2DA57465"/>
    <w:rsid w:val="2E2B2D7C"/>
    <w:rsid w:val="2E3A17D2"/>
    <w:rsid w:val="2E6932C2"/>
    <w:rsid w:val="2ED0766D"/>
    <w:rsid w:val="2EEE3876"/>
    <w:rsid w:val="2F0412C1"/>
    <w:rsid w:val="2F3F11F4"/>
    <w:rsid w:val="2F430CE4"/>
    <w:rsid w:val="2F654E7A"/>
    <w:rsid w:val="2F7368A7"/>
    <w:rsid w:val="2F7F2CAB"/>
    <w:rsid w:val="2FC8A4C6"/>
    <w:rsid w:val="2FFB15BE"/>
    <w:rsid w:val="30032436"/>
    <w:rsid w:val="30047496"/>
    <w:rsid w:val="306C59E5"/>
    <w:rsid w:val="306E3B3E"/>
    <w:rsid w:val="306F78B6"/>
    <w:rsid w:val="307D528F"/>
    <w:rsid w:val="30EA2EA5"/>
    <w:rsid w:val="30FC114A"/>
    <w:rsid w:val="3155451A"/>
    <w:rsid w:val="317476ED"/>
    <w:rsid w:val="31801D4F"/>
    <w:rsid w:val="3196159F"/>
    <w:rsid w:val="31A345F6"/>
    <w:rsid w:val="31BA2E5B"/>
    <w:rsid w:val="31F2079F"/>
    <w:rsid w:val="31FA3BEC"/>
    <w:rsid w:val="31FD7E39"/>
    <w:rsid w:val="32052280"/>
    <w:rsid w:val="32170A33"/>
    <w:rsid w:val="32250B75"/>
    <w:rsid w:val="32523449"/>
    <w:rsid w:val="32780CA4"/>
    <w:rsid w:val="32CE3007"/>
    <w:rsid w:val="32E91BA2"/>
    <w:rsid w:val="335D64E0"/>
    <w:rsid w:val="33BF6DA6"/>
    <w:rsid w:val="33C53AAF"/>
    <w:rsid w:val="33C6096C"/>
    <w:rsid w:val="33C64264"/>
    <w:rsid w:val="33DC1707"/>
    <w:rsid w:val="33E31994"/>
    <w:rsid w:val="33F57FBD"/>
    <w:rsid w:val="34146331"/>
    <w:rsid w:val="34640AAF"/>
    <w:rsid w:val="346A286F"/>
    <w:rsid w:val="34907F60"/>
    <w:rsid w:val="34AA3412"/>
    <w:rsid w:val="34F4755F"/>
    <w:rsid w:val="35325A82"/>
    <w:rsid w:val="353E4427"/>
    <w:rsid w:val="354103E4"/>
    <w:rsid w:val="358A766C"/>
    <w:rsid w:val="35A40002"/>
    <w:rsid w:val="35A63D7A"/>
    <w:rsid w:val="35AA386B"/>
    <w:rsid w:val="35C81F43"/>
    <w:rsid w:val="35EE45B0"/>
    <w:rsid w:val="35F1677D"/>
    <w:rsid w:val="36140CE4"/>
    <w:rsid w:val="3684230E"/>
    <w:rsid w:val="368D0B71"/>
    <w:rsid w:val="370276D6"/>
    <w:rsid w:val="378F6509"/>
    <w:rsid w:val="37D215E4"/>
    <w:rsid w:val="37F69CD5"/>
    <w:rsid w:val="381B0A50"/>
    <w:rsid w:val="38CB1E6C"/>
    <w:rsid w:val="38D05CC5"/>
    <w:rsid w:val="393445B1"/>
    <w:rsid w:val="393608E6"/>
    <w:rsid w:val="39974106"/>
    <w:rsid w:val="39CB3D50"/>
    <w:rsid w:val="39D72754"/>
    <w:rsid w:val="39F72DF7"/>
    <w:rsid w:val="3A0670AD"/>
    <w:rsid w:val="3A4B3142"/>
    <w:rsid w:val="3AA24C9C"/>
    <w:rsid w:val="3AB413D1"/>
    <w:rsid w:val="3ADE3FB6"/>
    <w:rsid w:val="3B554279"/>
    <w:rsid w:val="3B691AD2"/>
    <w:rsid w:val="3B6D4F6B"/>
    <w:rsid w:val="3B813212"/>
    <w:rsid w:val="3B9F2357"/>
    <w:rsid w:val="3BB7BC98"/>
    <w:rsid w:val="3BC62A80"/>
    <w:rsid w:val="3BEB698B"/>
    <w:rsid w:val="3C131844"/>
    <w:rsid w:val="3C805325"/>
    <w:rsid w:val="3CDB255C"/>
    <w:rsid w:val="3CF5EE88"/>
    <w:rsid w:val="3CFC24D2"/>
    <w:rsid w:val="3D0E1999"/>
    <w:rsid w:val="3D4B1649"/>
    <w:rsid w:val="3D532A3A"/>
    <w:rsid w:val="3D6F77FA"/>
    <w:rsid w:val="3D866841"/>
    <w:rsid w:val="3DB11BD7"/>
    <w:rsid w:val="3DBB7323"/>
    <w:rsid w:val="3E2717D1"/>
    <w:rsid w:val="3E5339E3"/>
    <w:rsid w:val="3E7A2248"/>
    <w:rsid w:val="3E8751F4"/>
    <w:rsid w:val="3E952BDE"/>
    <w:rsid w:val="3EB27A21"/>
    <w:rsid w:val="3EB56DDC"/>
    <w:rsid w:val="3EFE2950"/>
    <w:rsid w:val="3F057D64"/>
    <w:rsid w:val="3F0F0BE2"/>
    <w:rsid w:val="3F125FDD"/>
    <w:rsid w:val="3F8C7A16"/>
    <w:rsid w:val="3FAF89C4"/>
    <w:rsid w:val="400B46F5"/>
    <w:rsid w:val="401E162F"/>
    <w:rsid w:val="40222167"/>
    <w:rsid w:val="402C1320"/>
    <w:rsid w:val="40614448"/>
    <w:rsid w:val="40956EC5"/>
    <w:rsid w:val="40CD2B03"/>
    <w:rsid w:val="40D6429F"/>
    <w:rsid w:val="40E63D94"/>
    <w:rsid w:val="416A2100"/>
    <w:rsid w:val="41856F3A"/>
    <w:rsid w:val="418D4227"/>
    <w:rsid w:val="419D4283"/>
    <w:rsid w:val="419E32AC"/>
    <w:rsid w:val="41B4562D"/>
    <w:rsid w:val="41CF1EF3"/>
    <w:rsid w:val="41DD48DB"/>
    <w:rsid w:val="42002A64"/>
    <w:rsid w:val="42296FF1"/>
    <w:rsid w:val="422A188F"/>
    <w:rsid w:val="425B7C9B"/>
    <w:rsid w:val="4269060A"/>
    <w:rsid w:val="426C517F"/>
    <w:rsid w:val="42B61FE3"/>
    <w:rsid w:val="42C15C9B"/>
    <w:rsid w:val="42D13656"/>
    <w:rsid w:val="42F95A05"/>
    <w:rsid w:val="42FC147E"/>
    <w:rsid w:val="43213566"/>
    <w:rsid w:val="432A1680"/>
    <w:rsid w:val="433A3D54"/>
    <w:rsid w:val="434E55A2"/>
    <w:rsid w:val="43A815CA"/>
    <w:rsid w:val="43C4245E"/>
    <w:rsid w:val="43CC0B69"/>
    <w:rsid w:val="43F6747D"/>
    <w:rsid w:val="4407632C"/>
    <w:rsid w:val="440C749E"/>
    <w:rsid w:val="44102666"/>
    <w:rsid w:val="442A3DC9"/>
    <w:rsid w:val="4479751F"/>
    <w:rsid w:val="44F67F8B"/>
    <w:rsid w:val="44FC536A"/>
    <w:rsid w:val="45440EBA"/>
    <w:rsid w:val="45542FCB"/>
    <w:rsid w:val="45B546E2"/>
    <w:rsid w:val="45D40490"/>
    <w:rsid w:val="45E379AE"/>
    <w:rsid w:val="45F35A54"/>
    <w:rsid w:val="464078D3"/>
    <w:rsid w:val="46B371E4"/>
    <w:rsid w:val="46BE5BC0"/>
    <w:rsid w:val="46C22A43"/>
    <w:rsid w:val="46C53199"/>
    <w:rsid w:val="46FD57C4"/>
    <w:rsid w:val="47013507"/>
    <w:rsid w:val="4741335D"/>
    <w:rsid w:val="474F09D8"/>
    <w:rsid w:val="47653A95"/>
    <w:rsid w:val="47712C5F"/>
    <w:rsid w:val="47D932DA"/>
    <w:rsid w:val="483376F0"/>
    <w:rsid w:val="484A28E4"/>
    <w:rsid w:val="48C64DEA"/>
    <w:rsid w:val="48D031EA"/>
    <w:rsid w:val="48D16F09"/>
    <w:rsid w:val="48DF33D4"/>
    <w:rsid w:val="48F90BF2"/>
    <w:rsid w:val="490431AA"/>
    <w:rsid w:val="490474B0"/>
    <w:rsid w:val="49060DC5"/>
    <w:rsid w:val="493E1E3B"/>
    <w:rsid w:val="497F6965"/>
    <w:rsid w:val="49AB775A"/>
    <w:rsid w:val="4A630034"/>
    <w:rsid w:val="4A845960"/>
    <w:rsid w:val="4A9433D8"/>
    <w:rsid w:val="4AC960E9"/>
    <w:rsid w:val="4B047121"/>
    <w:rsid w:val="4B285784"/>
    <w:rsid w:val="4B5064C4"/>
    <w:rsid w:val="4B990D30"/>
    <w:rsid w:val="4BFA6210"/>
    <w:rsid w:val="4C520360"/>
    <w:rsid w:val="4C7E4CB1"/>
    <w:rsid w:val="4C922150"/>
    <w:rsid w:val="4C9840BF"/>
    <w:rsid w:val="4C9A7D78"/>
    <w:rsid w:val="4CDB65A8"/>
    <w:rsid w:val="4CF6CD6B"/>
    <w:rsid w:val="4D101EFB"/>
    <w:rsid w:val="4D153E3D"/>
    <w:rsid w:val="4D2A6BE7"/>
    <w:rsid w:val="4D4312E7"/>
    <w:rsid w:val="4D65406C"/>
    <w:rsid w:val="4D9D3203"/>
    <w:rsid w:val="4DD54DA5"/>
    <w:rsid w:val="4DE4323A"/>
    <w:rsid w:val="4DE82D2A"/>
    <w:rsid w:val="4E4915CE"/>
    <w:rsid w:val="4E706A6C"/>
    <w:rsid w:val="4E834F2E"/>
    <w:rsid w:val="4EA26A6C"/>
    <w:rsid w:val="4ECE1F10"/>
    <w:rsid w:val="4EF008CA"/>
    <w:rsid w:val="4EFFDC9F"/>
    <w:rsid w:val="4F3936E3"/>
    <w:rsid w:val="4F455F5A"/>
    <w:rsid w:val="4F4D3939"/>
    <w:rsid w:val="4F8545A9"/>
    <w:rsid w:val="4F8D56E9"/>
    <w:rsid w:val="4FB67690"/>
    <w:rsid w:val="4FCE5F50"/>
    <w:rsid w:val="50083210"/>
    <w:rsid w:val="508E3344"/>
    <w:rsid w:val="508F3931"/>
    <w:rsid w:val="50A849F3"/>
    <w:rsid w:val="50B669AC"/>
    <w:rsid w:val="50C23D07"/>
    <w:rsid w:val="514648DC"/>
    <w:rsid w:val="514A07F4"/>
    <w:rsid w:val="515A6752"/>
    <w:rsid w:val="51786173"/>
    <w:rsid w:val="519A433C"/>
    <w:rsid w:val="51AD665B"/>
    <w:rsid w:val="51C55131"/>
    <w:rsid w:val="51F54744"/>
    <w:rsid w:val="51FE2D3F"/>
    <w:rsid w:val="520B5239"/>
    <w:rsid w:val="521A6ADA"/>
    <w:rsid w:val="522634B6"/>
    <w:rsid w:val="528E28B0"/>
    <w:rsid w:val="52902C15"/>
    <w:rsid w:val="529214B7"/>
    <w:rsid w:val="52B7716F"/>
    <w:rsid w:val="52CC2C1B"/>
    <w:rsid w:val="52F208A7"/>
    <w:rsid w:val="52F757BE"/>
    <w:rsid w:val="532E3C61"/>
    <w:rsid w:val="533A3287"/>
    <w:rsid w:val="534053B7"/>
    <w:rsid w:val="53432302"/>
    <w:rsid w:val="534947B8"/>
    <w:rsid w:val="536C61AC"/>
    <w:rsid w:val="537B2529"/>
    <w:rsid w:val="53813903"/>
    <w:rsid w:val="53C833FD"/>
    <w:rsid w:val="53D15371"/>
    <w:rsid w:val="53FD0BB2"/>
    <w:rsid w:val="540957A8"/>
    <w:rsid w:val="541A5C08"/>
    <w:rsid w:val="54413194"/>
    <w:rsid w:val="54994D7E"/>
    <w:rsid w:val="549E2395"/>
    <w:rsid w:val="54B03E76"/>
    <w:rsid w:val="54C42E70"/>
    <w:rsid w:val="54CA641E"/>
    <w:rsid w:val="54F26BBE"/>
    <w:rsid w:val="54FF02B0"/>
    <w:rsid w:val="550652BB"/>
    <w:rsid w:val="550A07E7"/>
    <w:rsid w:val="550D2E9B"/>
    <w:rsid w:val="5575C163"/>
    <w:rsid w:val="55AE3F19"/>
    <w:rsid w:val="55B70558"/>
    <w:rsid w:val="563034C0"/>
    <w:rsid w:val="565531A7"/>
    <w:rsid w:val="56B25804"/>
    <w:rsid w:val="56D87AF5"/>
    <w:rsid w:val="56EF6ED8"/>
    <w:rsid w:val="57671164"/>
    <w:rsid w:val="57721191"/>
    <w:rsid w:val="57833AC4"/>
    <w:rsid w:val="57A36F6D"/>
    <w:rsid w:val="57A9177C"/>
    <w:rsid w:val="582726A1"/>
    <w:rsid w:val="586456A3"/>
    <w:rsid w:val="58721DCF"/>
    <w:rsid w:val="58BC04A8"/>
    <w:rsid w:val="58F00CE5"/>
    <w:rsid w:val="594C1238"/>
    <w:rsid w:val="596334BB"/>
    <w:rsid w:val="59BA0DC7"/>
    <w:rsid w:val="59C52172"/>
    <w:rsid w:val="59F40CA9"/>
    <w:rsid w:val="59F6207C"/>
    <w:rsid w:val="5A3D24E1"/>
    <w:rsid w:val="5A5C6566"/>
    <w:rsid w:val="5AAE60AD"/>
    <w:rsid w:val="5AF46910"/>
    <w:rsid w:val="5B484E08"/>
    <w:rsid w:val="5B57504B"/>
    <w:rsid w:val="5B5F7C32"/>
    <w:rsid w:val="5B74338B"/>
    <w:rsid w:val="5B8367BC"/>
    <w:rsid w:val="5C390BF5"/>
    <w:rsid w:val="5C545A2F"/>
    <w:rsid w:val="5C8E6C1C"/>
    <w:rsid w:val="5C9B7CEB"/>
    <w:rsid w:val="5CD1707F"/>
    <w:rsid w:val="5CD75A12"/>
    <w:rsid w:val="5CE648D9"/>
    <w:rsid w:val="5D2D075A"/>
    <w:rsid w:val="5D3A2E77"/>
    <w:rsid w:val="5D4B35B7"/>
    <w:rsid w:val="5D983F46"/>
    <w:rsid w:val="5DB4760A"/>
    <w:rsid w:val="5DCF1811"/>
    <w:rsid w:val="5DE03A1E"/>
    <w:rsid w:val="5DE84681"/>
    <w:rsid w:val="5DEF1D6A"/>
    <w:rsid w:val="5E002900"/>
    <w:rsid w:val="5E127950"/>
    <w:rsid w:val="5E9B4699"/>
    <w:rsid w:val="5EDF12BA"/>
    <w:rsid w:val="5EED6B4B"/>
    <w:rsid w:val="5F2329B5"/>
    <w:rsid w:val="5F2F74DC"/>
    <w:rsid w:val="5F361920"/>
    <w:rsid w:val="5F87675C"/>
    <w:rsid w:val="5F975F06"/>
    <w:rsid w:val="5FBE3889"/>
    <w:rsid w:val="5FCC3B5F"/>
    <w:rsid w:val="5FE12603"/>
    <w:rsid w:val="5FE5531C"/>
    <w:rsid w:val="5FEB9F24"/>
    <w:rsid w:val="600B28A8"/>
    <w:rsid w:val="600D1436"/>
    <w:rsid w:val="60365B77"/>
    <w:rsid w:val="60385413"/>
    <w:rsid w:val="603A3B19"/>
    <w:rsid w:val="60A41EFB"/>
    <w:rsid w:val="60B47519"/>
    <w:rsid w:val="60BF45C4"/>
    <w:rsid w:val="61252886"/>
    <w:rsid w:val="612A5035"/>
    <w:rsid w:val="614E6152"/>
    <w:rsid w:val="615269E1"/>
    <w:rsid w:val="617E77D6"/>
    <w:rsid w:val="61B03707"/>
    <w:rsid w:val="61C13B66"/>
    <w:rsid w:val="61CC5B23"/>
    <w:rsid w:val="61CD6067"/>
    <w:rsid w:val="61D61574"/>
    <w:rsid w:val="61F45CEA"/>
    <w:rsid w:val="621E2D67"/>
    <w:rsid w:val="6254075A"/>
    <w:rsid w:val="626B08A4"/>
    <w:rsid w:val="628F6F59"/>
    <w:rsid w:val="62920E12"/>
    <w:rsid w:val="62DB47B4"/>
    <w:rsid w:val="62E573E1"/>
    <w:rsid w:val="635E372E"/>
    <w:rsid w:val="63626C83"/>
    <w:rsid w:val="637B1AF3"/>
    <w:rsid w:val="63A4729C"/>
    <w:rsid w:val="63B429E0"/>
    <w:rsid w:val="63C35974"/>
    <w:rsid w:val="63CA64BF"/>
    <w:rsid w:val="63D538F9"/>
    <w:rsid w:val="63DE27AE"/>
    <w:rsid w:val="6414729D"/>
    <w:rsid w:val="641A755E"/>
    <w:rsid w:val="64563013"/>
    <w:rsid w:val="64A64465"/>
    <w:rsid w:val="64EA6406"/>
    <w:rsid w:val="64FA606F"/>
    <w:rsid w:val="65367F76"/>
    <w:rsid w:val="653900FF"/>
    <w:rsid w:val="65965345"/>
    <w:rsid w:val="65A2015D"/>
    <w:rsid w:val="65B35D8B"/>
    <w:rsid w:val="65C2565A"/>
    <w:rsid w:val="65C67F8E"/>
    <w:rsid w:val="65D73958"/>
    <w:rsid w:val="65E73470"/>
    <w:rsid w:val="66221D46"/>
    <w:rsid w:val="66707909"/>
    <w:rsid w:val="667679B3"/>
    <w:rsid w:val="667B7A22"/>
    <w:rsid w:val="6683763C"/>
    <w:rsid w:val="668533B4"/>
    <w:rsid w:val="66AF75AE"/>
    <w:rsid w:val="66C537B1"/>
    <w:rsid w:val="66C7285D"/>
    <w:rsid w:val="66F95CFB"/>
    <w:rsid w:val="672F3320"/>
    <w:rsid w:val="674630E5"/>
    <w:rsid w:val="676C1405"/>
    <w:rsid w:val="6773320D"/>
    <w:rsid w:val="677A0A3F"/>
    <w:rsid w:val="678147FF"/>
    <w:rsid w:val="67AA29A7"/>
    <w:rsid w:val="67FC49D2"/>
    <w:rsid w:val="68021003"/>
    <w:rsid w:val="686B65DA"/>
    <w:rsid w:val="68AA0EB0"/>
    <w:rsid w:val="68D049AB"/>
    <w:rsid w:val="69356FC7"/>
    <w:rsid w:val="694B0F49"/>
    <w:rsid w:val="697049B7"/>
    <w:rsid w:val="697571A6"/>
    <w:rsid w:val="698553A2"/>
    <w:rsid w:val="69895353"/>
    <w:rsid w:val="69F26D9C"/>
    <w:rsid w:val="69F5427C"/>
    <w:rsid w:val="69F543AD"/>
    <w:rsid w:val="69FA5E67"/>
    <w:rsid w:val="6A1B23DD"/>
    <w:rsid w:val="6A49294B"/>
    <w:rsid w:val="6A6A28C5"/>
    <w:rsid w:val="6A70612A"/>
    <w:rsid w:val="6A955B90"/>
    <w:rsid w:val="6AD85D5B"/>
    <w:rsid w:val="6B173545"/>
    <w:rsid w:val="6B1B6BBF"/>
    <w:rsid w:val="6B8F6CA4"/>
    <w:rsid w:val="6BB0047C"/>
    <w:rsid w:val="6BB225D2"/>
    <w:rsid w:val="6BB452A4"/>
    <w:rsid w:val="6BED4977"/>
    <w:rsid w:val="6C4D6722"/>
    <w:rsid w:val="6D2D0302"/>
    <w:rsid w:val="6D34312C"/>
    <w:rsid w:val="6D6D7158"/>
    <w:rsid w:val="6D7970A3"/>
    <w:rsid w:val="6D9641DE"/>
    <w:rsid w:val="6DB3271F"/>
    <w:rsid w:val="6DDA7762"/>
    <w:rsid w:val="6DDD45E2"/>
    <w:rsid w:val="6E072901"/>
    <w:rsid w:val="6E443B55"/>
    <w:rsid w:val="6E7361E8"/>
    <w:rsid w:val="6F0E7CBF"/>
    <w:rsid w:val="6F4A6F49"/>
    <w:rsid w:val="6F6F4AE1"/>
    <w:rsid w:val="6F7E58F1"/>
    <w:rsid w:val="6F7F381F"/>
    <w:rsid w:val="6F826CE8"/>
    <w:rsid w:val="6FA10B33"/>
    <w:rsid w:val="6FCE7B7A"/>
    <w:rsid w:val="6FE44286"/>
    <w:rsid w:val="70074E3A"/>
    <w:rsid w:val="7009188D"/>
    <w:rsid w:val="702275C0"/>
    <w:rsid w:val="703674CE"/>
    <w:rsid w:val="704C0B43"/>
    <w:rsid w:val="705E1F93"/>
    <w:rsid w:val="707A385E"/>
    <w:rsid w:val="70981F36"/>
    <w:rsid w:val="70BD7BEF"/>
    <w:rsid w:val="70F57389"/>
    <w:rsid w:val="71044CE8"/>
    <w:rsid w:val="715A6CDB"/>
    <w:rsid w:val="71DA2030"/>
    <w:rsid w:val="71DF2A97"/>
    <w:rsid w:val="71E511AB"/>
    <w:rsid w:val="721C6818"/>
    <w:rsid w:val="72BC5A5F"/>
    <w:rsid w:val="73214465"/>
    <w:rsid w:val="734D7A2D"/>
    <w:rsid w:val="73520AC2"/>
    <w:rsid w:val="7353202C"/>
    <w:rsid w:val="735C4C5C"/>
    <w:rsid w:val="73B221D9"/>
    <w:rsid w:val="73F677DC"/>
    <w:rsid w:val="74200BC5"/>
    <w:rsid w:val="744D3038"/>
    <w:rsid w:val="7487167C"/>
    <w:rsid w:val="74B706C6"/>
    <w:rsid w:val="74B81B56"/>
    <w:rsid w:val="74F4125B"/>
    <w:rsid w:val="750A2CD7"/>
    <w:rsid w:val="750E0599"/>
    <w:rsid w:val="750F1273"/>
    <w:rsid w:val="7543030F"/>
    <w:rsid w:val="755D147F"/>
    <w:rsid w:val="756671CA"/>
    <w:rsid w:val="75785276"/>
    <w:rsid w:val="75D94B83"/>
    <w:rsid w:val="75F91FDE"/>
    <w:rsid w:val="75FDCA03"/>
    <w:rsid w:val="760015EB"/>
    <w:rsid w:val="7614285D"/>
    <w:rsid w:val="764E2AE1"/>
    <w:rsid w:val="765217F9"/>
    <w:rsid w:val="765C1B6C"/>
    <w:rsid w:val="76957293"/>
    <w:rsid w:val="76CEBE32"/>
    <w:rsid w:val="76DFA64A"/>
    <w:rsid w:val="76EF2CB0"/>
    <w:rsid w:val="771542E1"/>
    <w:rsid w:val="77413C99"/>
    <w:rsid w:val="7753605F"/>
    <w:rsid w:val="7768182A"/>
    <w:rsid w:val="777C7EBC"/>
    <w:rsid w:val="777E681E"/>
    <w:rsid w:val="77870136"/>
    <w:rsid w:val="778D7399"/>
    <w:rsid w:val="77B70EF4"/>
    <w:rsid w:val="77C74756"/>
    <w:rsid w:val="77E93077"/>
    <w:rsid w:val="77EEC8B5"/>
    <w:rsid w:val="783E33C3"/>
    <w:rsid w:val="784A7FBA"/>
    <w:rsid w:val="78733A3D"/>
    <w:rsid w:val="78A77D5C"/>
    <w:rsid w:val="78AA0A59"/>
    <w:rsid w:val="78AD22F7"/>
    <w:rsid w:val="78C37D6C"/>
    <w:rsid w:val="78DE02DA"/>
    <w:rsid w:val="78E506EA"/>
    <w:rsid w:val="79033287"/>
    <w:rsid w:val="792132B2"/>
    <w:rsid w:val="79573CD9"/>
    <w:rsid w:val="79762F01"/>
    <w:rsid w:val="797C23F5"/>
    <w:rsid w:val="79A62F1D"/>
    <w:rsid w:val="79F321B2"/>
    <w:rsid w:val="7A152A6B"/>
    <w:rsid w:val="7A5D73D7"/>
    <w:rsid w:val="7AD526A0"/>
    <w:rsid w:val="7AE2097E"/>
    <w:rsid w:val="7B3C6BCF"/>
    <w:rsid w:val="7B430918"/>
    <w:rsid w:val="7B4B27DA"/>
    <w:rsid w:val="7B6C1133"/>
    <w:rsid w:val="7B7274B5"/>
    <w:rsid w:val="7B735D14"/>
    <w:rsid w:val="7BB0282A"/>
    <w:rsid w:val="7BDF7AA7"/>
    <w:rsid w:val="7BE9560E"/>
    <w:rsid w:val="7BF10231"/>
    <w:rsid w:val="7BFB3B73"/>
    <w:rsid w:val="7C2447CD"/>
    <w:rsid w:val="7C337A1C"/>
    <w:rsid w:val="7C4F77D4"/>
    <w:rsid w:val="7C6A0C2B"/>
    <w:rsid w:val="7C8B0BA1"/>
    <w:rsid w:val="7CBE6DC8"/>
    <w:rsid w:val="7CDD6705"/>
    <w:rsid w:val="7D7765DF"/>
    <w:rsid w:val="7D9352D0"/>
    <w:rsid w:val="7DB03422"/>
    <w:rsid w:val="7DD87E16"/>
    <w:rsid w:val="7DEA1B45"/>
    <w:rsid w:val="7DEFA431"/>
    <w:rsid w:val="7DF013F4"/>
    <w:rsid w:val="7E34648B"/>
    <w:rsid w:val="7E3A18C4"/>
    <w:rsid w:val="7E573587"/>
    <w:rsid w:val="7E970AB6"/>
    <w:rsid w:val="7E9B2058"/>
    <w:rsid w:val="7EBB576E"/>
    <w:rsid w:val="7EC35CD5"/>
    <w:rsid w:val="7EFB49D6"/>
    <w:rsid w:val="7F351D38"/>
    <w:rsid w:val="7F4A08A0"/>
    <w:rsid w:val="7F4F4108"/>
    <w:rsid w:val="7F56038D"/>
    <w:rsid w:val="7F69341C"/>
    <w:rsid w:val="7FDD6BFD"/>
    <w:rsid w:val="7FE24F7C"/>
    <w:rsid w:val="7FE75214"/>
    <w:rsid w:val="7FFA298A"/>
    <w:rsid w:val="7FFA447F"/>
    <w:rsid w:val="7FFD67CF"/>
    <w:rsid w:val="7FFF50FB"/>
    <w:rsid w:val="9F7F0EF0"/>
    <w:rsid w:val="9FED179E"/>
    <w:rsid w:val="A97FEC9F"/>
    <w:rsid w:val="BA76C475"/>
    <w:rsid w:val="BB6F9D50"/>
    <w:rsid w:val="BD8F9744"/>
    <w:rsid w:val="BE5B4972"/>
    <w:rsid w:val="BFE91C89"/>
    <w:rsid w:val="BFEEA3B5"/>
    <w:rsid w:val="D6DFF221"/>
    <w:rsid w:val="D7AB80B2"/>
    <w:rsid w:val="D8F2C28D"/>
    <w:rsid w:val="DB671A7B"/>
    <w:rsid w:val="DEAF911A"/>
    <w:rsid w:val="DF6FFD0E"/>
    <w:rsid w:val="DFFBD718"/>
    <w:rsid w:val="E9F7820D"/>
    <w:rsid w:val="ECDF57F7"/>
    <w:rsid w:val="EFDB6718"/>
    <w:rsid w:val="EFFA6CD1"/>
    <w:rsid w:val="F138B726"/>
    <w:rsid w:val="F23F50C7"/>
    <w:rsid w:val="F3FBC6D6"/>
    <w:rsid w:val="F58FD89A"/>
    <w:rsid w:val="F6BE55A9"/>
    <w:rsid w:val="F8FC38A6"/>
    <w:rsid w:val="F9FE1231"/>
    <w:rsid w:val="F9FF2E4E"/>
    <w:rsid w:val="FA454060"/>
    <w:rsid w:val="FAEE53F7"/>
    <w:rsid w:val="FAF78B7D"/>
    <w:rsid w:val="FB6F1F9F"/>
    <w:rsid w:val="FBB8D920"/>
    <w:rsid w:val="FBFBAA79"/>
    <w:rsid w:val="FCFF8188"/>
    <w:rsid w:val="FEBBEAEB"/>
    <w:rsid w:val="FF7D228A"/>
    <w:rsid w:val="FF86BCEC"/>
    <w:rsid w:val="FFCFD1FF"/>
    <w:rsid w:val="FFDFEEB8"/>
    <w:rsid w:val="FFF7C6E4"/>
    <w:rsid w:val="FFFAB521"/>
    <w:rsid w:val="FFFF98DE"/>
    <w:rsid w:val="FFFFEA2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0" w:firstLineChars="0"/>
      <w:jc w:val="both"/>
    </w:pPr>
    <w:rPr>
      <w:rFonts w:ascii="Times New Roman" w:hAnsi="Times New Roman" w:eastAsia="宋体" w:cstheme="minorBidi"/>
      <w:kern w:val="2"/>
      <w:sz w:val="24"/>
      <w:szCs w:val="24"/>
      <w:lang w:val="en-US" w:eastAsia="zh-CN" w:bidi="ar-SA"/>
    </w:rPr>
  </w:style>
  <w:style w:type="paragraph" w:styleId="2">
    <w:name w:val="heading 1"/>
    <w:basedOn w:val="1"/>
    <w:next w:val="1"/>
    <w:qFormat/>
    <w:uiPriority w:val="0"/>
    <w:pPr>
      <w:keepNext/>
      <w:keepLines/>
      <w:spacing w:beforeLines="0" w:beforeAutospacing="0" w:afterLines="0" w:afterAutospacing="0" w:line="480" w:lineRule="auto"/>
      <w:jc w:val="center"/>
      <w:outlineLvl w:val="0"/>
    </w:pPr>
    <w:rPr>
      <w:b/>
      <w:kern w:val="44"/>
      <w:sz w:val="32"/>
    </w:rPr>
  </w:style>
  <w:style w:type="paragraph" w:styleId="3">
    <w:name w:val="heading 2"/>
    <w:basedOn w:val="1"/>
    <w:next w:val="1"/>
    <w:unhideWhenUsed/>
    <w:qFormat/>
    <w:uiPriority w:val="0"/>
    <w:pPr>
      <w:keepNext/>
      <w:keepLines/>
      <w:spacing w:beforeLines="0" w:beforeAutospacing="0" w:afterLines="0" w:afterAutospacing="0" w:line="360" w:lineRule="auto"/>
      <w:outlineLvl w:val="1"/>
    </w:pPr>
    <w:rPr>
      <w:rFonts w:ascii="Times New Roman" w:hAnsi="Times New Roman" w:eastAsia="宋体"/>
      <w:b/>
      <w:sz w:val="30"/>
    </w:rPr>
  </w:style>
  <w:style w:type="paragraph" w:styleId="4">
    <w:name w:val="heading 3"/>
    <w:basedOn w:val="1"/>
    <w:next w:val="1"/>
    <w:unhideWhenUsed/>
    <w:qFormat/>
    <w:uiPriority w:val="0"/>
    <w:pPr>
      <w:keepNext/>
      <w:keepLines/>
      <w:spacing w:beforeLines="0" w:beforeAutospacing="0" w:afterLines="0" w:afterAutospacing="0" w:line="360" w:lineRule="auto"/>
      <w:outlineLvl w:val="2"/>
    </w:pPr>
    <w:rPr>
      <w:rFonts w:ascii="Times New Roman" w:hAnsi="Times New Roman"/>
      <w:b/>
      <w:sz w:val="28"/>
    </w:rPr>
  </w:style>
  <w:style w:type="paragraph" w:styleId="5">
    <w:name w:val="heading 4"/>
    <w:basedOn w:val="1"/>
    <w:next w:val="1"/>
    <w:link w:val="38"/>
    <w:unhideWhenUsed/>
    <w:qFormat/>
    <w:uiPriority w:val="0"/>
    <w:pPr>
      <w:keepNext/>
      <w:keepLines/>
      <w:spacing w:beforeLines="0" w:beforeAutospacing="0" w:afterLines="0" w:afterAutospacing="0" w:line="360" w:lineRule="auto"/>
      <w:outlineLvl w:val="3"/>
    </w:pPr>
    <w:rPr>
      <w:rFonts w:ascii="Times New Roman" w:hAnsi="Times New Roman" w:eastAsia="宋体"/>
      <w:b/>
      <w:sz w:val="24"/>
    </w:rPr>
  </w:style>
  <w:style w:type="character" w:default="1" w:styleId="27">
    <w:name w:val="Default Paragraph Font"/>
    <w:semiHidden/>
    <w:qFormat/>
    <w:uiPriority w:val="0"/>
  </w:style>
  <w:style w:type="table" w:default="1" w:styleId="25">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Normal Indent"/>
    <w:basedOn w:val="1"/>
    <w:next w:val="7"/>
    <w:qFormat/>
    <w:uiPriority w:val="0"/>
    <w:pPr>
      <w:ind w:firstLine="420"/>
    </w:pPr>
    <w:rPr>
      <w:szCs w:val="20"/>
    </w:rPr>
  </w:style>
  <w:style w:type="paragraph" w:customStyle="1" w:styleId="7">
    <w:name w:val="样式 正文文本 + 首行缩进:  2 字符"/>
    <w:qFormat/>
    <w:uiPriority w:val="99"/>
    <w:pPr>
      <w:spacing w:after="200" w:line="480" w:lineRule="exact"/>
      <w:ind w:firstLine="480" w:firstLineChars="200"/>
      <w:jc w:val="center"/>
    </w:pPr>
    <w:rPr>
      <w:rFonts w:ascii="宋体" w:hAnsi="宋体" w:eastAsia="Calibri" w:cs="Times New Roman"/>
      <w:sz w:val="24"/>
      <w:szCs w:val="22"/>
      <w:lang w:val="en-US" w:eastAsia="zh-CN" w:bidi="ar-SA"/>
    </w:rPr>
  </w:style>
  <w:style w:type="paragraph" w:styleId="8">
    <w:name w:val="caption"/>
    <w:basedOn w:val="1"/>
    <w:next w:val="1"/>
    <w:qFormat/>
    <w:uiPriority w:val="0"/>
    <w:pPr>
      <w:jc w:val="center"/>
    </w:pPr>
    <w:rPr>
      <w:rFonts w:eastAsia="黑体"/>
      <w:color w:val="000000"/>
      <w:sz w:val="21"/>
      <w:szCs w:val="20"/>
    </w:rPr>
  </w:style>
  <w:style w:type="paragraph" w:styleId="9">
    <w:name w:val="List Bullet"/>
    <w:basedOn w:val="1"/>
    <w:qFormat/>
    <w:uiPriority w:val="0"/>
    <w:pPr>
      <w:keepNext w:val="0"/>
      <w:keepLines w:val="0"/>
      <w:widowControl w:val="0"/>
      <w:suppressLineNumbers w:val="0"/>
      <w:tabs>
        <w:tab w:val="left" w:pos="360"/>
      </w:tabs>
      <w:spacing w:line="360" w:lineRule="auto"/>
      <w:ind w:left="360" w:hanging="360" w:firstLineChars="0"/>
      <w:jc w:val="both"/>
    </w:pPr>
    <w:rPr>
      <w:rFonts w:hint="default" w:ascii="Times New Roman" w:hAnsi="Times New Roman" w:eastAsia="宋体" w:cs="Times New Roman"/>
      <w:kern w:val="2"/>
      <w:sz w:val="24"/>
      <w:szCs w:val="24"/>
      <w:lang w:val="en-US" w:eastAsia="zh-CN" w:bidi="ar"/>
    </w:rPr>
  </w:style>
  <w:style w:type="paragraph" w:styleId="10">
    <w:name w:val="annotation text"/>
    <w:basedOn w:val="1"/>
    <w:qFormat/>
    <w:uiPriority w:val="0"/>
    <w:pPr>
      <w:jc w:val="left"/>
    </w:pPr>
  </w:style>
  <w:style w:type="paragraph" w:styleId="11">
    <w:name w:val="Body Text 3"/>
    <w:basedOn w:val="1"/>
    <w:qFormat/>
    <w:uiPriority w:val="0"/>
    <w:pPr>
      <w:adjustRightInd w:val="0"/>
      <w:spacing w:after="120" w:line="360" w:lineRule="atLeast"/>
      <w:jc w:val="left"/>
      <w:textAlignment w:val="baseline"/>
    </w:pPr>
    <w:rPr>
      <w:rFonts w:ascii="Times New Roman" w:hAnsi="Times New Roman"/>
      <w:kern w:val="0"/>
      <w:sz w:val="16"/>
      <w:szCs w:val="16"/>
    </w:rPr>
  </w:style>
  <w:style w:type="paragraph" w:styleId="12">
    <w:name w:val="Body Text"/>
    <w:basedOn w:val="1"/>
    <w:next w:val="1"/>
    <w:unhideWhenUsed/>
    <w:qFormat/>
    <w:uiPriority w:val="0"/>
    <w:pPr>
      <w:spacing w:after="120"/>
    </w:pPr>
    <w:rPr>
      <w:sz w:val="24"/>
      <w:szCs w:val="22"/>
    </w:rPr>
  </w:style>
  <w:style w:type="paragraph" w:styleId="13">
    <w:name w:val="Body Text Indent"/>
    <w:basedOn w:val="1"/>
    <w:qFormat/>
    <w:uiPriority w:val="99"/>
    <w:pPr>
      <w:ind w:firstLine="570"/>
    </w:pPr>
    <w:rPr>
      <w:rFonts w:ascii="宋体"/>
      <w:sz w:val="28"/>
      <w:szCs w:val="20"/>
    </w:rPr>
  </w:style>
  <w:style w:type="paragraph" w:styleId="14">
    <w:name w:val="toc 3"/>
    <w:basedOn w:val="1"/>
    <w:next w:val="1"/>
    <w:qFormat/>
    <w:uiPriority w:val="0"/>
    <w:pPr>
      <w:ind w:left="840" w:leftChars="400"/>
    </w:pPr>
  </w:style>
  <w:style w:type="paragraph" w:styleId="15">
    <w:name w:val="List Bullet 5"/>
    <w:basedOn w:val="1"/>
    <w:qFormat/>
    <w:uiPriority w:val="0"/>
    <w:pPr>
      <w:numPr>
        <w:ilvl w:val="0"/>
        <w:numId w:val="1"/>
      </w:numPr>
    </w:pPr>
  </w:style>
  <w:style w:type="paragraph" w:styleId="16">
    <w:name w:val="footer"/>
    <w:basedOn w:val="1"/>
    <w:qFormat/>
    <w:uiPriority w:val="0"/>
    <w:pPr>
      <w:tabs>
        <w:tab w:val="center" w:pos="4153"/>
        <w:tab w:val="right" w:pos="8306"/>
      </w:tabs>
      <w:snapToGrid w:val="0"/>
      <w:jc w:val="left"/>
    </w:pPr>
    <w:rPr>
      <w:sz w:val="18"/>
    </w:rPr>
  </w:style>
  <w:style w:type="paragraph" w:styleId="17">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8">
    <w:name w:val="toc 1"/>
    <w:basedOn w:val="1"/>
    <w:next w:val="1"/>
    <w:qFormat/>
    <w:uiPriority w:val="0"/>
  </w:style>
  <w:style w:type="paragraph" w:styleId="19">
    <w:name w:val="List"/>
    <w:basedOn w:val="1"/>
    <w:qFormat/>
    <w:uiPriority w:val="0"/>
    <w:pPr>
      <w:spacing w:line="240" w:lineRule="auto"/>
      <w:ind w:left="200" w:hanging="200" w:hangingChars="200"/>
    </w:pPr>
    <w:rPr>
      <w:kern w:val="2"/>
      <w:sz w:val="21"/>
      <w:szCs w:val="24"/>
    </w:rPr>
  </w:style>
  <w:style w:type="paragraph" w:styleId="20">
    <w:name w:val="table of figures"/>
    <w:basedOn w:val="1"/>
    <w:next w:val="1"/>
    <w:qFormat/>
    <w:uiPriority w:val="0"/>
    <w:pPr>
      <w:ind w:left="200" w:leftChars="200" w:hanging="200" w:hangingChars="200"/>
    </w:pPr>
    <w:rPr>
      <w:rFonts w:eastAsia="仿宋_GB2312"/>
      <w:sz w:val="28"/>
      <w:szCs w:val="24"/>
    </w:rPr>
  </w:style>
  <w:style w:type="paragraph" w:styleId="21">
    <w:name w:val="toc 2"/>
    <w:basedOn w:val="1"/>
    <w:next w:val="1"/>
    <w:qFormat/>
    <w:uiPriority w:val="0"/>
    <w:pPr>
      <w:ind w:left="420" w:leftChars="200"/>
    </w:pPr>
  </w:style>
  <w:style w:type="paragraph" w:styleId="22">
    <w:name w:val="Body Text 2"/>
    <w:basedOn w:val="1"/>
    <w:qFormat/>
    <w:uiPriority w:val="0"/>
    <w:pPr>
      <w:spacing w:after="120" w:afterLines="0" w:line="480" w:lineRule="auto"/>
    </w:pPr>
    <w:rPr>
      <w:szCs w:val="24"/>
    </w:rPr>
  </w:style>
  <w:style w:type="paragraph" w:styleId="23">
    <w:name w:val="Normal (Web)"/>
    <w:basedOn w:val="1"/>
    <w:qFormat/>
    <w:uiPriority w:val="99"/>
    <w:pPr>
      <w:widowControl/>
      <w:spacing w:before="100" w:beforeAutospacing="1" w:after="100" w:afterAutospacing="1" w:line="240" w:lineRule="auto"/>
      <w:jc w:val="left"/>
    </w:pPr>
    <w:rPr>
      <w:rFonts w:ascii="宋体" w:hAnsi="宋体"/>
      <w:sz w:val="24"/>
      <w:szCs w:val="24"/>
    </w:rPr>
  </w:style>
  <w:style w:type="paragraph" w:styleId="24">
    <w:name w:val="Body Text First Indent 2"/>
    <w:basedOn w:val="1"/>
    <w:next w:val="13"/>
    <w:qFormat/>
    <w:uiPriority w:val="99"/>
    <w:pPr>
      <w:spacing w:after="120"/>
      <w:ind w:left="420" w:leftChars="200" w:firstLine="420" w:firstLineChars="200"/>
    </w:pPr>
    <w:rPr>
      <w:sz w:val="21"/>
      <w:szCs w:val="24"/>
    </w:rPr>
  </w:style>
  <w:style w:type="table" w:styleId="26">
    <w:name w:val="Table Grid"/>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Hyperlink"/>
    <w:basedOn w:val="27"/>
    <w:qFormat/>
    <w:uiPriority w:val="0"/>
    <w:rPr>
      <w:color w:val="0000FF"/>
      <w:u w:val="single"/>
    </w:rPr>
  </w:style>
  <w:style w:type="character" w:styleId="29">
    <w:name w:val="annotation reference"/>
    <w:qFormat/>
    <w:uiPriority w:val="0"/>
    <w:rPr>
      <w:sz w:val="21"/>
      <w:szCs w:val="21"/>
    </w:rPr>
  </w:style>
  <w:style w:type="paragraph" w:customStyle="1" w:styleId="30">
    <w:name w:val="Default"/>
    <w:basedOn w:val="3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1">
    <w:name w:val="纯文本1"/>
    <w:basedOn w:val="1"/>
    <w:qFormat/>
    <w:uiPriority w:val="0"/>
    <w:pPr>
      <w:adjustRightInd w:val="0"/>
      <w:textAlignment w:val="baseline"/>
    </w:pPr>
    <w:rPr>
      <w:rFonts w:ascii="宋体" w:hAnsi="Courier New"/>
      <w:szCs w:val="20"/>
    </w:rPr>
  </w:style>
  <w:style w:type="paragraph" w:customStyle="1" w:styleId="32">
    <w:name w:val="首行"/>
    <w:basedOn w:val="1"/>
    <w:link w:val="37"/>
    <w:qFormat/>
    <w:uiPriority w:val="0"/>
    <w:pPr>
      <w:ind w:firstLine="1040" w:firstLineChars="200"/>
    </w:pPr>
    <w:rPr>
      <w:rFonts w:ascii="Times New Roman" w:hAnsi="Times New Roman"/>
    </w:rPr>
  </w:style>
  <w:style w:type="paragraph" w:customStyle="1" w:styleId="33">
    <w:name w:val="表头"/>
    <w:next w:val="1"/>
    <w:link w:val="40"/>
    <w:qFormat/>
    <w:uiPriority w:val="0"/>
    <w:pPr>
      <w:spacing w:line="240" w:lineRule="auto"/>
      <w:jc w:val="center"/>
    </w:pPr>
    <w:rPr>
      <w:rFonts w:hint="default" w:ascii="Times New Roman" w:hAnsi="Times New Roman" w:eastAsia="宋体" w:cs="Times New Roman"/>
      <w:b/>
      <w:sz w:val="21"/>
    </w:rPr>
  </w:style>
  <w:style w:type="paragraph" w:customStyle="1" w:styleId="34">
    <w:name w:val="表格内容"/>
    <w:basedOn w:val="1"/>
    <w:qFormat/>
    <w:uiPriority w:val="0"/>
    <w:pPr>
      <w:autoSpaceDE w:val="0"/>
      <w:autoSpaceDN w:val="0"/>
      <w:adjustRightInd w:val="0"/>
      <w:snapToGrid w:val="0"/>
      <w:spacing w:line="240" w:lineRule="auto"/>
      <w:jc w:val="center"/>
    </w:pPr>
    <w:rPr>
      <w:rFonts w:ascii="Times New Roman" w:hAnsi="Times New Roman"/>
      <w:color w:val="000000" w:themeColor="text1"/>
      <w:kern w:val="0"/>
      <w:sz w:val="21"/>
      <w:szCs w:val="21"/>
      <w14:textFill>
        <w14:solidFill>
          <w14:schemeClr w14:val="tx1"/>
        </w14:solidFill>
      </w14:textFill>
    </w:rPr>
  </w:style>
  <w:style w:type="table" w:customStyle="1" w:styleId="35">
    <w:name w:val="33"/>
    <w:qFormat/>
    <w:uiPriority w:val="0"/>
    <w:pPr>
      <w:widowControl w:val="0"/>
      <w:autoSpaceDE w:val="0"/>
      <w:autoSpaceDN w:val="0"/>
      <w:adjustRightInd w:val="0"/>
      <w:snapToGrid w:val="0"/>
    </w:pPr>
    <w:rPr>
      <w:rFonts w:ascii="Times New Roman" w:hAnsi="Times New Roman" w:eastAsia="宋体" w:cs="Times New Roman"/>
      <w:sz w:val="24"/>
      <w:szCs w:val="24"/>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
    <w:tcPr>
      <w:vAlign w:val="center"/>
    </w:tcPr>
  </w:style>
  <w:style w:type="table" w:customStyle="1" w:styleId="36">
    <w:name w:val="Table Normal"/>
    <w:basedOn w:val="25"/>
    <w:semiHidden/>
    <w:unhideWhenUsed/>
    <w:qFormat/>
    <w:uiPriority w:val="0"/>
    <w:tblPr>
      <w:tblCellMar>
        <w:top w:w="0" w:type="dxa"/>
        <w:left w:w="0" w:type="dxa"/>
        <w:bottom w:w="0" w:type="dxa"/>
        <w:right w:w="0" w:type="dxa"/>
      </w:tblCellMar>
    </w:tblPr>
  </w:style>
  <w:style w:type="character" w:customStyle="1" w:styleId="37">
    <w:name w:val="首行 Char"/>
    <w:link w:val="32"/>
    <w:qFormat/>
    <w:uiPriority w:val="0"/>
    <w:rPr>
      <w:rFonts w:ascii="Times New Roman" w:hAnsi="Times New Roman"/>
    </w:rPr>
  </w:style>
  <w:style w:type="character" w:customStyle="1" w:styleId="38">
    <w:name w:val="标题 4 Char"/>
    <w:link w:val="5"/>
    <w:qFormat/>
    <w:uiPriority w:val="0"/>
    <w:rPr>
      <w:rFonts w:ascii="Times New Roman" w:hAnsi="Times New Roman" w:eastAsia="宋体"/>
      <w:b/>
      <w:sz w:val="24"/>
    </w:rPr>
  </w:style>
  <w:style w:type="paragraph" w:customStyle="1" w:styleId="39">
    <w:name w:val="环评正文"/>
    <w:basedOn w:val="1"/>
    <w:next w:val="1"/>
    <w:unhideWhenUsed/>
    <w:qFormat/>
    <w:uiPriority w:val="0"/>
    <w:pPr>
      <w:spacing w:beforeLines="0" w:afterLines="0" w:line="360" w:lineRule="auto"/>
      <w:ind w:firstLine="200" w:firstLineChars="200"/>
    </w:pPr>
    <w:rPr>
      <w:rFonts w:hint="eastAsia"/>
      <w:sz w:val="24"/>
      <w:szCs w:val="24"/>
    </w:rPr>
  </w:style>
  <w:style w:type="character" w:customStyle="1" w:styleId="40">
    <w:name w:val="表头 Char"/>
    <w:link w:val="33"/>
    <w:qFormat/>
    <w:uiPriority w:val="0"/>
    <w:rPr>
      <w:rFonts w:hint="default" w:ascii="Times New Roman" w:hAnsi="Times New Roman" w:eastAsia="宋体" w:cs="Times New Roman"/>
      <w:b/>
      <w:sz w:val="21"/>
    </w:rPr>
  </w:style>
  <w:style w:type="paragraph" w:customStyle="1" w:styleId="41">
    <w:name w:val="表内字"/>
    <w:qFormat/>
    <w:uiPriority w:val="0"/>
    <w:pPr>
      <w:spacing w:before="80" w:after="80"/>
      <w:jc w:val="both"/>
    </w:pPr>
    <w:rPr>
      <w:rFonts w:ascii="Times New Roman" w:hAnsi="Times New Roman" w:eastAsia="宋体" w:cs="Times New Roman"/>
      <w:kern w:val="2"/>
      <w:sz w:val="21"/>
      <w:lang w:val="en-US" w:eastAsia="zh-CN" w:bidi="ar-SA"/>
    </w:rPr>
  </w:style>
  <w:style w:type="paragraph" w:customStyle="1" w:styleId="42">
    <w:name w:val="Table Text"/>
    <w:basedOn w:val="1"/>
    <w:semiHidden/>
    <w:qFormat/>
    <w:uiPriority w:val="0"/>
    <w:rPr>
      <w:rFonts w:ascii="FangSong_GB2312" w:hAnsi="FangSong_GB2312" w:eastAsia="FangSong_GB2312" w:cs="FangSong_GB2312"/>
      <w:sz w:val="27"/>
      <w:szCs w:val="27"/>
      <w:lang w:val="en-US" w:eastAsia="en-US" w:bidi="ar-SA"/>
    </w:rPr>
  </w:style>
  <w:style w:type="paragraph" w:customStyle="1" w:styleId="43">
    <w:name w:val="表中文字"/>
    <w:basedOn w:val="1"/>
    <w:next w:val="1"/>
    <w:qFormat/>
    <w:uiPriority w:val="0"/>
    <w:pPr>
      <w:spacing w:line="240" w:lineRule="exact"/>
      <w:jc w:val="center"/>
    </w:pPr>
    <w:rPr>
      <w:rFonts w:ascii="宋体" w:hAnsi="宋体"/>
      <w:szCs w:val="20"/>
    </w:rPr>
  </w:style>
  <w:style w:type="paragraph" w:customStyle="1" w:styleId="44">
    <w:name w:val="Table Paragraph"/>
    <w:basedOn w:val="1"/>
    <w:qFormat/>
    <w:uiPriority w:val="1"/>
    <w:pPr>
      <w:spacing w:line="240" w:lineRule="auto"/>
      <w:jc w:val="left"/>
    </w:pPr>
    <w:rPr>
      <w:rFonts w:ascii="Calibri" w:hAnsi="Calibri"/>
      <w:kern w:val="0"/>
      <w:sz w:val="22"/>
      <w:szCs w:val="22"/>
    </w:rPr>
  </w:style>
  <w:style w:type="paragraph" w:customStyle="1" w:styleId="45">
    <w:name w:val="！正文"/>
    <w:qFormat/>
    <w:uiPriority w:val="0"/>
    <w:pPr>
      <w:widowControl w:val="0"/>
      <w:autoSpaceDE w:val="0"/>
      <w:autoSpaceDN w:val="0"/>
      <w:spacing w:line="360" w:lineRule="auto"/>
      <w:ind w:firstLine="200" w:firstLineChars="200"/>
    </w:pPr>
    <w:rPr>
      <w:rFonts w:ascii="宋体" w:hAnsi="宋体" w:eastAsia="宋体" w:cs="宋体"/>
      <w:sz w:val="24"/>
      <w:szCs w:val="22"/>
      <w:lang w:val="en-US" w:eastAsia="zh-CN" w:bidi="ar-SA"/>
    </w:rPr>
  </w:style>
  <w:style w:type="paragraph" w:customStyle="1" w:styleId="46">
    <w:name w:val="表格内容1"/>
    <w:basedOn w:val="1"/>
    <w:qFormat/>
    <w:uiPriority w:val="0"/>
    <w:pPr>
      <w:tabs>
        <w:tab w:val="left" w:pos="1535"/>
        <w:tab w:val="left" w:pos="3105"/>
        <w:tab w:val="left" w:pos="4676"/>
        <w:tab w:val="left" w:pos="6247"/>
        <w:tab w:val="left" w:pos="7740"/>
        <w:tab w:val="left" w:pos="9288"/>
      </w:tabs>
      <w:adjustRightInd w:val="0"/>
      <w:snapToGrid w:val="0"/>
      <w:spacing w:line="240" w:lineRule="auto"/>
      <w:ind w:firstLine="0" w:firstLineChars="0"/>
      <w:jc w:val="center"/>
      <w:textAlignment w:val="baseline"/>
    </w:pPr>
    <w:rPr>
      <w:sz w:val="21"/>
      <w:szCs w:val="21"/>
    </w:rPr>
  </w:style>
  <w:style w:type="character" w:customStyle="1" w:styleId="47">
    <w:name w:val="font41"/>
    <w:basedOn w:val="27"/>
    <w:qFormat/>
    <w:uiPriority w:val="0"/>
    <w:rPr>
      <w:rFonts w:hint="eastAsia" w:ascii="宋体" w:hAnsi="宋体" w:eastAsia="宋体" w:cs="宋体"/>
      <w:b/>
      <w:color w:val="000000"/>
      <w:sz w:val="21"/>
      <w:szCs w:val="21"/>
      <w:u w:val="none"/>
    </w:rPr>
  </w:style>
  <w:style w:type="character" w:customStyle="1" w:styleId="48">
    <w:name w:val="font51"/>
    <w:basedOn w:val="27"/>
    <w:unhideWhenUsed/>
    <w:qFormat/>
    <w:uiPriority w:val="0"/>
    <w:rPr>
      <w:rFonts w:hint="eastAsia" w:ascii="宋体" w:hAnsi="宋体" w:eastAsia="宋体"/>
      <w:color w:val="000000"/>
      <w:kern w:val="2"/>
      <w:sz w:val="22"/>
      <w:szCs w:val="24"/>
    </w:rPr>
  </w:style>
  <w:style w:type="character" w:customStyle="1" w:styleId="49">
    <w:name w:val="font71"/>
    <w:basedOn w:val="27"/>
    <w:qFormat/>
    <w:uiPriority w:val="0"/>
    <w:rPr>
      <w:rFonts w:hint="eastAsia" w:ascii="宋体" w:hAnsi="宋体" w:eastAsia="宋体" w:cs="宋体"/>
      <w:color w:val="000000"/>
      <w:sz w:val="24"/>
      <w:szCs w:val="24"/>
      <w:u w:val="none"/>
    </w:rPr>
  </w:style>
  <w:style w:type="paragraph" w:customStyle="1" w:styleId="50">
    <w:name w:val="表格"/>
    <w:basedOn w:val="19"/>
    <w:qFormat/>
    <w:uiPriority w:val="0"/>
    <w:pPr>
      <w:adjustRightInd w:val="0"/>
      <w:snapToGrid w:val="0"/>
      <w:spacing w:beforeLines="10" w:afterLines="10" w:line="259" w:lineRule="auto"/>
      <w:jc w:val="center"/>
    </w:pPr>
    <w:rPr>
      <w:rFonts w:ascii="宋体"/>
      <w:kern w:val="0"/>
      <w:szCs w:val="20"/>
    </w:rPr>
  </w:style>
  <w:style w:type="paragraph" w:customStyle="1" w:styleId="51">
    <w:name w:val="第十二章表头"/>
    <w:basedOn w:val="1"/>
    <w:qFormat/>
    <w:uiPriority w:val="0"/>
    <w:pPr>
      <w:tabs>
        <w:tab w:val="left" w:pos="360"/>
      </w:tabs>
      <w:spacing w:line="360" w:lineRule="auto"/>
      <w:ind w:left="360" w:firstLine="200" w:firstLineChars="200"/>
      <w:jc w:val="center"/>
    </w:pPr>
    <w:rPr>
      <w:b/>
      <w:color w:val="0000FF"/>
      <w:sz w:val="24"/>
    </w:rPr>
  </w:style>
  <w:style w:type="paragraph" w:customStyle="1" w:styleId="52">
    <w:name w:val="表文1"/>
    <w:basedOn w:val="1"/>
    <w:next w:val="1"/>
    <w:qFormat/>
    <w:uiPriority w:val="0"/>
    <w:pPr>
      <w:spacing w:line="312" w:lineRule="auto"/>
      <w:ind w:left="51" w:right="51"/>
      <w:jc w:val="center"/>
    </w:pPr>
    <w:rPr>
      <w:rFonts w:ascii="Calibri" w:hAnsi="Calibri" w:eastAsia="宋体"/>
    </w:rPr>
  </w:style>
  <w:style w:type="paragraph" w:customStyle="1" w:styleId="53">
    <w:name w:val="表后空格"/>
    <w:basedOn w:val="1"/>
    <w:qFormat/>
    <w:uiPriority w:val="0"/>
    <w:pPr>
      <w:spacing w:line="240" w:lineRule="exact"/>
      <w:ind w:firstLine="964" w:firstLineChars="200"/>
    </w:pPr>
    <w:rPr>
      <w:sz w:val="18"/>
      <w:szCs w:val="21"/>
    </w:rPr>
  </w:style>
  <w:style w:type="table" w:customStyle="1" w:styleId="54">
    <w:name w:val="黑框表格"/>
    <w:basedOn w:val="25"/>
    <w:qFormat/>
    <w:uiPriority w:val="99"/>
    <w:pPr>
      <w:jc w:val="center"/>
    </w:pPr>
    <w:rPr>
      <w:rFonts w:ascii="Times New Roman" w:hAnsi="Times New Roman" w:eastAsia="宋体" w:cs="Times New Roman"/>
      <w:kern w:val="0"/>
      <w:szCs w:val="20"/>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vAlign w:val="center"/>
    </w:tcPr>
  </w:style>
  <w:style w:type="paragraph" w:customStyle="1" w:styleId="55">
    <w:name w:val="图标题"/>
    <w:basedOn w:val="1"/>
    <w:qFormat/>
    <w:uiPriority w:val="0"/>
    <w:pPr>
      <w:spacing w:line="360" w:lineRule="auto"/>
      <w:ind w:firstLine="0" w:firstLineChars="0"/>
      <w:jc w:val="center"/>
    </w:pPr>
    <w:rPr>
      <w:rFonts w:eastAsia="黑体" w:cs="Arial" w:asciiTheme="minorHAnsi" w:hAnsiTheme="minorHAnsi"/>
    </w:rPr>
  </w:style>
  <w:style w:type="paragraph" w:customStyle="1" w:styleId="56">
    <w:name w:val="A-z正文"/>
    <w:basedOn w:val="1"/>
    <w:qFormat/>
    <w:uiPriority w:val="0"/>
    <w:pPr>
      <w:adjustRightInd w:val="0"/>
      <w:snapToGrid w:val="0"/>
      <w:spacing w:line="360" w:lineRule="auto"/>
      <w:jc w:val="both"/>
    </w:pPr>
    <w:rPr>
      <w:rFonts w:cs="宋体"/>
      <w:color w:val="000000"/>
      <w:szCs w:val="20"/>
    </w:rPr>
  </w:style>
  <w:style w:type="paragraph" w:customStyle="1" w:styleId="57">
    <w:name w:val="标题 2H2Heading 2 HiddenHeading 2 CCBS2nd levelh22Header..."/>
    <w:basedOn w:val="3"/>
    <w:qFormat/>
    <w:uiPriority w:val="0"/>
    <w:pPr>
      <w:spacing w:before="0" w:after="0" w:line="360" w:lineRule="auto"/>
    </w:pPr>
    <w:rPr>
      <w:rFonts w:ascii="Times New Roman" w:hAnsi="Times New Roman" w:eastAsia="宋体" w:cs="宋体"/>
      <w:sz w:val="30"/>
      <w:szCs w:val="20"/>
    </w:rPr>
  </w:style>
  <w:style w:type="paragraph" w:customStyle="1" w:styleId="58">
    <w:name w:val="样式 正文缩进正文缩进2正文缩进 Char Char正文缩进 Char Char Char Char正文缩进 Char ..."/>
    <w:basedOn w:val="6"/>
    <w:qFormat/>
    <w:uiPriority w:val="0"/>
    <w:pPr>
      <w:spacing w:line="360" w:lineRule="auto"/>
      <w:ind w:firstLine="200"/>
    </w:pPr>
    <w:rPr>
      <w:rFonts w:cs="宋体"/>
      <w:sz w:val="24"/>
    </w:rPr>
  </w:style>
  <w:style w:type="paragraph" w:customStyle="1" w:styleId="59">
    <w:name w:val="_Style 4"/>
    <w:next w:val="1"/>
    <w:qFormat/>
    <w:uiPriority w:val="1"/>
    <w:pPr>
      <w:widowControl w:val="0"/>
      <w:jc w:val="both"/>
    </w:pPr>
    <w:rPr>
      <w:rFonts w:ascii="Calibri" w:hAnsi="Calibri" w:eastAsia="仿宋_GB2312" w:cs="Times New Roman"/>
      <w:kern w:val="2"/>
      <w:sz w:val="24"/>
      <w:szCs w:val="22"/>
      <w:lang w:val="en-US" w:eastAsia="zh-CN" w:bidi="ar-SA"/>
    </w:rPr>
  </w:style>
  <w:style w:type="paragraph" w:customStyle="1" w:styleId="60">
    <w:name w:val="[1]正文"/>
    <w:basedOn w:val="1"/>
    <w:qFormat/>
    <w:uiPriority w:val="0"/>
    <w:pPr>
      <w:autoSpaceDE w:val="0"/>
      <w:autoSpaceDN w:val="0"/>
      <w:ind w:firstLine="200"/>
    </w:pPr>
    <w:rPr>
      <w:color w:val="000000"/>
      <w:kern w:val="0"/>
      <w:szCs w:val="24"/>
      <w:lang w:val="zh-CN"/>
    </w:rPr>
  </w:style>
  <w:style w:type="paragraph" w:customStyle="1" w:styleId="61">
    <w:name w:val="HP 正文"/>
    <w:basedOn w:val="1"/>
    <w:qFormat/>
    <w:uiPriority w:val="0"/>
    <w:pPr>
      <w:autoSpaceDE w:val="0"/>
      <w:autoSpaceDN w:val="0"/>
      <w:adjustRightInd w:val="0"/>
      <w:spacing w:line="440" w:lineRule="exact"/>
      <w:ind w:firstLine="200"/>
    </w:pPr>
  </w:style>
  <w:style w:type="paragraph" w:customStyle="1" w:styleId="62">
    <w:name w:val="我"/>
    <w:basedOn w:val="1"/>
    <w:qFormat/>
    <w:uiPriority w:val="0"/>
    <w:pPr>
      <w:ind w:firstLine="640"/>
    </w:pPr>
    <w:rPr>
      <w:kern w:val="0"/>
      <w:szCs w:val="20"/>
    </w:rPr>
  </w:style>
  <w:style w:type="paragraph" w:customStyle="1" w:styleId="63">
    <w:name w:val="正文(首行缩进)"/>
    <w:basedOn w:val="1"/>
    <w:next w:val="1"/>
    <w:qFormat/>
    <w:uiPriority w:val="0"/>
    <w:pPr>
      <w:spacing w:line="360" w:lineRule="auto"/>
      <w:ind w:firstLine="540" w:firstLineChars="225"/>
    </w:pPr>
    <w:rPr>
      <w:snapToGrid w:val="0"/>
      <w:color w:val="000000"/>
      <w:kern w:val="0"/>
    </w:rPr>
  </w:style>
  <w:style w:type="paragraph" w:customStyle="1" w:styleId="64">
    <w:name w:val="正文A"/>
    <w:basedOn w:val="65"/>
    <w:qFormat/>
    <w:uiPriority w:val="0"/>
    <w:rPr>
      <w:rFonts w:ascii="Times New Roman" w:hAnsi="Times New Roman"/>
    </w:rPr>
  </w:style>
  <w:style w:type="paragraph" w:customStyle="1" w:styleId="65">
    <w:name w:val="正文!!!!!!!!!!!"/>
    <w:basedOn w:val="66"/>
    <w:qFormat/>
    <w:uiPriority w:val="0"/>
    <w:pPr>
      <w:ind w:firstLine="480"/>
    </w:pPr>
    <w:rPr>
      <w:rFonts w:ascii="华文仿宋" w:hAnsi="华文仿宋" w:eastAsia="华文仿宋" w:cs="华文仿宋"/>
    </w:rPr>
  </w:style>
  <w:style w:type="paragraph" w:customStyle="1" w:styleId="66">
    <w:name w:val="正文 楷体"/>
    <w:basedOn w:val="1"/>
    <w:qFormat/>
    <w:uiPriority w:val="0"/>
    <w:pPr>
      <w:spacing w:line="500" w:lineRule="exact"/>
    </w:pPr>
    <w:rPr>
      <w:rFonts w:ascii="楷体_GB2312" w:hAnsi="楷体_GB2312" w:eastAsia="楷体_GB2312" w:cs="宋体"/>
      <w:szCs w:val="24"/>
    </w:rPr>
  </w:style>
  <w:style w:type="paragraph" w:customStyle="1" w:styleId="67">
    <w:name w:val="111111正文"/>
    <w:basedOn w:val="1"/>
    <w:qFormat/>
    <w:uiPriority w:val="99"/>
    <w:pPr>
      <w:spacing w:line="360" w:lineRule="auto"/>
      <w:ind w:firstLine="200" w:firstLineChars="200"/>
    </w:pPr>
    <w:rPr>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4" Type="http://schemas.openxmlformats.org/officeDocument/2006/relationships/fontTable" Target="fontTable.xml"/><Relationship Id="rId43" Type="http://schemas.openxmlformats.org/officeDocument/2006/relationships/customXml" Target="../customXml/item2.xml"/><Relationship Id="rId42" Type="http://schemas.openxmlformats.org/officeDocument/2006/relationships/numbering" Target="numbering.xml"/><Relationship Id="rId41" Type="http://schemas.openxmlformats.org/officeDocument/2006/relationships/customXml" Target="../customXml/item1.xml"/><Relationship Id="rId40" Type="http://schemas.openxmlformats.org/officeDocument/2006/relationships/image" Target="media/image23.png"/><Relationship Id="rId4" Type="http://schemas.openxmlformats.org/officeDocument/2006/relationships/endnotes" Target="endnotes.xml"/><Relationship Id="rId39" Type="http://schemas.openxmlformats.org/officeDocument/2006/relationships/image" Target="media/image22.png"/><Relationship Id="rId38" Type="http://schemas.openxmlformats.org/officeDocument/2006/relationships/image" Target="media/image21.jpeg"/><Relationship Id="rId37" Type="http://schemas.openxmlformats.org/officeDocument/2006/relationships/image" Target="media/image20.png"/><Relationship Id="rId36" Type="http://schemas.openxmlformats.org/officeDocument/2006/relationships/image" Target="media/image19.png"/><Relationship Id="rId35" Type="http://schemas.openxmlformats.org/officeDocument/2006/relationships/image" Target="media/image18.png"/><Relationship Id="rId34" Type="http://schemas.openxmlformats.org/officeDocument/2006/relationships/image" Target="media/image17.jpeg"/><Relationship Id="rId33" Type="http://schemas.openxmlformats.org/officeDocument/2006/relationships/image" Target="media/image16.png"/><Relationship Id="rId32" Type="http://schemas.openxmlformats.org/officeDocument/2006/relationships/image" Target="media/image15.png"/><Relationship Id="rId31" Type="http://schemas.openxmlformats.org/officeDocument/2006/relationships/image" Target="media/image14.png"/><Relationship Id="rId30" Type="http://schemas.openxmlformats.org/officeDocument/2006/relationships/image" Target="media/image13.png"/><Relationship Id="rId3" Type="http://schemas.openxmlformats.org/officeDocument/2006/relationships/footnotes" Target="footnotes.xml"/><Relationship Id="rId29" Type="http://schemas.openxmlformats.org/officeDocument/2006/relationships/image" Target="media/image12.jpeg"/><Relationship Id="rId28" Type="http://schemas.openxmlformats.org/officeDocument/2006/relationships/image" Target="media/image11.png"/><Relationship Id="rId27" Type="http://schemas.openxmlformats.org/officeDocument/2006/relationships/image" Target="media/image10.png"/><Relationship Id="rId26" Type="http://schemas.openxmlformats.org/officeDocument/2006/relationships/image" Target="media/image9.png"/><Relationship Id="rId25" Type="http://schemas.openxmlformats.org/officeDocument/2006/relationships/image" Target="media/image8.wmf"/><Relationship Id="rId24" Type="http://schemas.openxmlformats.org/officeDocument/2006/relationships/image" Target="media/image7.png"/><Relationship Id="rId23" Type="http://schemas.openxmlformats.org/officeDocument/2006/relationships/image" Target="media/image6.png"/><Relationship Id="rId22" Type="http://schemas.openxmlformats.org/officeDocument/2006/relationships/image" Target="media/image5.emf"/><Relationship Id="rId21" Type="http://schemas.openxmlformats.org/officeDocument/2006/relationships/oleObject" Target="embeddings/oleObject3.bin"/><Relationship Id="rId20" Type="http://schemas.openxmlformats.org/officeDocument/2006/relationships/image" Target="media/image4.e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3.jpeg"/><Relationship Id="rId17" Type="http://schemas.openxmlformats.org/officeDocument/2006/relationships/image" Target="media/image2.wmf"/><Relationship Id="rId16" Type="http://schemas.openxmlformats.org/officeDocument/2006/relationships/oleObject" Target="embeddings/oleObject1.bin"/><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7347ac60-7890-4f45-af3a-5ed924e1e214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3087CD2</paraID>
      <start>0</start>
      <end>2</end>
      <status>unmodified</status>
      <modifiedWord/>
      <trackRevisions>false</trackRevisions>
    </reviewItem>
    <reviewItem>
      <errorID>412d2fea-05a5-4093-aaa4-5353be91f39e</errorID>
      <errorWord>-</errorWord>
      <group>L1_Format</group>
      <groupName>格式问题</groupName>
      <ability>L2_HalfPunc</ability>
      <abilityName>全半角检查</abilityName>
      <candidateList>
        <item>－</item>
      </candidateList>
      <explain>文本全半角错误。</explain>
      <paraID>59B3B5CD</paraID>
      <start>27</start>
      <end>28</end>
      <status>ignored</status>
      <modifiedWord/>
      <trackRevisions>false</trackRevisions>
    </reviewItem>
    <reviewItem>
      <errorID>ddb5f114-f8bc-4099-aad8-b2a59e7627ff</errorID>
      <errorWord>-</errorWord>
      <group>L1_Format</group>
      <groupName>格式问题</groupName>
      <ability>L2_HalfPunc</ability>
      <abilityName>全半角检查</abilityName>
      <candidateList>
        <item>－</item>
      </candidateList>
      <explain>文本全半角错误。</explain>
      <paraID>59B3B5CD</paraID>
      <start>28</start>
      <end>29</end>
      <status>unmodified</status>
      <modifiedWord/>
      <trackRevisions>false</trackRevisions>
    </reviewItem>
    <reviewItem>
      <errorID>beb4bfd1-fe38-4de2-a88c-293f4ef44522</errorID>
      <errorWord>（</errorWord>
      <group>L1_Punc</group>
      <groupName>标点问题</groupName>
      <ability>L2_Punc</ability>
      <abilityName>标点符号检查</abilityName>
      <candidateList/>
      <explain>同一形式括号套用。</explain>
      <paraID>59B3B5CD</paraID>
      <start>58</start>
      <end>59</end>
      <status>unmodified</status>
      <modifiedWord/>
      <trackRevisions>false</trackRevisions>
    </reviewItem>
    <reviewItem>
      <errorID>19192077-b114-4e87-bc87-188ff4c91043</errorID>
      <errorWord>）</errorWord>
      <group>L1_Punc</group>
      <groupName>标点问题</groupName>
      <ability>L2_Punc</ability>
      <abilityName>标点符号检查</abilityName>
      <candidateList/>
      <explain>同一形式括号套用。</explain>
      <paraID>59B3B5CD</paraID>
      <start>63</start>
      <end>64</end>
      <status>unmodified</status>
      <modifiedWord/>
      <trackRevisions>false</trackRevisions>
    </reviewItem>
    <reviewItem>
      <errorID>59cdb145-8efa-492b-996b-2540b401da7f</errorID>
      <errorWord>-</errorWord>
      <group>L1_Format</group>
      <groupName>格式问题</groupName>
      <ability>L2_HalfPunc</ability>
      <abilityName>全半角检查</abilityName>
      <candidateList>
        <item>－</item>
      </candidateList>
      <explain>文本全半角错误。</explain>
      <paraID>49DF8BA5</paraID>
      <start>27</start>
      <end>28</end>
      <status>unmodified</status>
      <modifiedWord/>
      <trackRevisions>false</trackRevisions>
    </reviewItem>
    <reviewItem>
      <errorID>4f1c80ee-3c47-4532-b734-84d83761e0ff</errorID>
      <errorWord>-</errorWord>
      <group>L1_Format</group>
      <groupName>格式问题</groupName>
      <ability>L2_HalfPunc</ability>
      <abilityName>全半角检查</abilityName>
      <candidateList>
        <item>－</item>
      </candidateList>
      <explain>文本全半角错误。</explain>
      <paraID>75A22BAE</paraID>
      <start>31</start>
      <end>32</end>
      <status>unmodified</status>
      <modifiedWord/>
      <trackRevisions>false</trackRevisions>
    </reviewItem>
    <reviewItem>
      <errorID>2f0072c8-fc28-4ee9-8ad2-d8c69f1d336c</errorID>
      <errorWord>-</errorWord>
      <group>L1_Format</group>
      <groupName>格式问题</groupName>
      <ability>L2_HalfPunc</ability>
      <abilityName>全半角检查</abilityName>
      <candidateList>
        <item>－</item>
      </candidateList>
      <explain>文本全半角错误。</explain>
      <paraID>302FC6B0</paraID>
      <start>27</start>
      <end>28</end>
      <status>unmodified</status>
      <modifiedWord/>
      <trackRevisions>false</trackRevisions>
    </reviewItem>
    <reviewItem>
      <errorID>fdcf0e9e-7854-49a9-9a0e-8d9e52c70d2d</errorID>
      <errorWord>中共中央国务院</errorWord>
      <group>L1_Political</group>
      <groupName>政治性问题</groupName>
      <ability>L2_Keyword</ability>
      <abilityName>固定表述</abilityName>
      <candidateList>
        <item>中共中央、国务院</item>
      </candidateList>
      <explain>注意检查当前固定表述标点是否使用规范。</explain>
      <paraID>47F5C27D</paraID>
      <start>51</start>
      <end>58</end>
      <status>unmodified</status>
      <modifiedWord/>
      <trackRevisions>false</trackRevisions>
    </reviewItem>
    <reviewItem>
      <errorID>01082495-5352-4439-bc58-9e6d506054e1</errorID>
      <errorWord>“</errorWord>
      <group>L1_Punc</group>
      <groupName>标点问题</groupName>
      <ability>L2_Punc</ability>
      <abilityName>标点符号检查</abilityName>
      <candidateList>
        <item>‘</item>
      </candidateList>
      <explain>当引号中还需要使用引号时，外面一层用双引号，里面一层用单引号。</explain>
      <paraID>6AA85B3D</paraID>
      <start>162</start>
      <end>163</end>
      <status>unmodified</status>
      <modifiedWord/>
      <trackRevisions>false</trackRevisions>
    </reviewItem>
    <reviewItem>
      <errorID>9777b324-116d-4cb5-bb7f-6942cd74ac14</errorID>
      <errorWord>“</errorWord>
      <group>L1_Punc</group>
      <groupName>标点问题</groupName>
      <ability>L2_Punc</ability>
      <abilityName>标点符号检查</abilityName>
      <candidateList>
        <item>‘</item>
      </candidateList>
      <explain>当引号中还需要使用引号时，外面一层用双引号，里面一层用单引号。</explain>
      <paraID>6AA85B3D</paraID>
      <start>223</start>
      <end>224</end>
      <status>unmodified</status>
      <modifiedWord/>
      <trackRevisions>false</trackRevisions>
    </reviewItem>
    <reviewItem>
      <errorID>45b10fd7-e4ae-461e-a8fb-ed74de3bc7ed</errorID>
      <errorWord>“</errorWord>
      <group>L1_Punc</group>
      <groupName>标点问题</groupName>
      <ability>L2_Punc</ability>
      <abilityName>标点符号检查</abilityName>
      <candidateList>
        <item>‘</item>
      </candidateList>
      <explain>当引号中还需要使用引号时，外面一层用双引号，里面一层用单引号。</explain>
      <paraID>6AA85B3D</paraID>
      <start>280</start>
      <end>281</end>
      <status>unmodified</status>
      <modifiedWord/>
      <trackRevisions>false</trackRevisions>
    </reviewItem>
    <reviewItem>
      <errorID>a18ae91e-2e97-4da1-8e6f-679a31b4232b</errorID>
      <errorWord>“</errorWord>
      <group>L1_Punc</group>
      <groupName>标点问题</groupName>
      <ability>L2_Punc</ability>
      <abilityName>标点符号检查</abilityName>
      <candidateList>
        <item>‘</item>
      </candidateList>
      <explain>当引号中还需要使用引号时，外面一层用双引号，里面一层用单引号。</explain>
      <paraID>6AA85B3D</paraID>
      <start>333</start>
      <end>334</end>
      <status>unmodified</status>
      <modifiedWord/>
      <trackRevisions>false</trackRevisions>
    </reviewItem>
    <reviewItem>
      <errorID>565f5fe3-a213-4377-9ce1-fea5ca496dd3</errorID>
      <errorWord>-</errorWord>
      <group>L1_Format</group>
      <groupName>格式问题</groupName>
      <ability>L2_HalfPunc</ability>
      <abilityName>全半角检查</abilityName>
      <candidateList>
        <item>－</item>
      </candidateList>
      <explain>文本全半角错误。</explain>
      <paraID> DD7BD75</paraID>
      <start>245</start>
      <end>246</end>
      <status>unmodified</status>
      <modifiedWord/>
      <trackRevisions>false</trackRevisions>
    </reviewItem>
    <reviewItem>
      <errorID>b395f631-a83d-4fdb-8edc-e5ea9eb6fb29</errorID>
      <errorWord>-</errorWord>
      <group>L1_Format</group>
      <groupName>格式问题</groupName>
      <ability>L2_HalfPunc</ability>
      <abilityName>全半角检查</abilityName>
      <candidateList>
        <item>－</item>
      </candidateList>
      <explain>文本全半角错误。</explain>
      <paraID> DD7BD75</paraID>
      <start>248</start>
      <end>249</end>
      <status>unmodified</status>
      <modifiedWord/>
      <trackRevisions>false</trackRevisions>
    </reviewItem>
    <reviewItem>
      <errorID>5d80219e-7649-4695-a401-8ec736a0e5f0</errorID>
      <errorWord>“</errorWord>
      <group>L1_Punc</group>
      <groupName>标点问题</groupName>
      <ability>L2_Punc</ability>
      <abilityName>标点符号检查</abilityName>
      <candidateList/>
      <explain/>
      <paraID>6F550149</paraID>
      <start>299</start>
      <end>300</end>
      <status>unmodified</status>
      <modifiedWord/>
      <trackRevisions>false</trackRevisions>
    </reviewItem>
    <reviewItem>
      <errorID>bebd7bcb-b131-486e-96e4-8869115d31f7</errorID>
      <errorWord>-</errorWord>
      <group>L1_Format</group>
      <groupName>格式问题</groupName>
      <ability>L2_HalfPunc</ability>
      <abilityName>全半角检查</abilityName>
      <candidateList>
        <item>－</item>
      </candidateList>
      <explain>文本全半角错误。</explain>
      <paraID>5F28021B</paraID>
      <start>129</start>
      <end>130</end>
      <status>unmodified</status>
      <modifiedWord/>
      <trackRevisions>false</trackRevisions>
    </reviewItem>
    <reviewItem>
      <errorID>92767582-9381-459f-9f19-21598f7a92f3</errorID>
      <errorWord>-</errorWord>
      <group>L1_Format</group>
      <groupName>格式问题</groupName>
      <ability>L2_HalfPunc</ability>
      <abilityName>全半角检查</abilityName>
      <candidateList>
        <item>－</item>
      </candidateList>
      <explain>文本全半角错误。</explain>
      <paraID>5F28021B</paraID>
      <start>132</start>
      <end>133</end>
      <status>unmodified</status>
      <modifiedWord/>
      <trackRevisions>false</trackRevisions>
    </reviewItem>
    <reviewItem>
      <errorID>de9b9996-30b6-45c0-848c-dd94d36839a9</errorID>
      <errorWord>-</errorWord>
      <group>L1_Format</group>
      <groupName>格式问题</groupName>
      <ability>L2_HalfPunc</ability>
      <abilityName>全半角检查</abilityName>
      <candidateList>
        <item>－</item>
      </candidateList>
      <explain>文本全半角错误。</explain>
      <paraID>7C169C15</paraID>
      <start>102</start>
      <end>103</end>
      <status>unmodified</status>
      <modifiedWord/>
      <trackRevisions>false</trackRevisions>
    </reviewItem>
    <reviewItem>
      <errorID>e1a01aa6-b9ad-4ac8-ac94-68d19e5a3fba</errorID>
      <errorWord>-</errorWord>
      <group>L1_Format</group>
      <groupName>格式问题</groupName>
      <ability>L2_HalfPunc</ability>
      <abilityName>全半角检查</abilityName>
      <candidateList>
        <item>－</item>
      </candidateList>
      <explain>文本全半角错误。</explain>
      <paraID>7C169C15</paraID>
      <start>105</start>
      <end>106</end>
      <status>unmodified</status>
      <modifiedWord/>
      <trackRevisions>false</trackRevisions>
    </reviewItem>
    <reviewItem>
      <errorID>6dee05fa-6f85-4626-a818-f98222b213ec</errorID>
      <errorWord>，故</errorWord>
      <group>L1_Word</group>
      <groupName>字词问题</groupName>
      <ability>L2_Typo</ability>
      <abilityName>字词错误</abilityName>
      <candidateList>
        <item>，</item>
      </candidateList>
      <explain/>
      <paraID>7C169C15</paraID>
      <start>220</start>
      <end>222</end>
      <status>unmodified</status>
      <modifiedWord/>
      <trackRevisions>false</trackRevisions>
    </reviewItem>
    <reviewItem>
      <errorID>09f0be63-25b0-4dac-941b-debd95da89ce</errorID>
      <errorWord>“</errorWord>
      <group>L1_Punc</group>
      <groupName>标点问题</groupName>
      <ability>L2_Punc</ability>
      <abilityName>标点符号检查</abilityName>
      <candidateList/>
      <explain/>
      <paraID>43EB186D</paraID>
      <start>174</start>
      <end>175</end>
      <status>unmodified</status>
      <modifiedWord/>
      <trackRevisions>false</trackRevisions>
    </reviewItem>
    <reviewItem>
      <errorID>ccf44879-eaf4-4ebd-8b14-e29cdb193119</errorID>
      <errorWord>大气污染处理</errorWord>
      <group>L1_Knowledge</group>
      <groupName>知识性问题</groupName>
      <ability>L2_Term</ability>
      <abilityName>专业术语</abilityName>
      <candidateList>
        <item>大气污染治理</item>
      </candidateList>
      <explain/>
      <paraID>43EB186D</paraID>
      <start>353</start>
      <end>359</end>
      <status>unmodified</status>
      <modifiedWord/>
      <trackRevisions>false</trackRevisions>
    </reviewItem>
    <reviewItem>
      <errorID>9c6ab28d-7a44-4b0d-8938-85ba33398f3b</errorID>
      <errorWord>-</errorWord>
      <group>L1_Format</group>
      <groupName>格式问题</groupName>
      <ability>L2_HalfPunc</ability>
      <abilityName>全半角检查</abilityName>
      <candidateList>
        <item>－</item>
      </candidateList>
      <explain>文本全半角错误。</explain>
      <paraID>259EA5F4</paraID>
      <start>269</start>
      <end>270</end>
      <status>unmodified</status>
      <modifiedWord/>
      <trackRevisions>false</trackRevisions>
    </reviewItem>
    <reviewItem>
      <errorID>297fab70-0692-4617-9e57-9ee84bcc7c69</errorID>
      <errorWord>-</errorWord>
      <group>L1_Format</group>
      <groupName>格式问题</groupName>
      <ability>L2_HalfPunc</ability>
      <abilityName>全半角检查</abilityName>
      <candidateList>
        <item>－</item>
      </candidateList>
      <explain>文本全半角错误。</explain>
      <paraID>259EA5F4</paraID>
      <start>272</start>
      <end>273</end>
      <status>unmodified</status>
      <modifiedWord/>
      <trackRevisions>false</trackRevisions>
    </reviewItem>
    <reviewItem>
      <errorID>8310301d-ebcc-45d8-ac56-9179ab934adb</errorID>
      <errorWord>“</errorWord>
      <group>L1_Punc</group>
      <groupName>标点问题</groupName>
      <ability>L2_Punc</ability>
      <abilityName>标点符号检查</abilityName>
      <candidateList>
        <item>‘</item>
      </candidateList>
      <explain>当引号中还需要使用引号时，外面一层用双引号，里面一层用单引号。</explain>
      <paraID>661350A1</paraID>
      <start>19</start>
      <end>20</end>
      <status>unmodified</status>
      <modifiedWord/>
      <trackRevisions>false</trackRevisions>
    </reviewItem>
    <reviewItem>
      <errorID>d8526694-7ebc-4181-9df8-c4eeb8c796f0</errorID>
      <errorWord>，</errorWord>
      <group>L1_Word</group>
      <groupName>字词问题</groupName>
      <ability>L2_Typo</ability>
      <abilityName>字词错误</abilityName>
      <candidateList>
        <item>，在</item>
      </candidateList>
      <explain/>
      <paraID>661350A1</paraID>
      <start>573</start>
      <end>574</end>
      <status>unmodified</status>
      <modifiedWord/>
      <trackRevisions>false</trackRevisions>
    </reviewItem>
    <reviewItem>
      <errorID>ca3531c8-a0e9-4376-bb05-f79aa5c37004</errorID>
      <errorWord>-</errorWord>
      <group>L1_Format</group>
      <groupName>格式问题</groupName>
      <ability>L2_HalfPunc</ability>
      <abilityName>全半角检查</abilityName>
      <candidateList>
        <item>－</item>
      </candidateList>
      <explain>文本全半角错误。</explain>
      <paraID>6E2AD7A7</paraID>
      <start>333</start>
      <end>334</end>
      <status>unmodified</status>
      <modifiedWord/>
      <trackRevisions>false</trackRevisions>
    </reviewItem>
    <reviewItem>
      <errorID>53082845-1f82-4447-9e54-d3dcc28f8506</errorID>
      <errorWord>-</errorWord>
      <group>L1_Format</group>
      <groupName>格式问题</groupName>
      <ability>L2_HalfPunc</ability>
      <abilityName>全半角检查</abilityName>
      <candidateList>
        <item>－</item>
      </candidateList>
      <explain>文本全半角错误。</explain>
      <paraID>6E2AD7A7</paraID>
      <start>336</start>
      <end>337</end>
      <status>unmodified</status>
      <modifiedWord/>
      <trackRevisions>false</trackRevisions>
    </reviewItem>
    <reviewItem>
      <errorID>37c92a3a-8106-40a8-b2c8-a713383fbe00</errorID>
      <errorWord>)</errorWord>
      <group>L1_Format</group>
      <groupName>格式问题</groupName>
      <ability>L2_HalfPunc</ability>
      <abilityName>全半角检查</abilityName>
      <candidateList>
        <item>）</item>
      </candidateList>
      <explain>文本全半角错误。</explain>
      <paraID>4FF45AF6</paraID>
      <start>157</start>
      <end>158</end>
      <status>unmodified</status>
      <modifiedWord/>
      <trackRevisions>false</trackRevisions>
    </reviewItem>
    <reviewItem>
      <errorID>725acb78-f96c-4158-bb53-9cbc9680883b</errorID>
      <errorWord>检测</errorWord>
      <group>L1_Word</group>
      <groupName>字词问题</groupName>
      <ability>L2_Typo</ability>
      <abilityName>字词错误</abilityName>
      <candidateList>
        <item>监测</item>
      </candidateList>
      <explain/>
      <paraID>3B4CA5E5</paraID>
      <start>85</start>
      <end>87</end>
      <status>unmodified</status>
      <modifiedWord/>
      <trackRevisions>false</trackRevisions>
    </reviewItem>
    <reviewItem>
      <errorID>c97e087b-015f-4f57-9a28-8eff6ffc478a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5FD5AA2B</paraID>
      <start>0</start>
      <end>2</end>
      <status>unmodified</status>
      <modifiedWord/>
      <trackRevisions>false</trackRevisions>
    </reviewItem>
    <reviewItem>
      <errorID>f2a6e0cb-2dfa-4e21-a4a6-99a0ad84b3c5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7CFB6196</paraID>
      <start>0</start>
      <end>2</end>
      <status>unmodified</status>
      <modifiedWord/>
      <trackRevisions>false</trackRevisions>
    </reviewItem>
    <reviewItem>
      <errorID>971b5ed0-2195-42fa-a5a3-2d975ce8758a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17099E05</paraID>
      <start>0</start>
      <end>2</end>
      <status>unmodified</status>
      <modifiedWord/>
      <trackRevisions>false</trackRevisions>
    </reviewItem>
    <reviewItem>
      <errorID>a01f03a0-65a7-4083-9db3-da08f80b4b53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4B93A9ED</paraID>
      <start>0</start>
      <end>2</end>
      <status>unmodified</status>
      <modifiedWord/>
      <trackRevisions>false</trackRevisions>
    </reviewItem>
    <reviewItem>
      <errorID>bf62ec76-fa2e-43a0-817b-84b3e3bda338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3C5CD388</paraID>
      <start>0</start>
      <end>2</end>
      <status>unmodified</status>
      <modifiedWord/>
      <trackRevisions>false</trackRevisions>
    </reviewItem>
    <reviewItem>
      <errorID>7ffda584-098d-483b-8954-335db33fe9e6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3B3BB495</paraID>
      <start>0</start>
      <end>2</end>
      <status>unmodified</status>
      <modifiedWord/>
      <trackRevisions>false</trackRevisions>
    </reviewItem>
    <reviewItem>
      <errorID>819e2d0f-55c2-4dcb-ad9d-1f8c1ee039e5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36341769</paraID>
      <start>0</start>
      <end>2</end>
      <status>unmodified</status>
      <modifiedWord/>
      <trackRevisions>false</trackRevisions>
    </reviewItem>
    <reviewItem>
      <errorID>1fd30ad3-2db8-4cbd-97d1-efb752c2e92b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1A363A03</paraID>
      <start>0</start>
      <end>2</end>
      <status>unmodified</status>
      <modifiedWord/>
      <trackRevisions>false</trackRevisions>
    </reviewItem>
    <reviewItem>
      <errorID>15d6be35-cccf-4470-aff5-97cadf78a180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23B7113B</paraID>
      <start>0</start>
      <end>2</end>
      <status>unmodified</status>
      <modifiedWord/>
      <trackRevisions>false</trackRevisions>
    </reviewItem>
    <reviewItem>
      <errorID>0c7f6bc4-6456-4db0-94f9-7fe613cbf132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3507DDFE</paraID>
      <start>0</start>
      <end>2</end>
      <status>unmodified</status>
      <modifiedWord/>
      <trackRevisions>false</trackRevisions>
    </reviewItem>
    <reviewItem>
      <errorID>4b82194e-400d-4c4a-bde9-afe876b4c567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3BDE580C</paraID>
      <start>0</start>
      <end>2</end>
      <status>unmodified</status>
      <modifiedWord/>
      <trackRevisions>false</trackRevisions>
    </reviewItem>
    <reviewItem>
      <errorID>55de3ecb-bc5f-424d-974f-80c51d72bfd1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63287DB</paraID>
      <start>0</start>
      <end>2</end>
      <status>unmodified</status>
      <modifiedWord/>
      <trackRevisions>false</trackRevisions>
    </reviewItem>
    <reviewItem>
      <errorID>94c02743-0bab-43fb-8fc4-8687842201f0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666CE826</paraID>
      <start>0</start>
      <end>2</end>
      <status>unmodified</status>
      <modifiedWord/>
      <trackRevisions>false</trackRevisions>
    </reviewItem>
    <reviewItem>
      <errorID>3d0452c6-d569-436b-9977-8621d9f4912a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1EF5AB61</paraID>
      <start>0</start>
      <end>2</end>
      <status>unmodified</status>
      <modifiedWord/>
      <trackRevisions>false</trackRevisions>
    </reviewItem>
    <reviewItem>
      <errorID>317152f0-6974-4a38-82c3-ab12658fd3e5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1D5D6ED1</paraID>
      <start>0</start>
      <end>2</end>
      <status>unmodified</status>
      <modifiedWord/>
      <trackRevisions>false</trackRevisions>
    </reviewItem>
    <reviewItem>
      <errorID>be8eb994-61f3-4129-8c1a-53e6de59bc6b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E116874</paraID>
      <start>0</start>
      <end>2</end>
      <status>unmodified</status>
      <modifiedWord/>
      <trackRevisions>false</trackRevisions>
    </reviewItem>
    <reviewItem>
      <errorID>62589b0e-dd2f-4535-8496-3c146afc10ca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6397C2FA</paraID>
      <start>0</start>
      <end>2</end>
      <status>unmodified</status>
      <modifiedWord/>
      <trackRevisions>false</trackRevisions>
    </reviewItem>
    <reviewItem>
      <errorID>65e4d3ac-71b0-418a-b31f-f9563a56f1c1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3E36CBE</paraID>
      <start>0</start>
      <end>2</end>
      <status>unmodified</status>
      <modifiedWord/>
      <trackRevisions>false</trackRevisions>
    </reviewItem>
    <reviewItem>
      <errorID>bb704c8b-a0c6-4506-a365-d1871ba2db87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786B1D18</paraID>
      <start>0</start>
      <end>2</end>
      <status>unmodified</status>
      <modifiedWord/>
      <trackRevisions>false</trackRevisions>
    </reviewItem>
    <reviewItem>
      <errorID>c2e353cb-ce80-424f-bdbb-c8ec6519c58d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CD4D15E</paraID>
      <start>0</start>
      <end>2</end>
      <status>unmodified</status>
      <modifiedWord/>
      <trackRevisions>false</trackRevisions>
    </reviewItem>
    <reviewItem>
      <errorID>0e081de8-a4cf-4696-9605-b7007635847f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2A814563</paraID>
      <start>0</start>
      <end>2</end>
      <status>unmodified</status>
      <modifiedWord/>
      <trackRevisions>false</trackRevisions>
    </reviewItem>
    <reviewItem>
      <errorID>31a5f385-e6df-4dff-8a76-a7dcbd36edec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1BE4A4E6</paraID>
      <start>0</start>
      <end>2</end>
      <status>unmodified</status>
      <modifiedWord/>
      <trackRevisions>false</trackRevisions>
    </reviewItem>
    <reviewItem>
      <errorID>d57db25a-f509-4437-bd62-9a8ad6ce8a68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21C08B1B</paraID>
      <start>0</start>
      <end>2</end>
      <status>unmodified</status>
      <modifiedWord/>
      <trackRevisions>false</trackRevisions>
    </reviewItem>
    <reviewItem>
      <errorID>6beecc21-edec-4ccc-b9db-db31479ba9f8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2FA0B577</paraID>
      <start>0</start>
      <end>2</end>
      <status>unmodified</status>
      <modifiedWord/>
      <trackRevisions>false</trackRevisions>
    </reviewItem>
    <reviewItem>
      <errorID>305bec0e-7604-4b2b-8038-43348a20827f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38BD249C</paraID>
      <start>0</start>
      <end>2</end>
      <status>unmodified</status>
      <modifiedWord/>
      <trackRevisions>false</trackRevisions>
    </reviewItem>
    <reviewItem>
      <errorID>be385049-e70e-4a8c-8377-8fccf2ac750f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14352195</paraID>
      <start>0</start>
      <end>2</end>
      <status>unmodified</status>
      <modifiedWord/>
      <trackRevisions>false</trackRevisions>
    </reviewItem>
    <reviewItem>
      <errorID>ac2c5985-ced2-4df0-a550-e2ee6c4242e9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55444FE6</paraID>
      <start>0</start>
      <end>2</end>
      <status>unmodified</status>
      <modifiedWord/>
      <trackRevisions>false</trackRevisions>
    </reviewItem>
    <reviewItem>
      <errorID>8b698b01-015f-4ff7-b4b1-d70f2a20ce77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65660D68</paraID>
      <start>0</start>
      <end>2</end>
      <status>unmodified</status>
      <modifiedWord/>
      <trackRevisions>false</trackRevisions>
    </reviewItem>
    <reviewItem>
      <errorID>cf906254-0942-4d68-aab9-c71d90992765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2C4AA11B</paraID>
      <start>0</start>
      <end>2</end>
      <status>unmodified</status>
      <modifiedWord/>
      <trackRevisions>false</trackRevisions>
    </reviewItem>
    <reviewItem>
      <errorID>9989eb5b-496a-47be-8fea-2d5f61abe4e0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2112BC35</paraID>
      <start>0</start>
      <end>2</end>
      <status>unmodified</status>
      <modifiedWord/>
      <trackRevisions>false</trackRevisions>
    </reviewItem>
    <reviewItem>
      <errorID>b60e9266-f0f1-424e-b99e-1891479d0fed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222638BD</paraID>
      <start>0</start>
      <end>2</end>
      <status>unmodified</status>
      <modifiedWord/>
      <trackRevisions>false</trackRevisions>
    </reviewItem>
    <reviewItem>
      <errorID>b841467a-5d4a-4484-8861-8d709bd9767d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728FD99F</paraID>
      <start>0</start>
      <end>2</end>
      <status>unmodified</status>
      <modifiedWord/>
      <trackRevisions>false</trackRevisions>
    </reviewItem>
    <reviewItem>
      <errorID>f9d37590-f77b-4c61-9c26-555c94844242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71131EE3</paraID>
      <start>0</start>
      <end>2</end>
      <status>unmodified</status>
      <modifiedWord/>
      <trackRevisions>false</trackRevisions>
    </reviewItem>
    <reviewItem>
      <errorID>9a920ee3-0821-4db9-ac6f-9e04873b3404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71131EE3</paraID>
      <start>34</start>
      <end>35</end>
      <status>unmodified</status>
      <modifiedWord/>
      <trackRevisions>false</trackRevisions>
    </reviewItem>
    <reviewItem>
      <errorID>cf54456c-deb0-47c7-88c8-1fa8813c3e2a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71131EE3</paraID>
      <start>50</start>
      <end>51</end>
      <status>unmodified</status>
      <modifiedWord/>
      <trackRevisions>false</trackRevisions>
    </reviewItem>
    <reviewItem>
      <errorID>c9444482-c168-407e-8ca0-43ed467332d7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7775F80F</paraID>
      <start>0</start>
      <end>2</end>
      <status>unmodified</status>
      <modifiedWord/>
      <trackRevisions>false</trackRevisions>
    </reviewItem>
    <reviewItem>
      <errorID>9d8f9707-dfbb-4163-a2c9-43a152f90a6a</errorID>
      <errorWord>一次</errorWord>
      <group>L1_Knowledge</group>
      <groupName>知识性问题</groupName>
      <ability>L2_Knowledge</ability>
      <abilityName>其他知识</abilityName>
      <candidateList>
        <item>一种</item>
      </candidateList>
      <explain/>
      <paraID>7775F80F</paraID>
      <start>37</start>
      <end>39</end>
      <status>unmodified</status>
      <modifiedWord/>
      <trackRevisions>false</trackRevisions>
    </reviewItem>
    <reviewItem>
      <errorID>eadb48f6-cfc9-4535-81b5-c99ca70c55c5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6B8AAD8B</paraID>
      <start>0</start>
      <end>2</end>
      <status>unmodified</status>
      <modifiedWord/>
      <trackRevisions>false</trackRevisions>
    </reviewItem>
    <reviewItem>
      <errorID>00b59827-a009-44ab-819e-3422f739517d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28F1B78D</paraID>
      <start>0</start>
      <end>2</end>
      <status>unmodified</status>
      <modifiedWord/>
      <trackRevisions>false</trackRevisions>
    </reviewItem>
    <reviewItem>
      <errorID>4b509151-890d-489a-a3c4-f1ad053c126f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57380E63</paraID>
      <start>0</start>
      <end>2</end>
      <status>unmodified</status>
      <modifiedWord/>
      <trackRevisions>false</trackRevisions>
    </reviewItem>
    <reviewItem>
      <errorID>63d89288-11d6-4847-8651-6f511765828d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A0022F3</paraID>
      <start>0</start>
      <end>2</end>
      <status>unmodified</status>
      <modifiedWord/>
      <trackRevisions>false</trackRevisions>
    </reviewItem>
    <reviewItem>
      <errorID>cc877340-eebc-41ce-9aee-92c5f9420972</errorID>
      <errorWord>（</errorWord>
      <group>L1_Punc</group>
      <groupName>标点问题</groupName>
      <ability>L2_Punc</ability>
      <abilityName>标点符号检查</abilityName>
      <candidateList/>
      <explain>同一形式括号套用。</explain>
      <paraID>1FB25811</paraID>
      <start>65</start>
      <end>66</end>
      <status>unmodified</status>
      <modifiedWord/>
      <trackRevisions>false</trackRevisions>
    </reviewItem>
    <reviewItem>
      <errorID>22bab2e1-26e3-4d35-9a6e-7908a05ebcb2</errorID>
      <errorWord>）</errorWord>
      <group>L1_Punc</group>
      <groupName>标点问题</groupName>
      <ability>L2_Punc</ability>
      <abilityName>标点符号检查</abilityName>
      <candidateList/>
      <explain>同一形式括号套用。</explain>
      <paraID>1FB25811</paraID>
      <start>70</start>
      <end>71</end>
      <status>unmodified</status>
      <modifiedWord/>
      <trackRevisions>false</trackRevisions>
    </reviewItem>
    <reviewItem>
      <errorID>ee4947e4-5938-4de6-8e3a-263490cd1e52</errorID>
      <errorWord>（</errorWord>
      <group>L1_Punc</group>
      <groupName>标点问题</groupName>
      <ability>L2_Punc</ability>
      <abilityName>标点符号检查</abilityName>
      <candidateList/>
      <explain>同一形式括号套用。</explain>
      <paraID>1FB25811</paraID>
      <start>157</start>
      <end>158</end>
      <status>unmodified</status>
      <modifiedWord/>
      <trackRevisions>false</trackRevisions>
    </reviewItem>
    <reviewItem>
      <errorID>6c3443c7-02a5-4042-b403-8f2687c2ca4f</errorID>
      <errorWord>）</errorWord>
      <group>L1_Punc</group>
      <groupName>标点问题</groupName>
      <ability>L2_Punc</ability>
      <abilityName>标点符号检查</abilityName>
      <candidateList/>
      <explain>同一形式括号套用。</explain>
      <paraID>1FB25811</paraID>
      <start>167</start>
      <end>168</end>
      <status>unmodified</status>
      <modifiedWord/>
      <trackRevisions>false</trackRevisions>
    </reviewItem>
    <reviewItem>
      <errorID>d7d739c9-d0d6-4865-b47c-af28308ca962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463DED51</paraID>
      <start>0</start>
      <end>2</end>
      <status>unmodified</status>
      <modifiedWord/>
      <trackRevisions>false</trackRevisions>
    </reviewItem>
    <reviewItem>
      <errorID>255823ba-68aa-4c97-a70a-362a683dc02b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3567478C</paraID>
      <start>0</start>
      <end>2</end>
      <status>unmodified</status>
      <modifiedWord/>
      <trackRevisions>false</trackRevisions>
    </reviewItem>
    <reviewItem>
      <errorID>89962032-3e3a-4ba5-af10-8b997af547c0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3B3701DA</paraID>
      <start>0</start>
      <end>2</end>
      <status>unmodified</status>
      <modifiedWord/>
      <trackRevisions>false</trackRevisions>
    </reviewItem>
    <reviewItem>
      <errorID>1b4fddf6-7b8f-43f2-b78a-f994e385349d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5E677E03</paraID>
      <start>65</start>
      <end>66</end>
      <status>unmodified</status>
      <modifiedWord/>
      <trackRevisions>false</trackRevisions>
    </reviewItem>
    <reviewItem>
      <errorID>4cb509da-9776-4abb-923e-6b0f4c796bd3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22F4E6A5</paraID>
      <start>59</start>
      <end>60</end>
      <status>unmodified</status>
      <modifiedWord/>
      <trackRevisions>false</trackRevisions>
    </reviewItem>
    <reviewItem>
      <errorID>46cc3b1a-4239-47a6-97dd-b205dd3c0ccb</errorID>
      <errorWord>-</errorWord>
      <group>L1_Format</group>
      <groupName>格式问题</groupName>
      <ability>L2_HalfPunc</ability>
      <abilityName>全半角检查</abilityName>
      <candidateList>
        <item>－</item>
      </candidateList>
      <explain>文本全半角错误。</explain>
      <paraID>22F4E6A5</paraID>
      <start>272</start>
      <end>273</end>
      <status>unmodified</status>
      <modifiedWord/>
      <trackRevisions>false</trackRevisions>
    </reviewItem>
    <reviewItem>
      <errorID>b4530e86-c3fe-4e7c-b66c-433ce0c4325d</errorID>
      <errorWord>-</errorWord>
      <group>L1_Format</group>
      <groupName>格式问题</groupName>
      <ability>L2_HalfPunc</ability>
      <abilityName>全半角检查</abilityName>
      <candidateList>
        <item>－</item>
      </candidateList>
      <explain>文本全半角错误。</explain>
      <paraID>22F4E6A5</paraID>
      <start>275</start>
      <end>276</end>
      <status>unmodified</status>
      <modifiedWord/>
      <trackRevisions>false</trackRevisions>
    </reviewItem>
    <reviewItem>
      <errorID>b869a68c-5124-43ab-8ddf-54477bbf11a2</errorID>
      <errorWord>战略新兴产业</errorWord>
      <group>L1_Political</group>
      <groupName>政治性问题</groupName>
      <ability>L2_Keyword</ability>
      <abilityName>固定表述</abilityName>
      <candidateList>
        <item>战略性新兴产业</item>
      </candidateList>
      <explain>词汇“战略性新兴产业”在特定场景下为固定表述形式，请确认此处的“战略新兴产业”是否存在不当。</explain>
      <paraID>22F4E6A5</paraID>
      <start>537</start>
      <end>543</end>
      <status>unmodified</status>
      <modifiedWord/>
      <trackRevisions>false</trackRevisions>
    </reviewItem>
    <reviewItem>
      <errorID>36c77758-976f-47ff-bd7c-e903235cf3fc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7CA9CA29</paraID>
      <start>222</start>
      <end>223</end>
      <status>unmodified</status>
      <modifiedWord/>
      <trackRevisions>false</trackRevisions>
    </reviewItem>
    <reviewItem>
      <errorID>f2bda4d6-102a-4cb4-ac36-95eee4f123f3</errorID>
      <errorWord>中共中央国务院</errorWord>
      <group>L1_Political</group>
      <groupName>政治性问题</groupName>
      <ability>L2_Keyword</ability>
      <abilityName>固定表述</abilityName>
      <candidateList>
        <item>中共中央、国务院</item>
      </candidateList>
      <explain>注意检查当前固定表述标点是否使用规范。</explain>
      <paraID>7250C121</paraID>
      <start>4</start>
      <end>11</end>
      <status>unmodified</status>
      <modifiedWord/>
      <trackRevisions>false</trackRevisions>
    </reviewItem>
    <reviewItem>
      <errorID>422ecc4f-a69a-4def-9fbe-d9306c61eaba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46038D07</paraID>
      <start>60</start>
      <end>61</end>
      <status>unmodified</status>
      <modifiedWord/>
      <trackRevisions>false</trackRevisions>
    </reviewItem>
    <reviewItem>
      <errorID>a142cb82-bdf5-48b1-8483-1a4a6fcfc5f5</errorID>
      <errorWord>-</errorWord>
      <group>L1_Format</group>
      <groupName>格式问题</groupName>
      <ability>L2_HalfPunc</ability>
      <abilityName>全半角检查</abilityName>
      <candidateList>
        <item>－</item>
      </candidateList>
      <explain>文本全半角错误。</explain>
      <paraID>77787D7A</paraID>
      <start>15</start>
      <end>16</end>
      <status>unmodified</status>
      <modifiedWord/>
      <trackRevisions>false</trackRevisions>
    </reviewItem>
    <reviewItem>
      <errorID>757a2689-9d26-4805-80df-9fc7b03f3310</errorID>
      <errorWord>海拔高度</errorWord>
      <group>L1_Word</group>
      <groupName>字词问题</groupName>
      <ability>L2_Typo</ability>
      <abilityName>字词错误</abilityName>
      <candidateList>
        <item>海拔</item>
      </candidateList>
      <explain>〈名〉从平均海平面起算的高度。</explain>
      <paraID> FC11A12</paraID>
      <start>5</start>
      <end>9</end>
      <status>unmodified</status>
      <modifiedWord/>
      <trackRevisions>false</trackRevisions>
    </reviewItem>
    <reviewItem>
      <errorID>c8752e81-66bf-403e-a1f5-9127980a960f</errorID>
      <errorWord>〉</errorWord>
      <group>L1_Punc</group>
      <groupName>标点问题</groupName>
      <ability>L2_Punc</ability>
      <abilityName>标点符号检查</abilityName>
      <candidateList/>
      <explain/>
      <paraID>3BF8B277</paraID>
      <start>0</start>
      <end>1</end>
      <status>unmodified</status>
      <modifiedWord/>
      <trackRevisions>false</trackRevisions>
    </reviewItem>
    <reviewItem>
      <errorID>3740cbca-ce4d-47ab-a27d-f4e651a87483</errorID>
      <errorWord>〉</errorWord>
      <group>L1_Punc</group>
      <groupName>标点问题</groupName>
      <ability>L2_Punc</ability>
      <abilityName>标点符号检查</abilityName>
      <candidateList/>
      <explain/>
      <paraID>55948804</paraID>
      <start>0</start>
      <end>1</end>
      <status>unmodified</status>
      <modifiedWord/>
      <trackRevisions>false</trackRevisions>
    </reviewItem>
    <reviewItem>
      <errorID>ad194a00-2fd1-40c7-ae61-8c4d177aba75</errorID>
      <errorWord>〉</errorWord>
      <group>L1_Punc</group>
      <groupName>标点问题</groupName>
      <ability>L2_Punc</ability>
      <abilityName>标点符号检查</abilityName>
      <candidateList/>
      <explain/>
      <paraID>6431B63A</paraID>
      <start>0</start>
      <end>1</end>
      <status>unmodified</status>
      <modifiedWord/>
      <trackRevisions>false</trackRevisions>
    </reviewItem>
    <reviewItem>
      <errorID>8223817e-4206-4bff-a28e-a95da0d5bb39</errorID>
      <errorWord>海拔高度</errorWord>
      <group>L1_Word</group>
      <groupName>字词问题</groupName>
      <ability>L2_Typo</ability>
      <abilityName>字词错误</abilityName>
      <candidateList>
        <item>海拔</item>
      </candidateList>
      <explain>〈名〉从平均海平面起算的高度。</explain>
      <paraID>37DC43F0</paraID>
      <start>2</start>
      <end>6</end>
      <status>unmodified</status>
      <modifiedWord/>
      <trackRevisions>false</trackRevisions>
    </reviewItem>
    <reviewItem>
      <errorID>94f4dc8e-ab03-4511-a0e7-0d87c23764a5</errorID>
      <errorWord>)</errorWord>
      <group>L1_Format</group>
      <groupName>格式问题</groupName>
      <ability>L2_HalfPunc</ability>
      <abilityName>全半角检查</abilityName>
      <candidateList>
        <item>）</item>
      </candidateList>
      <explain>文本全半角错误。</explain>
      <paraID>708881D4</paraID>
      <start>10</start>
      <end>11</end>
      <status>unmodified</status>
      <modifiedWord/>
      <trackRevisions>false</trackRevisions>
    </reviewItem>
    <reviewItem>
      <errorID>bc5c3bd8-31d6-4357-8062-3995f429ff44</errorID>
      <errorWord>-</errorWord>
      <group>L1_Format</group>
      <groupName>格式问题</groupName>
      <ability>L2_HalfPunc</ability>
      <abilityName>全半角检查</abilityName>
      <candidateList>
        <item>－</item>
      </candidateList>
      <explain>文本全半角错误。</explain>
      <paraID>471F0DDB</paraID>
      <start>160</start>
      <end>161</end>
      <status>unmodified</status>
      <modifiedWord/>
      <trackRevisions>false</trackRevisions>
    </reviewItem>
    <reviewItem>
      <errorID>cc5ae63e-87f3-462f-a47b-64467893025e</errorID>
      <errorWord>-</errorWord>
      <group>L1_Format</group>
      <groupName>格式问题</groupName>
      <ability>L2_HalfPunc</ability>
      <abilityName>全半角检查</abilityName>
      <candidateList>
        <item>－</item>
      </candidateList>
      <explain>文本全半角错误。</explain>
      <paraID>471F0DDB</paraID>
      <start>161</start>
      <end>162</end>
      <status>unmodified</status>
      <modifiedWord/>
      <trackRevisions>false</trackRevisions>
    </reviewItem>
    <reviewItem>
      <errorID>57eb120e-f870-42d8-864f-1bdfb635ae2e</errorID>
      <errorWord>相关的其它</errorWord>
      <group>L1_Word</group>
      <groupName>字词问题</groupName>
      <ability>L2_Alias</ability>
      <abilityName>也作/曾用词</abilityName>
      <candidateList>
        <item>相关的其他</item>
      </candidateList>
      <explain>词汇[相关的其它]为不规范表述或旧称，其规范书面表述为[相关的其他]。</explain>
      <paraID>471F0DDB</paraID>
      <start>240</start>
      <end>245</end>
      <status>unmodified</status>
      <modifiedWord/>
      <trackRevisions>false</trackRevisions>
    </reviewItem>
    <reviewItem>
      <errorID>dca4e76f-44b6-401b-8c7b-1f5c4fa60957</errorID>
      <errorWord>-</errorWord>
      <group>L1_Format</group>
      <groupName>格式问题</groupName>
      <ability>L2_HalfPunc</ability>
      <abilityName>全半角检查</abilityName>
      <candidateList>
        <item>－</item>
      </candidateList>
      <explain>文本全半角错误。</explain>
      <paraID>35E16834</paraID>
      <start>75</start>
      <end>76</end>
      <status>unmodified</status>
      <modifiedWord/>
      <trackRevisions>false</trackRevisions>
    </reviewItem>
    <reviewItem>
      <errorID>577f47f4-eace-46b4-bb98-240229954ff0</errorID>
      <errorWord>-</errorWord>
      <group>L1_Format</group>
      <groupName>格式问题</groupName>
      <ability>L2_HalfPunc</ability>
      <abilityName>全半角检查</abilityName>
      <candidateList>
        <item>－</item>
      </candidateList>
      <explain>文本全半角错误。</explain>
      <paraID>331C632E</paraID>
      <start>3</start>
      <end>4</end>
      <status>unmodified</status>
      <modifiedWord/>
      <trackRevisions>false</trackRevisions>
    </reviewItem>
    <reviewItem>
      <errorID>c8b07327-346d-46bf-b54b-01d1c903d241</errorID>
      <errorWord>，...，</errorWord>
      <group>L1_Punc</group>
      <groupName>标点问题</groupName>
      <ability>L2_Punc</ability>
      <abilityName>标点符号检查</abilityName>
      <candidateList>
        <item>，</item>
      </candidateList>
      <explain/>
      <paraID>47580C94</paraID>
      <start>8</start>
      <end>13</end>
      <status>unmodified</status>
      <modifiedWord/>
      <trackRevisions>false</trackRevisions>
    </reviewItem>
    <reviewItem>
      <errorID>e082f136-657c-43a4-af45-981554e0933f</errorID>
      <errorWord>，...，</errorWord>
      <group>L1_Punc</group>
      <groupName>标点问题</groupName>
      <ability>L2_Punc</ability>
      <abilityName>标点符号检查</abilityName>
      <candidateList>
        <item>，</item>
      </candidateList>
      <explain/>
      <paraID>28AE2B61</paraID>
      <start>5</start>
      <end>10</end>
      <status>unmodified</status>
      <modifiedWord/>
      <trackRevisions>false</trackRevisions>
    </reviewItem>
    <reviewItem>
      <errorID>24980888-f33b-4661-888a-a7b4adb1172d</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6296BF5B</paraID>
      <start>0</start>
      <end>3</end>
      <status>unmodified</status>
      <modifiedWord/>
      <trackRevisions>false</trackRevisions>
    </reviewItem>
    <reviewItem>
      <errorID>5188705f-afbe-4a31-8cc3-b6458ab8ee8d</errorID>
      <errorWord>（</errorWord>
      <group>L1_Format</group>
      <groupName>格式问题</groupName>
      <ability>L2_HalfPunc</ability>
      <abilityName>全半角检查</abilityName>
      <candidateList>
        <item>(</item>
      </candidateList>
      <explain>文本全半角错误。</explain>
      <paraID>261FAE18</paraID>
      <start>2</start>
      <end>3</end>
      <status>unmodified</status>
      <modifiedWord/>
      <trackRevisions>false</trackRevisions>
    </reviewItem>
    <reviewItem>
      <errorID>00c7834b-7435-4f46-b6c5-e49f3b5297f2</errorID>
      <errorWord>）</errorWord>
      <group>L1_Format</group>
      <groupName>格式问题</groupName>
      <ability>L2_HalfPunc</ability>
      <abilityName>全半角检查</abilityName>
      <candidateList>
        <item>)</item>
      </candidateList>
      <explain>文本全半角错误。</explain>
      <paraID>261FAE18</paraID>
      <start>4</start>
      <end>5</end>
      <status>unmodified</status>
      <modifiedWord/>
      <trackRevisions>false</trackRevisions>
    </reviewItem>
    <reviewItem>
      <errorID>7a0111e0-2800-426d-998b-566ad1eaf101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67A0C50A</paraID>
      <start>0</start>
      <end>2</end>
      <status>unmodified</status>
      <modifiedWord/>
      <trackRevisions>false</trackRevisions>
    </reviewItem>
    <reviewItem>
      <errorID>c79e452d-2b68-471b-b507-a660f928521c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55A1AADD</paraID>
      <start>0</start>
      <end>2</end>
      <status>unmodified</status>
      <modifiedWord/>
      <trackRevisions>false</trackRevisions>
    </reviewItem>
    <reviewItem>
      <errorID>84aabbd3-6c99-4f2a-bd1c-5ac29cb3cb17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5E2C1AC9</paraID>
      <start>0</start>
      <end>2</end>
      <status>unmodified</status>
      <modifiedWord/>
      <trackRevisions>false</trackRevisions>
    </reviewItem>
    <reviewItem>
      <errorID>30c6f5e9-b4ec-4b6d-87e9-e3a212505df4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736049DA</paraID>
      <start>0</start>
      <end>2</end>
      <status>unmodified</status>
      <modifiedWord/>
      <trackRevisions>false</trackRevisions>
    </reviewItem>
    <reviewItem>
      <errorID>d279d109-cb7c-40dd-b000-f96e6bfb325e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286A1717</paraID>
      <start>0</start>
      <end>2</end>
      <status>unmodified</status>
      <modifiedWord/>
      <trackRevisions>false</trackRevisions>
    </reviewItem>
    <reviewItem>
      <errorID>5af32b47-054b-43c3-8329-cca1fa9684d7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283B58F7</paraID>
      <start>0</start>
      <end>2</end>
      <status>unmodified</status>
      <modifiedWord/>
      <trackRevisions>false</trackRevisions>
    </reviewItem>
    <reviewItem>
      <errorID>7db9bac3-0fbc-4bf8-a6f1-9f22ae5501dd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170BBD73</paraID>
      <start>0</start>
      <end>2</end>
      <status>unmodified</status>
      <modifiedWord/>
      <trackRevisions>false</trackRevisions>
    </reviewItem>
    <reviewItem>
      <errorID>42c57340-fb12-47d3-bae2-34fd2c797754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7E04A365</paraID>
      <start>0</start>
      <end>2</end>
      <status>unmodified</status>
      <modifiedWord/>
      <trackRevisions>false</trackRevisions>
    </reviewItem>
    <reviewItem>
      <errorID>c976f4d4-b647-466a-b311-9d19249918fb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5D96DF3C</paraID>
      <start>0</start>
      <end>2</end>
      <status>unmodified</status>
      <modifiedWord/>
      <trackRevisions>false</trackRevisions>
    </reviewItem>
    <reviewItem>
      <errorID>7fe0b3cb-a246-4f05-9ba8-742083b8d2c1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772BAB9E</paraID>
      <start>0</start>
      <end>2</end>
      <status>unmodified</status>
      <modifiedWord/>
      <trackRevisions>false</trackRevisions>
    </reviewItem>
    <reviewItem>
      <errorID>edaa7017-6d64-4d66-8376-b4276816233e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104751EE</paraID>
      <start>0</start>
      <end>2</end>
      <status>unmodified</status>
      <modifiedWord/>
      <trackRevisions>false</trackRevisions>
    </reviewItem>
    <reviewItem>
      <errorID>327682fa-3539-4de1-9b56-77448c84f7a7</errorID>
      <errorWord>（</errorWord>
      <group>L1_Format</group>
      <groupName>格式问题</groupName>
      <ability>L2_HalfPunc</ability>
      <abilityName>全半角检查</abilityName>
      <candidateList>
        <item>(</item>
      </candidateList>
      <explain>文本全半角错误。</explain>
      <paraID>3E5BF8D6</paraID>
      <start>2</start>
      <end>3</end>
      <status>unmodified</status>
      <modifiedWord/>
      <trackRevisions>false</trackRevisions>
    </reviewItem>
    <reviewItem>
      <errorID>d0d83768-0770-41b2-bbc4-fa7e3929e1fa</errorID>
      <errorWord>）</errorWord>
      <group>L1_Format</group>
      <groupName>格式问题</groupName>
      <ability>L2_HalfPunc</ability>
      <abilityName>全半角检查</abilityName>
      <candidateList>
        <item>)</item>
      </candidateList>
      <explain>文本全半角错误。</explain>
      <paraID>3E5BF8D6</paraID>
      <start>4</start>
      <end>5</end>
      <status>unmodified</status>
      <modifiedWord/>
      <trackRevisions>false</trackRevisions>
    </reviewItem>
    <reviewItem>
      <errorID>a552c3bc-671b-4328-89f0-fb61f546a6aa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59EE5E2</paraID>
      <start>0</start>
      <end>2</end>
      <status>unmodified</status>
      <modifiedWord/>
      <trackRevisions>false</trackRevisions>
    </reviewItem>
    <reviewItem>
      <errorID>78835964-d613-43c3-b6de-6d9ae383900f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1B5F8521</paraID>
      <start>0</start>
      <end>2</end>
      <status>unmodified</status>
      <modifiedWord/>
      <trackRevisions>false</trackRevisions>
    </reviewItem>
    <reviewItem>
      <errorID>830fcb30-2e9f-4876-81df-bb90de261b22</errorID>
      <errorWord>2-3年</errorWord>
      <group>L1_Word</group>
      <groupName>字词问题</groupName>
      <ability>L2_Typo</ability>
      <abilityName>字词错误</abilityName>
      <candidateList>
        <item>2～3年</item>
      </candidateList>
      <explain/>
      <paraID>1B5F8521</paraID>
      <start>7</start>
      <end>11</end>
      <status>unmodified</status>
      <modifiedWord/>
      <trackRevisions>false</trackRevisions>
    </reviewItem>
    <reviewItem>
      <errorID>91a567e8-a376-4734-8d94-11f93bc76b79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4BBF190D</paraID>
      <start>54</start>
      <end>55</end>
      <status>unmodified</status>
      <modifiedWord/>
      <trackRevisions>false</trackRevisions>
    </reviewItem>
    <reviewItem>
      <errorID>ca6ddc15-005c-4c23-9dbd-d94b3e266ed4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5084DE24</paraID>
      <start>62</start>
      <end>63</end>
      <status>unmodified</status>
      <modifiedWord/>
      <trackRevisions>false</trackRevisions>
    </reviewItem>
    <reviewItem>
      <errorID>31ae0cc7-8bb0-48d6-8b66-006ad1c3af0f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7DD066D9</paraID>
      <start>79</start>
      <end>80</end>
      <status>unmodified</status>
      <modifiedWord/>
      <trackRevisions>false</trackRevisions>
    </reviewItem>
    <reviewItem>
      <errorID>9e5539c5-4ef7-4612-baf6-5d6f9faf19ab</errorID>
      <errorWord>用于用于</errorWord>
      <group>L1_Word</group>
      <groupName>字词问题</groupName>
      <ability>L2_Typo</ability>
      <abilityName>字词错误</abilityName>
      <candidateList>
        <item>用于</item>
      </candidateList>
      <explain/>
      <paraID>583A42A5</paraID>
      <start>16</start>
      <end>20</end>
      <status>unmodified</status>
      <modifiedWord/>
      <trackRevisions>false</trackRevisions>
    </reviewItem>
    <reviewItem>
      <errorID>6fe045c9-59bf-4183-a5af-5ae93e59b5d2</errorID>
      <errorWord>)</errorWord>
      <group>L1_Format</group>
      <groupName>格式问题</groupName>
      <ability>L2_HalfPunc</ability>
      <abilityName>全半角检查</abilityName>
      <candidateList>
        <item>）</item>
      </candidateList>
      <explain>文本全半角错误。</explain>
      <paraID>15ED53C6</paraID>
      <start>172</start>
      <end>173</end>
      <status>unmodified</status>
      <modifiedWord/>
      <trackRevisions>false</trackRevisions>
    </reviewItem>
    <reviewItem>
      <errorID>1bded0dd-8052-4e40-bfd9-44994e60f3ae</errorID>
      <errorWord>期</errorWord>
      <group>L1_Word</group>
      <groupName>字词问题</groupName>
      <ability>L2_Typo</ability>
      <abilityName>字词错误</abilityName>
      <candidateList>
        <item>期间</item>
      </candidateList>
      <explain>〈名〉某个时期里面：农忙～｜春节～｜抗战～。</explain>
      <paraID>151C7169</paraID>
      <start>2</start>
      <end>3</end>
      <status>unmodified</status>
      <modifiedWord/>
      <trackRevisions>false</trackRevisions>
    </reviewItem>
    <reviewItem>
      <errorID>26089404-339b-4324-abd1-65d8c977db64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5F05B386</paraID>
      <start>76</start>
      <end>77</end>
      <status>unmodified</status>
      <modifiedWord/>
      <trackRevisions>false</trackRevisions>
    </reviewItem>
    <reviewItem>
      <errorID>8c66b5e8-f705-4ef3-a887-29786aaca3de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18BA6D70</paraID>
      <start>37</start>
      <end>38</end>
      <status>unmodified</status>
      <modifiedWord/>
      <trackRevisions>false</trackRevisions>
    </reviewItem>
    <reviewItem>
      <errorID>a5f4f517-f95e-49f2-9311-2da6829478d7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265A77B3</paraID>
      <start>54</start>
      <end>55</end>
      <status>unmodified</status>
      <modifiedWord/>
      <trackRevisions>false</trackRevisions>
    </reviewItem>
    <reviewItem>
      <errorID>0f53b184-4223-486e-bbac-66483a173fe1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43915AD6</paraID>
      <start>62</start>
      <end>63</end>
      <status>unmodified</status>
      <modifiedWord/>
      <trackRevisions>false</trackRevisions>
    </reviewItem>
    <reviewItem>
      <errorID>e7978501-567c-490d-b2eb-e1bf445ac94f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62F1A94C</paraID>
      <start>79</start>
      <end>80</end>
      <status>unmodified</status>
      <modifiedWord/>
      <trackRevisions>false</trackRevisions>
    </reviewItem>
    <reviewItem>
      <errorID>709d0e9d-fa14-43bc-a96b-3b94b249f51d</errorID>
      <errorWord>-</errorWord>
      <group>L1_Format</group>
      <groupName>格式问题</groupName>
      <ability>L2_HalfPunc</ability>
      <abilityName>全半角检查</abilityName>
      <candidateList>
        <item>－</item>
      </candidateList>
      <explain>文本全半角错误。</explain>
      <paraID>39F20168</paraID>
      <start>35</start>
      <end>36</end>
      <status>unmodified</status>
      <modifiedWord/>
      <trackRevisions>false</trackRevisions>
    </reviewItem>
    <reviewItem>
      <errorID>dad1134a-a39f-4bc5-a9e4-a39a58861258</errorID>
      <errorWord>-</errorWord>
      <group>L1_Format</group>
      <groupName>格式问题</groupName>
      <ability>L2_HalfPunc</ability>
      <abilityName>全半角检查</abilityName>
      <candidateList>
        <item>－</item>
      </candidateList>
      <explain>文本全半角错误。</explain>
      <paraID>362452F8</paraID>
      <start>67</start>
      <end>68</end>
      <status>unmodified</status>
      <modifiedWord/>
      <trackRevisions>false</trackRevisions>
    </reviewItem>
    <reviewItem>
      <errorID>3f6be546-e84f-49b0-b5b5-4faf047af16c</errorID>
      <errorWord>-</errorWord>
      <group>L1_Format</group>
      <groupName>格式问题</groupName>
      <ability>L2_HalfPunc</ability>
      <abilityName>全半角检查</abilityName>
      <candidateList>
        <item>－</item>
      </candidateList>
      <explain>文本全半角错误。</explain>
      <paraID>379CFBD2</paraID>
      <start>46</start>
      <end>47</end>
      <status>unmodified</status>
      <modifiedWord/>
      <trackRevisions>false</trackRevisions>
    </reviewItem>
    <reviewItem>
      <errorID>2da0bdb2-2970-442a-bb28-1afb2e071f83</errorID>
      <errorWord>-</errorWord>
      <group>L1_Format</group>
      <groupName>格式问题</groupName>
      <ability>L2_HalfPunc</ability>
      <abilityName>全半角检查</abilityName>
      <candidateList>
        <item>－</item>
      </candidateList>
      <explain>文本全半角错误。</explain>
      <paraID>379CFBD2</paraID>
      <start>109</start>
      <end>110</end>
      <status>unmodified</status>
      <modifiedWord/>
      <trackRevisions>false</trackRevisions>
    </reviewItem>
    <reviewItem>
      <errorID>f2a50a5b-c847-46b9-b759-ecf096fbc9b9</errorID>
      <errorWord>期</errorWord>
      <group>L1_Word</group>
      <groupName>字词问题</groupName>
      <ability>L2_Typo</ability>
      <abilityName>字词错误</abilityName>
      <candidateList>
        <item>期间</item>
      </candidateList>
      <explain>〈名〉某个时期里面：农忙～｜春节～｜抗战～。</explain>
      <paraID>  AB93AC</paraID>
      <start>2</start>
      <end>3</end>
      <status>unmodified</status>
      <modifiedWord/>
      <trackRevisions>false</trackRevisions>
    </reviewItem>
    <reviewItem>
      <errorID>0c706105-6163-49bb-9917-8570dbec430d</errorID>
      <errorWord>位</errorWord>
      <group>L1_Word</group>
      <groupName>字词问题</groupName>
      <ability>L2_Typo</ability>
      <abilityName>字词错误</abilityName>
      <candidateList>
        <item>位要</item>
      </candidateList>
      <explain/>
      <paraID>  AB93AC</paraID>
      <start>6</start>
      <end>7</end>
      <status>unmodified</status>
      <modifiedWord/>
      <trackRevisions>false</trackRevisions>
    </reviewItem>
    <reviewItem>
      <errorID>143a9670-28f9-4a97-8a6e-1c4c11b09c5f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6470E2BC</paraID>
      <start>29</start>
      <end>30</end>
      <status>unmodified</status>
      <modifiedWord/>
      <trackRevisions>false</trackRevisions>
    </reviewItem>
    <reviewItem>
      <errorID>359749c1-7933-4e1e-ae13-7c9a8dc68ace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21A7E406</paraID>
      <start>4</start>
      <end>5</end>
      <status>unmodified</status>
      <modifiedWord/>
      <trackRevisions>false</trackRevisions>
    </reviewItem>
    <reviewItem>
      <errorID>71e080e9-ba58-47b2-990d-afe125141608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A3A989F</paraID>
      <start>4</start>
      <end>5</end>
      <status>unmodified</status>
      <modifiedWord/>
      <trackRevisions>false</trackRevisions>
    </reviewItem>
    <reviewItem>
      <errorID>9bcb838f-12d2-4ae1-bcb0-0ad3b4b45e13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F26B8EB</paraID>
      <start>4</start>
      <end>5</end>
      <status>unmodified</status>
      <modifiedWord/>
      <trackRevisions>false</trackRevisions>
    </reviewItem>
    <reviewItem>
      <errorID>7cd4b680-81b9-4d8a-8181-392084fdb4e4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59A14B2E</paraID>
      <start>4</start>
      <end>5</end>
      <status>unmodified</status>
      <modifiedWord/>
      <trackRevisions>false</trackRevisions>
    </reviewItem>
    <reviewItem>
      <errorID>6269b20a-4cd0-4c08-bb91-9eb8c56331ed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5E05039C</paraID>
      <start>10</start>
      <end>11</end>
      <status>unmodified</status>
      <modifiedWord/>
      <trackRevisions>false</trackRevisions>
    </reviewItem>
    <reviewItem>
      <errorID>dd5cb6f6-34e9-4f2d-b0aa-5e038000fca9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3D9F2019</paraID>
      <start>2</start>
      <end>3</end>
      <status>unmodified</status>
      <modifiedWord/>
      <trackRevisions>false</trackRevisions>
    </reviewItem>
    <reviewItem>
      <errorID>caf38d01-3482-42a0-8071-4088671ac4c2</errorID>
      <errorWord>8-10%</errorWord>
      <group>L1_Knowledge</group>
      <groupName>知识性问题</groupName>
      <ability>L2_Knowledge</ability>
      <abilityName>其他知识</abilityName>
      <candidateList>
        <item>8%—10%</item>
      </candidateList>
      <explain>1. “8-10%”中的单位“%”仅出现在后一个数字上，容易引起歧义；根据《现代汉语标点符号数字用法规范手册》，数字表示范围两边需要使用统一的格式。2. 根据标点国标 4.13 中的规则，数字、时间或地域连接符应使用（视觉上更长的）“—”或“～”。</explain>
      <paraID> 619D1BE</paraID>
      <start>3</start>
      <end>8</end>
      <status>unmodified</status>
      <modifiedWord/>
      <trackRevisions>false</trackRevisions>
    </reviewItem>
    <reviewItem>
      <errorID>4c277833-e682-4871-b67c-a52584b4bddd</errorID>
      <errorWord>)</errorWord>
      <group>L1_Format</group>
      <groupName>格式问题</groupName>
      <ability>L2_HalfPunc</ability>
      <abilityName>全半角检查</abilityName>
      <candidateList>
        <item>）</item>
      </candidateList>
      <explain>文本全半角错误。</explain>
      <paraID> 619D1BE</paraID>
      <start>8</start>
      <end>9</end>
      <status>unmodified</status>
      <modifiedWord/>
      <trackRevisions>false</trackRevisions>
    </reviewItem>
    <reviewItem>
      <errorID>6da95bc3-9c4d-4362-a210-b873d6c80ce4</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 619D1BE</paraID>
      <start>13</start>
      <end>19</end>
      <status>unmodified</status>
      <modifiedWord/>
      <trackRevisions>false</trackRevisions>
    </reviewItem>
    <reviewItem>
      <errorID>677528c0-357b-49c9-a157-a8a3be1cc9dd</errorID>
      <errorWord>)</errorWord>
      <group>L1_Format</group>
      <groupName>格式问题</groupName>
      <ability>L2_HalfPunc</ability>
      <abilityName>全半角检查</abilityName>
      <candidateList>
        <item>）</item>
      </candidateList>
      <explain>文本全半角错误。</explain>
      <paraID> 619D1BE</paraID>
      <start>19</start>
      <end>20</end>
      <status>unmodified</status>
      <modifiedWord/>
      <trackRevisions>false</trackRevisions>
    </reviewItem>
    <reviewItem>
      <errorID>b6ecbdc7-7d62-4e1a-9c69-9432c1f10379</errorID>
      <errorWord>20-30%</errorWord>
      <group>L1_Knowledge</group>
      <groupName>知识性问题</groupName>
      <ability>L2_Knowledge</ability>
      <abilityName>其他知识</abilityName>
      <candidateList>
        <item>20%—30%</item>
      </candidateList>
      <explain>1. “20-30%”中的单位“%”仅出现在后一个数字上，容易引起歧义；根据《现代汉语标点符号数字用法规范手册》，数字表示范围两边需要使用统一的格式。2. 根据标点国标 4.13 中的规则，数字、时间或地域连接符应使用（视觉上更长的）“—”或“～”。</explain>
      <paraID> 619D1BE</paraID>
      <start>27</start>
      <end>33</end>
      <status>unmodified</status>
      <modifiedWord/>
      <trackRevisions>false</trackRevisions>
    </reviewItem>
    <reviewItem>
      <errorID>796db24e-f4d3-44f0-8317-461ff995e8fa</errorID>
      <errorWord>)</errorWord>
      <group>L1_Format</group>
      <groupName>格式问题</groupName>
      <ability>L2_HalfPunc</ability>
      <abilityName>全半角检查</abilityName>
      <candidateList>
        <item>）</item>
      </candidateList>
      <explain>文本全半角错误。</explain>
      <paraID> 619D1BE</paraID>
      <start>33</start>
      <end>34</end>
      <status>unmodified</status>
      <modifiedWord/>
      <trackRevisions>false</trackRevisions>
    </reviewItem>
    <reviewItem>
      <errorID>d9790f6c-9192-45ee-aef6-de0d02767413</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 619D1BE</paraID>
      <start>39</start>
      <end>45</end>
      <status>unmodified</status>
      <modifiedWord/>
      <trackRevisions>false</trackRevisions>
    </reviewItem>
    <reviewItem>
      <errorID>db3bbab6-b1bd-44c5-9cd6-46caea74e091</errorID>
      <errorWord>)</errorWord>
      <group>L1_Format</group>
      <groupName>格式问题</groupName>
      <ability>L2_HalfPunc</ability>
      <abilityName>全半角检查</abilityName>
      <candidateList>
        <item>）</item>
      </candidateList>
      <explain>文本全半角错误。</explain>
      <paraID> 619D1BE</paraID>
      <start>45</start>
      <end>46</end>
      <status>unmodified</status>
      <modifiedWord/>
      <trackRevisions>false</trackRevisions>
    </reviewItem>
    <reviewItem>
      <errorID>1bd6d759-d4b6-45ea-b8c6-e1619be6f168</errorID>
      <errorWord>30-40%</errorWord>
      <group>L1_Knowledge</group>
      <groupName>知识性问题</groupName>
      <ability>L2_Knowledge</ability>
      <abilityName>其他知识</abilityName>
      <candidateList>
        <item>30%—40%</item>
      </candidateList>
      <explain>1. “30-40%”中的单位“%”仅出现在后一个数字上，容易引起歧义；根据《现代汉语标点符号数字用法规范手册》，数字表示范围两边需要使用统一的格式。2. 根据标点国标 4.13 中的规则，数字、时间或地域连接符应使用（视觉上更长的）“—”或“～”。</explain>
      <paraID> 619D1BE</paraID>
      <start>52</start>
      <end>58</end>
      <status>unmodified</status>
      <modifiedWord/>
      <trackRevisions>false</trackRevisions>
    </reviewItem>
    <reviewItem>
      <errorID>57f7809f-e6a3-4721-b881-5527b0ac9394</errorID>
      <errorWord>)</errorWord>
      <group>L1_Format</group>
      <groupName>格式问题</groupName>
      <ability>L2_HalfPunc</ability>
      <abilityName>全半角检查</abilityName>
      <candidateList>
        <item>）</item>
      </candidateList>
      <explain>文本全半角错误。</explain>
      <paraID> 619D1BE</paraID>
      <start>58</start>
      <end>59</end>
      <status>unmodified</status>
      <modifiedWord/>
      <trackRevisions>false</trackRevisions>
    </reviewItem>
    <reviewItem>
      <errorID>9c00295b-38c8-46bf-960a-3d80d5a9f5b5</errorID>
      <errorWord>45-47%</errorWord>
      <group>L1_Knowledge</group>
      <groupName>知识性问题</groupName>
      <ability>L2_Knowledge</ability>
      <abilityName>其他知识</abilityName>
      <candidateList>
        <item>45%—47%</item>
      </candidateList>
      <explain>1. “45-47%”中的单位“%”仅出现在后一个数字上，容易引起歧义；根据《现代汉语标点符号数字用法规范手册》，数字表示范围两边需要使用统一的格式。2. 根据标点国标 4.13 中的规则，数字、时间或地域连接符应使用（视觉上更长的）“—”或“～”。</explain>
      <paraID>67101C8C</paraID>
      <start>8</start>
      <end>14</end>
      <status>unmodified</status>
      <modifiedWord/>
      <trackRevisions>false</trackRevisions>
    </reviewItem>
    <reviewItem>
      <errorID>824709a1-a9e5-41ed-bb37-3f8354d7f5d0</errorID>
      <errorWord>)</errorWord>
      <group>L1_Format</group>
      <groupName>格式问题</groupName>
      <ability>L2_HalfPunc</ability>
      <abilityName>全半角检查</abilityName>
      <candidateList>
        <item>）</item>
      </candidateList>
      <explain>文本全半角错误。</explain>
      <paraID>67101C8C</paraID>
      <start>14</start>
      <end>15</end>
      <status>unmodified</status>
      <modifiedWord/>
      <trackRevisions>false</trackRevisions>
    </reviewItem>
    <reviewItem>
      <errorID>06c4023a-2be5-4307-a404-4bea47efaad6</errorID>
      <errorWord>53-55%</errorWord>
      <group>L1_Knowledge</group>
      <groupName>知识性问题</groupName>
      <ability>L2_Knowledge</ability>
      <abilityName>其他知识</abilityName>
      <candidateList>
        <item>53%—55%</item>
      </candidateList>
      <explain>1. “53-55%”中的单位“%”仅出现在后一个数字上，容易引起歧义；根据《现代汉语标点符号数字用法规范手册》，数字表示范围两边需要使用统一的格式。2. 根据标点国标 4.13 中的规则，数字、时间或地域连接符应使用（视觉上更长的）“—”或“～”。</explain>
      <paraID>67101C8C</paraID>
      <start>18</start>
      <end>24</end>
      <status>unmodified</status>
      <modifiedWord/>
      <trackRevisions>false</trackRevisions>
    </reviewItem>
    <reviewItem>
      <errorID>8441a36d-55c9-4c6b-b1d5-5f35842c10bd</errorID>
      <errorWord>)</errorWord>
      <group>L1_Format</group>
      <groupName>格式问题</groupName>
      <ability>L2_HalfPunc</ability>
      <abilityName>全半角检查</abilityName>
      <candidateList>
        <item>）</item>
      </candidateList>
      <explain>文本全半角错误。</explain>
      <paraID>67101C8C</paraID>
      <start>24</start>
      <end>25</end>
      <status>unmodified</status>
      <modifiedWord/>
      <trackRevisions>false</trackRevisions>
    </reviewItem>
    <reviewItem>
      <errorID>98c19772-09d3-4f54-8800-e629bc38bd67</errorID>
      <errorWord>PH值</errorWord>
      <group>L1_Word</group>
      <groupName>字词问题</groupName>
      <ability>L2_Typo</ability>
      <abilityName>字词错误</abilityName>
      <candidateList>
        <item>pH值</item>
      </candidateList>
      <explain/>
      <paraID> 22E0220</paraID>
      <start>55</start>
      <end>58</end>
      <status>unmodified</status>
      <modifiedWord/>
      <trackRevisions>false</trackRevisions>
    </reviewItem>
    <reviewItem>
      <errorID>77ee7651-2aaa-4f72-82c8-e0d27fdf28f3</errorID>
      <errorWord>：/；</errorWord>
      <group>L1_Punc</group>
      <groupName>标点问题</groupName>
      <ability>L2_Punc</ability>
      <abilityName>标点符号检查</abilityName>
      <candidateList>
        <item>：</item>
      </candidateList>
      <explain/>
      <paraID> 22E0220</paraID>
      <start>58</start>
      <end>61</end>
      <status>unmodified</status>
      <modifiedWord/>
      <trackRevisions>false</trackRevisions>
    </reviewItem>
    <reviewItem>
      <errorID>9fb239e9-6bae-48ff-b95c-4d5779d7eead</errorID>
      <errorWord>)</errorWord>
      <group>L1_Format</group>
      <groupName>格式问题</groupName>
      <ability>L2_HalfPunc</ability>
      <abilityName>全半角检查</abilityName>
      <candidateList>
        <item>）</item>
      </candidateList>
      <explain>文本全半角错误。</explain>
      <paraID>37685520</paraID>
      <start>9</start>
      <end>10</end>
      <status>unmodified</status>
      <modifiedWord/>
      <trackRevisions>false</trackRevisions>
    </reviewItem>
    <reviewItem>
      <errorID>bd19bd0c-c516-4431-8e14-bba075ba659e</errorID>
      <errorWord>：/；</errorWord>
      <group>L1_Punc</group>
      <groupName>标点问题</groupName>
      <ability>L2_Punc</ability>
      <abilityName>标点符号检查</abilityName>
      <candidateList>
        <item>：</item>
      </candidateList>
      <explain/>
      <paraID> 4CD4347</paraID>
      <start>57</start>
      <end>60</end>
      <status>unmodified</status>
      <modifiedWord/>
      <trackRevisions>false</trackRevisions>
    </reviewItem>
    <reviewItem>
      <errorID>48a6916b-4f59-4d4d-be70-5e52acd3e22b</errorID>
      <errorWord>)</errorWord>
      <group>L1_Format</group>
      <groupName>格式问题</groupName>
      <ability>L2_HalfPunc</ability>
      <abilityName>全半角检查</abilityName>
      <candidateList>
        <item>）</item>
      </candidateList>
      <explain>文本全半角错误。</explain>
      <paraID>6A66FC70</paraID>
      <start>7</start>
      <end>8</end>
      <status>unmodified</status>
      <modifiedWord/>
      <trackRevisions>false</trackRevisions>
    </reviewItem>
    <reviewItem>
      <errorID>7ac00f26-3e3d-4c1d-81f8-7bf5039e6913</errorID>
      <errorWord>)</errorWord>
      <group>L1_Format</group>
      <groupName>格式问题</groupName>
      <ability>L2_HalfPunc</ability>
      <abilityName>全半角检查</abilityName>
      <candidateList>
        <item>）</item>
      </candidateList>
      <explain>文本全半角错误。</explain>
      <paraID>4E9F9D0B</paraID>
      <start>12</start>
      <end>13</end>
      <status>unmodified</status>
      <modifiedWord/>
      <trackRevisions>false</trackRevisions>
    </reviewItem>
    <reviewItem>
      <errorID>aa072a96-3f56-4370-ace9-7b249b052c4a</errorID>
      <errorWord>（</errorWord>
      <group>L1_Format</group>
      <groupName>格式问题</groupName>
      <ability>L2_HalfPunc</ability>
      <abilityName>全半角检查</abilityName>
      <candidateList>
        <item>(</item>
      </candidateList>
      <explain>文本全半角错误。</explain>
      <paraID>3CBC94EA</paraID>
      <start>11</start>
      <end>12</end>
      <status>unmodified</status>
      <modifiedWord/>
      <trackRevisions>false</trackRevisions>
    </reviewItem>
    <reviewItem>
      <errorID>138d51dd-8166-4cfc-8f2a-ac6d996c18d0</errorID>
      <errorWord>）</errorWord>
      <group>L1_Format</group>
      <groupName>格式问题</groupName>
      <ability>L2_HalfPunc</ability>
      <abilityName>全半角检查</abilityName>
      <candidateList>
        <item>)</item>
      </candidateList>
      <explain>文本全半角错误。</explain>
      <paraID>3CBC94EA</paraID>
      <start>15</start>
      <end>16</end>
      <status>unmodified</status>
      <modifiedWord/>
      <trackRevisions>false</trackRevisions>
    </reviewItem>
    <reviewItem>
      <errorID>25976ed5-1359-45cc-9671-35b4b1407c5a</errorID>
      <errorWord>较其它</errorWord>
      <group>L1_Word</group>
      <groupName>字词问题</groupName>
      <ability>L2_Alias</ability>
      <abilityName>也作/曾用词</abilityName>
      <candidateList>
        <item>较其他</item>
      </candidateList>
      <explain>词汇[较其它]为不规范表述或旧称，其规范书面表述为[较其他]。</explain>
      <paraID>3855A203</paraID>
      <start>143</start>
      <end>146</end>
      <status>unmodified</status>
      <modifiedWord/>
      <trackRevisions>false</trackRevisions>
    </reviewItem>
    <reviewItem>
      <errorID>9844b04f-f4b5-4795-a1ba-a7558cc4194a</errorID>
      <errorWord>其它水</errorWord>
      <group>L1_Word</group>
      <groupName>字词问题</groupName>
      <ability>L2_Alias</ability>
      <abilityName>也作/曾用词</abilityName>
      <candidateList>
        <item>其他水</item>
      </candidateList>
      <explain>词汇[其它水]为不规范表述或旧称，其规范书面表述为[其他水]。</explain>
      <paraID>3855A203</paraID>
      <start>211</start>
      <end>214</end>
      <status>unmodified</status>
      <modifiedWord/>
      <trackRevisions>false</trackRevisions>
    </reviewItem>
    <reviewItem>
      <errorID>c16fee4c-0788-42f2-b2c0-30f16164c289</errorID>
      <errorWord>~</errorWord>
      <group>L1_Format</group>
      <groupName>格式问题</groupName>
      <ability>L2_HalfPunc</ability>
      <abilityName>全半角检查</abilityName>
      <candidateList>
        <item>～</item>
      </candidateList>
      <explain>文本全半角错误。</explain>
      <paraID>21D8E214</paraID>
      <start>9</start>
      <end>10</end>
      <status>unmodified</status>
      <modifiedWord/>
      <trackRevisions>false</trackRevisions>
    </reviewItem>
    <reviewItem>
      <errorID>263c7abb-ddd8-4ba9-ab79-a9a43f70d232</errorID>
      <errorWord>~</errorWord>
      <group>L1_Format</group>
      <groupName>格式问题</groupName>
      <ability>L2_HalfPunc</ability>
      <abilityName>全半角检查</abilityName>
      <candidateList>
        <item>～</item>
      </candidateList>
      <explain>文本全半角错误。</explain>
      <paraID>2853FBD1</paraID>
      <start>11</start>
      <end>12</end>
      <status>unmodified</status>
      <modifiedWord/>
      <trackRevisions>false</trackRevisions>
    </reviewItem>
    <reviewItem>
      <errorID>d0718c27-34fe-4a99-a571-7c14ccdfd0b6</errorID>
      <errorWord>~</errorWord>
      <group>L1_Format</group>
      <groupName>格式问题</groupName>
      <ability>L2_HalfPunc</ability>
      <abilityName>全半角检查</abilityName>
      <candidateList>
        <item>～</item>
      </candidateList>
      <explain>文本全半角错误。</explain>
      <paraID>2853FBD1</paraID>
      <start>28</start>
      <end>29</end>
      <status>unmodified</status>
      <modifiedWord/>
      <trackRevisions>false</trackRevisions>
    </reviewItem>
    <reviewItem>
      <errorID>6f8eb328-aeef-419e-b133-4b5a38ecf746</errorID>
      <errorWord>粘稠</errorWord>
      <group>L1_Word</group>
      <groupName>字词问题</groupName>
      <ability>L2_Typo</ability>
      <abilityName>字词错误</abilityName>
      <candidateList>
        <item>黏稠</item>
      </candidateList>
      <explain>存在发音相同字词的误用。</explain>
      <paraID>100A62CE</paraID>
      <start>12</start>
      <end>14</end>
      <status>unmodified</status>
      <modifiedWord/>
      <trackRevisions>false</trackRevisions>
    </reviewItem>
    <reviewItem>
      <errorID>d82fdcd7-02e7-4310-b339-e7bff2da0c76</errorID>
      <errorWord>~</errorWord>
      <group>L1_Format</group>
      <groupName>格式问题</groupName>
      <ability>L2_HalfPunc</ability>
      <abilityName>全半角检查</abilityName>
      <candidateList>
        <item>～</item>
      </candidateList>
      <explain>文本全半角错误。</explain>
      <paraID>62DDC77E</paraID>
      <start>32</start>
      <end>33</end>
      <status>unmodified</status>
      <modifiedWord/>
      <trackRevisions>false</trackRevisions>
    </reviewItem>
    <reviewItem>
      <errorID>10676012-09fc-473a-8066-e3aef88b378b</errorID>
      <errorWord>粘稠</errorWord>
      <group>L1_Word</group>
      <groupName>字词问题</groupName>
      <ability>L2_Typo</ability>
      <abilityName>字词错误</abilityName>
      <candidateList>
        <item>黏稠</item>
      </candidateList>
      <explain>存在发音相同字词的误用。</explain>
      <paraID> CF0E0AC</paraID>
      <start>25</start>
      <end>27</end>
      <status>unmodified</status>
      <modifiedWord/>
      <trackRevisions>false</trackRevisions>
    </reviewItem>
    <reviewItem>
      <errorID>113cce61-3c94-447e-8996-f0ab2cf5c5a0</errorID>
      <errorWord>~</errorWord>
      <group>L1_Format</group>
      <groupName>格式问题</groupName>
      <ability>L2_HalfPunc</ability>
      <abilityName>全半角检查</abilityName>
      <candidateList>
        <item>～</item>
      </candidateList>
      <explain>文本全半角错误。</explain>
      <paraID>217CCF8B</paraID>
      <start>11</start>
      <end>12</end>
      <status>unmodified</status>
      <modifiedWord/>
      <trackRevisions>false</trackRevisions>
    </reviewItem>
    <reviewItem>
      <errorID>15f96d75-dd34-44e3-8924-fd77b685d33e</errorID>
      <errorWord>10%~30%</errorWord>
      <group>L1_Knowledge</group>
      <groupName>知识性问题</groupName>
      <ability>L2_Knowledge</ability>
      <abilityName>其他知识</abilityName>
      <candidateList>
        <item>10%～30%</item>
      </candidateList>
      <explain>1. “10%~30%”中的单位“%”仅出现在后一个数字上，容易引起歧义；根据《现代汉语标点符号数字用法规范手册》，数字表示范围两边需要使用统一的格式。2. 根据标点国标 4.13 中的规则，数字、时间或地域连接符应使用（视觉上更长的）“—”或“～”。</explain>
      <paraID>217CCF8B</paraID>
      <start>26</start>
      <end>33</end>
      <status>unmodified</status>
      <modifiedWord/>
      <trackRevisions>false</trackRevisions>
    </reviewItem>
    <reviewItem>
      <errorID>f03d3608-d84f-436d-84e8-d22725b3ef8e</errorID>
      <errorWord>~</errorWord>
      <group>L1_Format</group>
      <groupName>格式问题</groupName>
      <ability>L2_HalfPunc</ability>
      <abilityName>全半角检查</abilityName>
      <candidateList>
        <item>～</item>
      </candidateList>
      <explain>文本全半角错误。</explain>
      <paraID>217CCF8B</paraID>
      <start>44</start>
      <end>45</end>
      <status>unmodified</status>
      <modifiedWord/>
      <trackRevisions>false</trackRevisions>
    </reviewItem>
    <reviewItem>
      <errorID>78d4fab1-4065-425a-8b0f-674160558169</errorID>
      <errorWord>~</errorWord>
      <group>L1_Format</group>
      <groupName>格式问题</groupName>
      <ability>L2_HalfPunc</ability>
      <abilityName>全半角检查</abilityName>
      <candidateList>
        <item>～</item>
      </candidateList>
      <explain>文本全半角错误。</explain>
      <paraID>1144B5CF</paraID>
      <start>34</start>
      <end>35</end>
      <status>unmodified</status>
      <modifiedWord/>
      <trackRevisions>false</trackRevisions>
    </reviewItem>
    <reviewItem>
      <errorID>7507f59d-c94f-4ec1-96a9-cbd13f54af17</errorID>
      <errorWord>~</errorWord>
      <group>L1_Format</group>
      <groupName>格式问题</groupName>
      <ability>L2_HalfPunc</ability>
      <abilityName>全半角检查</abilityName>
      <candidateList>
        <item>～</item>
      </candidateList>
      <explain>文本全半角错误。</explain>
      <paraID>5F622A03</paraID>
      <start>44</start>
      <end>45</end>
      <status>unmodified</status>
      <modifiedWord/>
      <trackRevisions>false</trackRevisions>
    </reviewItem>
    <reviewItem>
      <errorID>ed34b712-3dc9-4295-b3ca-0c74bdabb799</errorID>
      <errorWord>~</errorWord>
      <group>L1_Format</group>
      <groupName>格式问题</groupName>
      <ability>L2_HalfPunc</ability>
      <abilityName>全半角检查</abilityName>
      <candidateList>
        <item>～</item>
      </candidateList>
      <explain>文本全半角错误。</explain>
      <paraID>305374D9</paraID>
      <start>9</start>
      <end>10</end>
      <status>unmodified</status>
      <modifiedWord/>
      <trackRevisions>false</trackRevisions>
    </reviewItem>
    <reviewItem>
      <errorID>fe2e4232-d009-4374-92da-43dba1aadd53</errorID>
      <errorWord>~</errorWord>
      <group>L1_Format</group>
      <groupName>格式问题</groupName>
      <ability>L2_HalfPunc</ability>
      <abilityName>全半角检查</abilityName>
      <candidateList>
        <item>～</item>
      </candidateList>
      <explain>文本全半角错误。</explain>
      <paraID>305374D9</paraID>
      <start>32</start>
      <end>33</end>
      <status>unmodified</status>
      <modifiedWord/>
      <trackRevisions>false</trackRevisions>
    </reviewItem>
    <reviewItem>
      <errorID>0b79e2b0-debd-48b4-ba76-91fd2d66381f</errorID>
      <errorWord>~</errorWord>
      <group>L1_Format</group>
      <groupName>格式问题</groupName>
      <ability>L2_HalfPunc</ability>
      <abilityName>全半角检查</abilityName>
      <candidateList>
        <item>～</item>
      </candidateList>
      <explain>文本全半角错误。</explain>
      <paraID>449FD701</paraID>
      <start>8</start>
      <end>9</end>
      <status>unmodified</status>
      <modifiedWord/>
      <trackRevisions>false</trackRevisions>
    </reviewItem>
    <reviewItem>
      <errorID>35fc1a8b-5557-45d0-869b-22637b22833d</errorID>
      <errorWord>~</errorWord>
      <group>L1_Format</group>
      <groupName>格式问题</groupName>
      <ability>L2_HalfPunc</ability>
      <abilityName>全半角检查</abilityName>
      <candidateList>
        <item>～</item>
      </candidateList>
      <explain>文本全半角错误。</explain>
      <paraID>7D79FE43</paraID>
      <start>8</start>
      <end>9</end>
      <status>unmodified</status>
      <modifiedWord/>
      <trackRevisions>false</trackRevisions>
    </reviewItem>
    <reviewItem>
      <errorID>a9058b39-fc4d-4cc2-a551-f3cec1a6e8cc</errorID>
      <errorWord>~</errorWord>
      <group>L1_Format</group>
      <groupName>格式问题</groupName>
      <ability>L2_HalfPunc</ability>
      <abilityName>全半角检查</abilityName>
      <candidateList>
        <item>～</item>
      </candidateList>
      <explain>文本全半角错误。</explain>
      <paraID>7D79FE43</paraID>
      <start>30</start>
      <end>31</end>
      <status>unmodified</status>
      <modifiedWord/>
      <trackRevisions>false</trackRevisions>
    </reviewItem>
    <reviewItem>
      <errorID>30773e82-1b38-444f-8ecc-b3a0c849c0a7</errorID>
      <errorWord>：</errorWord>
      <group>L1_Format</group>
      <groupName>格式问题</groupName>
      <ability>L2_HalfPunc</ability>
      <abilityName>全半角检查</abilityName>
      <candidateList>
        <item>:</item>
      </candidateList>
      <explain>文本全半角错误。</explain>
      <paraID>2D49012D</paraID>
      <start>28</start>
      <end>29</end>
      <status>unmodified</status>
      <modifiedWord/>
      <trackRevisions>false</trackRevisions>
    </reviewItem>
    <reviewItem>
      <errorID>f2ddf853-5000-4d0f-b7ac-e75226c60ef4</errorID>
      <errorWord>)</errorWord>
      <group>L1_Format</group>
      <groupName>格式问题</groupName>
      <ability>L2_HalfPunc</ability>
      <abilityName>全半角检查</abilityName>
      <candidateList>
        <item>）</item>
      </candidateList>
      <explain>文本全半角错误。</explain>
      <paraID>690D0CBF</paraID>
      <start>29</start>
      <end>30</end>
      <status>unmodified</status>
      <modifiedWord/>
      <trackRevisions>false</trackRevisions>
    </reviewItem>
    <reviewItem>
      <errorID>9742a644-dea9-4c5f-b196-15165f16fd04</errorID>
      <errorWord>)</errorWord>
      <group>L1_Format</group>
      <groupName>格式问题</groupName>
      <ability>L2_HalfPunc</ability>
      <abilityName>全半角检查</abilityName>
      <candidateList>
        <item>）</item>
      </candidateList>
      <explain>文本全半角错误。</explain>
      <paraID>51F0EB18</paraID>
      <start>25</start>
      <end>26</end>
      <status>unmodified</status>
      <modifiedWord/>
      <trackRevisions>false</trackRevisions>
    </reviewItem>
    <reviewItem>
      <errorID>96ee1c6b-64c7-4ce3-8c78-de47ecbcf7fe</errorID>
      <errorWord>-</errorWord>
      <group>L1_Format</group>
      <groupName>格式问题</groupName>
      <ability>L2_HalfPunc</ability>
      <abilityName>全半角检查</abilityName>
      <candidateList>
        <item>－</item>
      </candidateList>
      <explain>文本全半角错误。</explain>
      <paraID>21EE0413</paraID>
      <start>63</start>
      <end>64</end>
      <status>unmodified</status>
      <modifiedWord/>
      <trackRevisions>false</trackRevisions>
    </reviewItem>
    <reviewItem>
      <errorID>7092f1a6-7785-4c09-931b-04942273d7d1</errorID>
      <errorWord>-</errorWord>
      <group>L1_Format</group>
      <groupName>格式问题</groupName>
      <ability>L2_HalfPunc</ability>
      <abilityName>全半角检查</abilityName>
      <candidateList>
        <item>－</item>
      </candidateList>
      <explain>文本全半角错误。</explain>
      <paraID>4C24B1E4</paraID>
      <start>6</start>
      <end>7</end>
      <status>unmodified</status>
      <modifiedWord/>
      <trackRevisions>false</trackRevisions>
    </reviewItem>
    <reviewItem>
      <errorID>ff3c5249-e555-4372-b602-f15607f5868e</errorID>
      <errorWord>-</errorWord>
      <group>L1_Format</group>
      <groupName>格式问题</groupName>
      <ability>L2_HalfPunc</ability>
      <abilityName>全半角检查</abilityName>
      <candidateList>
        <item>－</item>
      </candidateList>
      <explain>文本全半角错误。</explain>
      <paraID>604D9D8A</paraID>
      <start>6</start>
      <end>7</end>
      <status>unmodified</status>
      <modifiedWord/>
      <trackRevisions>false</trackRevisions>
    </reviewItem>
    <reviewItem>
      <errorID>92763658-02ba-4db8-b99a-1e8ded4dc7b9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6043CBCB</paraID>
      <start>0</start>
      <end>2</end>
      <status>unmodified</status>
      <modifiedWord/>
      <trackRevisions>false</trackRevisions>
    </reviewItem>
    <reviewItem>
      <errorID>61af13a5-eb54-4ea9-b179-eb084b112e4d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6D5C0810</paraID>
      <start>0</start>
      <end>2</end>
      <status>unmodified</status>
      <modifiedWord/>
      <trackRevisions>false</trackRevisions>
    </reviewItem>
    <reviewItem>
      <errorID>40954677-6c67-4463-9be1-aad4b2d37869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3DF6176D</paraID>
      <start>0</start>
      <end>2</end>
      <status>unmodified</status>
      <modifiedWord/>
      <trackRevisions>false</trackRevisions>
    </reviewItem>
    <reviewItem>
      <errorID>91fdb684-ccb2-48cf-91c8-055b106b02b3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45A6DDE5</paraID>
      <start>0</start>
      <end>2</end>
      <status>unmodified</status>
      <modifiedWord/>
      <trackRevisions>false</trackRevisions>
    </reviewItem>
    <reviewItem>
      <errorID>8d4e8378-9aca-476c-a457-bfd6be248980</errorID>
      <errorWord>（</errorWord>
      <group>L1_Punc</group>
      <groupName>标点问题</groupName>
      <ability>L2_Punc</ability>
      <abilityName>标点符号检查</abilityName>
      <candidateList/>
      <explain>同一形式括号套用。</explain>
      <paraID> 7784465</paraID>
      <start>136</start>
      <end>137</end>
      <status>unmodified</status>
      <modifiedWord/>
      <trackRevisions>false</trackRevisions>
    </reviewItem>
    <reviewItem>
      <errorID>90b9fba6-54ad-4c22-9391-16a48bac763d</errorID>
      <errorWord>）</errorWord>
      <group>L1_Punc</group>
      <groupName>标点问题</groupName>
      <ability>L2_Punc</ability>
      <abilityName>标点符号检查</abilityName>
      <candidateList/>
      <explain>同一形式括号套用。</explain>
      <paraID> 7784465</paraID>
      <start>140</start>
      <end>141</end>
      <status>unmodified</status>
      <modifiedWord/>
      <trackRevisions>false</trackRevisions>
    </reviewItem>
    <reviewItem>
      <errorID>fc05a390-1e3f-479b-b4b2-272d90528354</errorID>
      <errorWord>（</errorWord>
      <group>L1_Punc</group>
      <groupName>标点问题</groupName>
      <ability>L2_Punc</ability>
      <abilityName>标点符号检查</abilityName>
      <candidateList/>
      <explain>同一形式括号套用。</explain>
      <paraID> 7784465</paraID>
      <start>171</start>
      <end>172</end>
      <status>unmodified</status>
      <modifiedWord/>
      <trackRevisions>false</trackRevisions>
    </reviewItem>
    <reviewItem>
      <errorID>22fc2685-de72-4763-a972-640f4af093df</errorID>
      <errorWord>）</errorWord>
      <group>L1_Punc</group>
      <groupName>标点问题</groupName>
      <ability>L2_Punc</ability>
      <abilityName>标点符号检查</abilityName>
      <candidateList/>
      <explain>同一形式括号套用。</explain>
      <paraID> 7784465</paraID>
      <start>195</start>
      <end>196</end>
      <status>unmodified</status>
      <modifiedWord/>
      <trackRevisions>false</trackRevisions>
    </reviewItem>
    <reviewItem>
      <errorID>8133d327-68b9-4825-a68a-07638cd01627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62BA70A</paraID>
      <start>0</start>
      <end>2</end>
      <status>unmodified</status>
      <modifiedWord/>
      <trackRevisions>false</trackRevisions>
    </reviewItem>
    <reviewItem>
      <errorID>9125a340-21de-4fd1-865e-233c45066c1a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2F7091A7</paraID>
      <start>0</start>
      <end>2</end>
      <status>unmodified</status>
      <modifiedWord/>
      <trackRevisions>false</trackRevisions>
    </reviewItem>
    <reviewItem>
      <errorID>95dd0747-3bfb-47e5-871d-59a44ec89462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387A0B3D</paraID>
      <start>0</start>
      <end>2</end>
      <status>unmodified</status>
      <modifiedWord/>
      <trackRevisions>false</trackRevisions>
    </reviewItem>
    <reviewItem>
      <errorID>8abe1922-ce76-4d65-8b44-270d2a8f1433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5D54B61B</paraID>
      <start>0</start>
      <end>2</end>
      <status>unmodified</status>
      <modifiedWord/>
      <trackRevisions>false</trackRevisions>
    </reviewItem>
    <reviewItem>
      <errorID>a317982c-025b-4b2b-8ebf-1d628d8e8693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28B4B102</paraID>
      <start>0</start>
      <end>2</end>
      <status>unmodified</status>
      <modifiedWord/>
      <trackRevisions>false</trackRevisions>
    </reviewItem>
    <reviewItem>
      <errorID>0a5bd913-33f8-4cee-9784-b8302f95ef28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4C91DD1A</paraID>
      <start>0</start>
      <end>3</end>
      <status>unmodified</status>
      <modifiedWord/>
      <trackRevisions>false</trackRevisions>
    </reviewItem>
    <reviewItem>
      <errorID>062a51fc-68a7-4365-8070-cb4ae924c120</errorID>
      <errorWord>沾取</errorWord>
      <group>L1_Word</group>
      <groupName>字词问题</groupName>
      <ability>L2_Typo</ability>
      <abilityName>字词错误</abilityName>
      <candidateList>
        <item>蘸取</item>
      </candidateList>
      <explain/>
      <paraID>1A888DF0</paraID>
      <start>21</start>
      <end>23</end>
      <status>unmodified</status>
      <modifiedWord/>
      <trackRevisions>false</trackRevisions>
    </reviewItem>
    <reviewItem>
      <errorID>785e8a00-0b3f-42c6-8933-6f1ff44f5648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29870A4C</paraID>
      <start>0</start>
      <end>3</end>
      <status>unmodified</status>
      <modifiedWord/>
      <trackRevisions>false</trackRevisions>
    </reviewItem>
    <reviewItem>
      <errorID>ab8f7fb6-a2dd-4eab-8b8a-ad4f913a4f64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1517E676</paraID>
      <start>0</start>
      <end>3</end>
      <status>unmodified</status>
      <modifiedWord/>
      <trackRevisions>false</trackRevisions>
    </reviewItem>
    <reviewItem>
      <errorID>5e569865-76c4-4e64-bb61-ae36e8f33217</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2BFB4138</paraID>
      <start>0</start>
      <end>3</end>
      <status>unmodified</status>
      <modifiedWord/>
      <trackRevisions>false</trackRevisions>
    </reviewItem>
    <reviewItem>
      <errorID>99f6edf6-de40-47a8-b8d2-4d6784ac95a6</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61CDD6DD</paraID>
      <start>0</start>
      <end>3</end>
      <status>unmodified</status>
      <modifiedWord/>
      <trackRevisions>false</trackRevisions>
    </reviewItem>
    <reviewItem>
      <errorID>f2d67ac7-38b6-4e4d-b851-bc21113b5c7a</errorID>
      <errorWord>沾取</errorWord>
      <group>L1_Word</group>
      <groupName>字词问题</groupName>
      <ability>L2_Typo</ability>
      <abilityName>字词错误</abilityName>
      <candidateList>
        <item>蘸取</item>
      </candidateList>
      <explain/>
      <paraID>1FB6A589</paraID>
      <start>27</start>
      <end>29</end>
      <status>unmodified</status>
      <modifiedWord/>
      <trackRevisions>false</trackRevisions>
    </reviewItem>
    <reviewItem>
      <errorID>e0cb4309-1f3d-4f27-b16e-1ca2b46e7cc1</errorID>
      <errorWord>,</errorWord>
      <group>L1_Format</group>
      <groupName>格式问题</groupName>
      <ability>L2_HalfPunc</ability>
      <abilityName>全半角检查</abilityName>
      <candidateList>
        <item>，</item>
      </candidateList>
      <explain>文本全半角错误。</explain>
      <paraID>1FB6A589</paraID>
      <start>104</start>
      <end>105</end>
      <status>unmodified</status>
      <modifiedWord/>
      <trackRevisions>false</trackRevisions>
    </reviewItem>
    <reviewItem>
      <errorID>0af3c168-e0cc-4e8e-beb8-c53741e87cb2</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55B33928</paraID>
      <start>0</start>
      <end>3</end>
      <status>unmodified</status>
      <modifiedWord/>
      <trackRevisions>false</trackRevisions>
    </reviewItem>
    <reviewItem>
      <errorID>5765035d-0f47-4654-b9d3-495e5d9c631d</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37802FCC</paraID>
      <start>0</start>
      <end>3</end>
      <status>unmodified</status>
      <modifiedWord/>
      <trackRevisions>false</trackRevisions>
    </reviewItem>
    <reviewItem>
      <errorID>fde714b2-0e9e-4498-a9d4-59f884ad3d2b</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3992BF12</paraID>
      <start>0</start>
      <end>3</end>
      <status>unmodified</status>
      <modifiedWord/>
      <trackRevisions>false</trackRevisions>
    </reviewItem>
    <reviewItem>
      <errorID>8cf9ab28-8d0a-4439-b1e2-a5a6dcfea531</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292DCB1F</paraID>
      <start>0</start>
      <end>3</end>
      <status>unmodified</status>
      <modifiedWord/>
      <trackRevisions>false</trackRevisions>
    </reviewItem>
    <reviewItem>
      <errorID>699fe391-4c5e-4fad-b50c-6a6bef9339a1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7A32A8E0</paraID>
      <start>0</start>
      <end>2</end>
      <status>unmodified</status>
      <modifiedWord/>
      <trackRevisions>false</trackRevisions>
    </reviewItem>
    <reviewItem>
      <errorID>371b50fe-7b31-4cf7-8075-c877e9d24298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4B5FFCAE</paraID>
      <start>0</start>
      <end>2</end>
      <status>unmodified</status>
      <modifiedWord/>
      <trackRevisions>false</trackRevisions>
    </reviewItem>
    <reviewItem>
      <errorID>e847cd2a-fec4-45c7-a57d-6fd405fe17bd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4A9402FD</paraID>
      <start>0</start>
      <end>2</end>
      <status>unmodified</status>
      <modifiedWord/>
      <trackRevisions>false</trackRevisions>
    </reviewItem>
    <reviewItem>
      <errorID>d038872d-8d41-4918-8104-0fa92eb02c00</errorID>
      <errorWord>（</errorWord>
      <group>L1_Punc</group>
      <groupName>标点问题</groupName>
      <ability>L2_Punc</ability>
      <abilityName>标点符号检查</abilityName>
      <candidateList/>
      <explain>同一形式括号套用。</explain>
      <paraID>2025AF71</paraID>
      <start>170</start>
      <end>171</end>
      <status>unmodified</status>
      <modifiedWord/>
      <trackRevisions>false</trackRevisions>
    </reviewItem>
    <reviewItem>
      <errorID>cb550c47-62c3-4649-bada-567f145d8480</errorID>
      <errorWord>）</errorWord>
      <group>L1_Punc</group>
      <groupName>标点问题</groupName>
      <ability>L2_Punc</ability>
      <abilityName>标点符号检查</abilityName>
      <candidateList/>
      <explain>同一形式括号套用。</explain>
      <paraID>2025AF71</paraID>
      <start>174</start>
      <end>175</end>
      <status>unmodified</status>
      <modifiedWord/>
      <trackRevisions>false</trackRevisions>
    </reviewItem>
    <reviewItem>
      <errorID>1bf232ec-cd47-48f5-95ae-a4d4a223054b</errorID>
      <errorWord>（</errorWord>
      <group>L1_Punc</group>
      <groupName>标点问题</groupName>
      <ability>L2_Punc</ability>
      <abilityName>标点符号检查</abilityName>
      <candidateList/>
      <explain>同一形式括号套用。</explain>
      <paraID>2025AF71</paraID>
      <start>178</start>
      <end>179</end>
      <status>unmodified</status>
      <modifiedWord/>
      <trackRevisions>false</trackRevisions>
    </reviewItem>
    <reviewItem>
      <errorID>f6256305-3f67-4c22-9c4b-77ca123e129b</errorID>
      <errorWord>）</errorWord>
      <group>L1_Punc</group>
      <groupName>标点问题</groupName>
      <ability>L2_Punc</ability>
      <abilityName>标点符号检查</abilityName>
      <candidateList/>
      <explain>同一形式括号套用。</explain>
      <paraID>2025AF71</paraID>
      <start>183</start>
      <end>184</end>
      <status>unmodified</status>
      <modifiedWord/>
      <trackRevisions>false</trackRevisions>
    </reviewItem>
    <reviewItem>
      <errorID>2ee70002-37c8-42b7-a935-44bece030032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52E1787F</paraID>
      <start>0</start>
      <end>2</end>
      <status>unmodified</status>
      <modifiedWord/>
      <trackRevisions>false</trackRevisions>
    </reviewItem>
    <reviewItem>
      <errorID>51675d2c-9021-4e3a-9e6d-7df929615c00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261E1BE4</paraID>
      <start>0</start>
      <end>2</end>
      <status>unmodified</status>
      <modifiedWord/>
      <trackRevisions>false</trackRevisions>
    </reviewItem>
    <reviewItem>
      <errorID>0a6a4600-c176-46d4-8c3e-caf5a23c1469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4D441F5E</paraID>
      <start>0</start>
      <end>2</end>
      <status>unmodified</status>
      <modifiedWord/>
      <trackRevisions>false</trackRevisions>
    </reviewItem>
    <reviewItem>
      <errorID>e359b8c6-6bf1-469f-95bd-7112f9d5a794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78800459</paraID>
      <start>0</start>
      <end>2</end>
      <status>unmodified</status>
      <modifiedWord/>
      <trackRevisions>false</trackRevisions>
    </reviewItem>
    <reviewItem>
      <errorID>9e1a695b-7496-48f0-bce5-38c7421900e2</errorID>
      <errorWord>沾取</errorWord>
      <group>L1_Word</group>
      <groupName>字词问题</groupName>
      <ability>L2_Typo</ability>
      <abilityName>字词错误</abilityName>
      <candidateList>
        <item>蘸取</item>
      </candidateList>
      <explain/>
      <paraID>5621DDF0</paraID>
      <start>21</start>
      <end>23</end>
      <status>unmodified</status>
      <modifiedWord/>
      <trackRevisions>false</trackRevisions>
    </reviewItem>
    <reviewItem>
      <errorID>95e21aa9-fec0-47a4-9a9b-f57b3a18c859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86E4878</paraID>
      <start>0</start>
      <end>2</end>
      <status>unmodified</status>
      <modifiedWord/>
      <trackRevisions>false</trackRevisions>
    </reviewItem>
    <reviewItem>
      <errorID>ea05e426-41f1-49bd-a76d-86fe40df1e5c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6E393472</paraID>
      <start>0</start>
      <end>2</end>
      <status>unmodified</status>
      <modifiedWord/>
      <trackRevisions>false</trackRevisions>
    </reviewItem>
    <reviewItem>
      <errorID>30989edb-c750-4b3b-b493-af9c242e7cf6</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2EABA866</paraID>
      <start>0</start>
      <end>3</end>
      <status>unmodified</status>
      <modifiedWord/>
      <trackRevisions>false</trackRevisions>
    </reviewItem>
    <reviewItem>
      <errorID>b3e44a5e-5771-4b8f-82b1-b002b571bb77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1C6D29A</paraID>
      <start>0</start>
      <end>3</end>
      <status>unmodified</status>
      <modifiedWord/>
      <trackRevisions>false</trackRevisions>
    </reviewItem>
    <reviewItem>
      <errorID>1181653e-1db9-4e66-8811-421027ca485b</errorID>
      <errorWord>在</errorWord>
      <group>L1_Word</group>
      <groupName>字词问题</groupName>
      <ability>L2_Typo</ability>
      <abilityName>字词错误</abilityName>
      <candidateList>
        <item>再</item>
      </candidateList>
      <explain>❶〈副〉a）表示又一次（有时专指第二次）：～版｜～接～厉｜一而～，～而三｜学习，学习，～学习。注意表示已经重复的动作用“又”，表示将要重复的动作用“再”，如：这部书前几天我又读了一遍，以后有时间我还要～读一遍。b）表示更加：高点儿，～高点儿｜～多一点儿就好了。c）表示如果继续下去就会怎样：学习～不努力，就得留级了｜离开车只剩半个钟头了，～不走可赶不上了。</explain>
      <paraID>58914529</paraID>
      <start>4</start>
      <end>5</end>
      <status>unmodified</status>
      <modifiedWord/>
      <trackRevisions>false</trackRevisions>
    </reviewItem>
    <reviewItem>
      <errorID>65e29eda-7360-4db6-91b8-0ce47bce9cbf</errorID>
      <errorWord>粘合</errorWord>
      <group>L1_Word</group>
      <groupName>字词问题</groupName>
      <ability>L2_Alias</ability>
      <abilityName>也作/曾用词</abilityName>
      <candidateList>
        <item>黏合</item>
      </candidateList>
      <explain>词汇[粘合]为不规范表述或旧称，其规范书面表述为[黏合]。</explain>
      <paraID>49C1E076</paraID>
      <start>59</start>
      <end>61</end>
      <status>unmodified</status>
      <modifiedWord/>
      <trackRevisions>false</trackRevisions>
    </reviewItem>
    <reviewItem>
      <errorID>6502b44e-e83e-4e8b-9de8-ad0931a56715</errorID>
      <errorWord>岗纹板</errorWord>
      <group>L1_Word</group>
      <groupName>字词问题</groupName>
      <ability>L2_Typo</ability>
      <abilityName>字词错误</abilityName>
      <candidateList>
        <item>钢纹板</item>
      </candidateList>
      <explain/>
      <paraID> B43F556</paraID>
      <start>43</start>
      <end>46</end>
      <status>unmodified</status>
      <modifiedWord/>
      <trackRevisions>false</trackRevisions>
    </reviewItem>
    <reviewItem>
      <errorID>e6ab8bb4-cb66-492b-8c0f-1450582e62b7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4FCBE26F</paraID>
      <start>0</start>
      <end>2</end>
      <status>unmodified</status>
      <modifiedWord/>
      <trackRevisions>false</trackRevisions>
    </reviewItem>
    <reviewItem>
      <errorID>ddbe0088-6bfc-4e02-af64-2e3b85b6664a</errorID>
      <errorWord>镀铝</errorWord>
      <group>L1_Word</group>
      <groupName>字词问题</groupName>
      <ability>L2_Typo</ability>
      <abilityName>字词错误</abilityName>
      <candidateList>
        <item>镀</item>
      </candidateList>
      <explain/>
      <paraID>681F8E42</paraID>
      <start>4</start>
      <end>6</end>
      <status>unmodified</status>
      <modifiedWord/>
      <trackRevisions>false</trackRevisions>
    </reviewItem>
    <reviewItem>
      <errorID>f882eaef-11c3-4cd9-a152-b09fd44bafe0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452DCAC2</paraID>
      <start>0</start>
      <end>2</end>
      <status>unmodified</status>
      <modifiedWord/>
      <trackRevisions>false</trackRevisions>
    </reviewItem>
    <reviewItem>
      <errorID>b29538b0-d0ed-4514-bace-a680876abbcb</errorID>
      <errorWord>压瓦成型</errorWord>
      <group>L1_Knowledge</group>
      <groupName>知识性问题</groupName>
      <ability>L2_Term</ability>
      <abilityName>专业术语</abilityName>
      <candidateList>
        <item>压铸成型</item>
      </candidateList>
      <explain/>
      <paraID>78F03DEB</paraID>
      <start>24</start>
      <end>28</end>
      <status>unmodified</status>
      <modifiedWord/>
      <trackRevisions>false</trackRevisions>
    </reviewItem>
    <reviewItem>
      <errorID>e8e8ea14-eb45-484a-8447-3c8b3b4754bb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3CD7B0D8</paraID>
      <start>96</start>
      <end>97</end>
      <status>unmodified</status>
      <modifiedWord/>
      <trackRevisions>false</trackRevisions>
    </reviewItem>
    <reviewItem>
      <errorID>19e9501c-36fb-4148-8f11-8712f1f744cd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3C647B46</paraID>
      <start>0</start>
      <end>2</end>
      <status>unmodified</status>
      <modifiedWord/>
      <trackRevisions>false</trackRevisions>
    </reviewItem>
    <reviewItem>
      <errorID>448fafba-7bab-4c0e-9366-d34c09c91796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6089C30D</paraID>
      <start>33</start>
      <end>34</end>
      <status>unmodified</status>
      <modifiedWord/>
      <trackRevisions>false</trackRevisions>
    </reviewItem>
    <reviewItem>
      <errorID>9e7cf404-ba77-4e95-8229-9de091cb4dd8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6089C30D</paraID>
      <start>42</start>
      <end>43</end>
      <status>unmodified</status>
      <modifiedWord/>
      <trackRevisions>false</trackRevisions>
    </reviewItem>
    <reviewItem>
      <errorID>520c25aa-01f5-4546-92e5-d8c43b788a5f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5C905F2F</paraID>
      <start>0</start>
      <end>2</end>
      <status>unmodified</status>
      <modifiedWord/>
      <trackRevisions>false</trackRevisions>
    </reviewItem>
    <reviewItem>
      <errorID>f143849b-7e7c-41af-bb4b-83484a407ff5</errorID>
      <errorWord>粘合</errorWord>
      <group>L1_Word</group>
      <groupName>字词问题</groupName>
      <ability>L2_Alias</ability>
      <abilityName>也作/曾用词</abilityName>
      <candidateList>
        <item>黏合</item>
      </candidateList>
      <explain>词汇[粘合]为不规范表述或旧称，其规范书面表述为[黏合]。</explain>
      <paraID>52F38774</paraID>
      <start>111</start>
      <end>113</end>
      <status>unmodified</status>
      <modifiedWord/>
      <trackRevisions>false</trackRevisions>
    </reviewItem>
    <reviewItem>
      <errorID>c200b232-a85d-4ebe-bb70-0286c17084fd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59B054C2</paraID>
      <start>0</start>
      <end>2</end>
      <status>unmodified</status>
      <modifiedWord/>
      <trackRevisions>false</trackRevisions>
    </reviewItem>
    <reviewItem>
      <errorID>00bab857-ab23-4039-805c-e5cc7f8d4f4c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3B066C41</paraID>
      <start>73</start>
      <end>74</end>
      <status>unmodified</status>
      <modifiedWord/>
      <trackRevisions>false</trackRevisions>
    </reviewItem>
    <reviewItem>
      <errorID>cf6e30b6-0b88-48b0-9b6d-4b165c379470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3B066C41</paraID>
      <start>86</start>
      <end>87</end>
      <status>unmodified</status>
      <modifiedWord/>
      <trackRevisions>false</trackRevisions>
    </reviewItem>
    <reviewItem>
      <errorID>7ab3499f-ef8b-4fcb-bb50-6ab08373503d</errorID>
      <errorWord>防治</errorWord>
      <group>L1_Word</group>
      <groupName>字词问题</groupName>
      <ability>L2_Typo</ability>
      <abilityName>字词错误</abilityName>
      <candidateList>
        <item>防止</item>
      </candidateList>
      <explain>〈动〉预先设法制止（坏事发生）：～煤气中毒｜～交通事故。</explain>
      <paraID>3B066C41</paraID>
      <start>120</start>
      <end>122</end>
      <status>unmodified</status>
      <modifiedWord/>
      <trackRevisions>false</trackRevisions>
    </reviewItem>
    <reviewItem>
      <errorID>2406fc6d-d436-443c-b89c-c295e29ec1d1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79CE8C0F</paraID>
      <start>0</start>
      <end>2</end>
      <status>unmodified</status>
      <modifiedWord/>
      <trackRevisions>false</trackRevisions>
    </reviewItem>
    <reviewItem>
      <errorID>353218b4-d034-47e5-bfbe-3e0164d8650c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472EE886</paraID>
      <start>42</start>
      <end>43</end>
      <status>unmodified</status>
      <modifiedWord/>
      <trackRevisions>false</trackRevisions>
    </reviewItem>
    <reviewItem>
      <errorID>a430bee8-2303-40e1-acbb-8ada32389db3</errorID>
      <errorWord>粘合</errorWord>
      <group>L1_Word</group>
      <groupName>字词问题</groupName>
      <ability>L2_Alias</ability>
      <abilityName>也作/曾用词</abilityName>
      <candidateList>
        <item>黏合</item>
      </candidateList>
      <explain>词汇[粘合]为不规范表述或旧称，其规范书面表述为[黏合]。</explain>
      <paraID>472EE886</paraID>
      <start>96</start>
      <end>98</end>
      <status>unmodified</status>
      <modifiedWord/>
      <trackRevisions>false</trackRevisions>
    </reviewItem>
    <reviewItem>
      <errorID>52fc9d24-23dc-4a26-847a-b41f46c13494</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472EE886</paraID>
      <start>106</start>
      <end>107</end>
      <status>unmodified</status>
      <modifiedWord/>
      <trackRevisions>false</trackRevisions>
    </reviewItem>
    <reviewItem>
      <errorID>d65f68d8-f4be-45fe-ada8-a029cb682652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7B100B78</paraID>
      <start>0</start>
      <end>2</end>
      <status>unmodified</status>
      <modifiedWord/>
      <trackRevisions>false</trackRevisions>
    </reviewItem>
    <reviewItem>
      <errorID>e7e78504-d030-4da2-bca5-c83a05397153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169A8C5F</paraID>
      <start>0</start>
      <end>2</end>
      <status>unmodified</status>
      <modifiedWord/>
      <trackRevisions>false</trackRevisions>
    </reviewItem>
    <reviewItem>
      <errorID>1a3bbef7-2e30-4362-806e-823153f3f614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117A5616</paraID>
      <start>81</start>
      <end>82</end>
      <status>unmodified</status>
      <modifiedWord/>
      <trackRevisions>false</trackRevisions>
    </reviewItem>
    <reviewItem>
      <errorID>f3a02fca-95a4-4365-9437-310fd17c10fe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44E41D36</paraID>
      <start>0</start>
      <end>2</end>
      <status>unmodified</status>
      <modifiedWord/>
      <trackRevisions>false</trackRevisions>
    </reviewItem>
    <reviewItem>
      <errorID>71fb304c-2aaa-407e-a184-385a703f6cc8</errorID>
      <errorWord>中的</errorWord>
      <group>L1_Word</group>
      <groupName>字词问题</groupName>
      <ability>L2_Typo</ability>
      <abilityName>字词错误</abilityName>
      <candidateList>
        <item>中</item>
      </candidateList>
      <explain>〈动〉❶正对上；恰好合上：～选｜猜～了｜三枪都打～了目标。❷受到；遭受：～毒｜～暑｜胳膊上～了一枪。</explain>
      <paraID>1C7921DE</paraID>
      <start>74</start>
      <end>76</end>
      <status>unmodified</status>
      <modifiedWord/>
      <trackRevisions>false</trackRevisions>
    </reviewItem>
    <reviewItem>
      <errorID>79e8838a-55bf-48d0-8d43-e925af21ca79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116754CA</paraID>
      <start>0</start>
      <end>2</end>
      <status>unmodified</status>
      <modifiedWord/>
      <trackRevisions>false</trackRevisions>
    </reviewItem>
    <reviewItem>
      <errorID>7701b46a-10ac-4ff1-ab9d-5fbd2f68bb5a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6D908F9</paraID>
      <start>0</start>
      <end>2</end>
      <status>unmodified</status>
      <modifiedWord/>
      <trackRevisions>false</trackRevisions>
    </reviewItem>
    <reviewItem>
      <errorID>d79b8661-0d35-4e1c-82e0-16969bb55e44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614AD86E</paraID>
      <start>0</start>
      <end>2</end>
      <status>unmodified</status>
      <modifiedWord/>
      <trackRevisions>false</trackRevisions>
    </reviewItem>
    <reviewItem>
      <errorID>529ed80b-5242-4dae-97c6-d1ad70d0af0a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74603349</paraID>
      <start>0</start>
      <end>2</end>
      <status>unmodified</status>
      <modifiedWord/>
      <trackRevisions>false</trackRevisions>
    </reviewItem>
    <reviewItem>
      <errorID>0d8c135d-fe7c-41af-a093-4859a7c80c37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47C7848C</paraID>
      <start>0</start>
      <end>2</end>
      <status>unmodified</status>
      <modifiedWord/>
      <trackRevisions>false</trackRevisions>
    </reviewItem>
    <reviewItem>
      <errorID>1aa880d5-dd25-40c9-b6d8-67b5d093da94</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36297153</paraID>
      <start>37</start>
      <end>38</end>
      <status>unmodified</status>
      <modifiedWord/>
      <trackRevisions>false</trackRevisions>
    </reviewItem>
    <reviewItem>
      <errorID>bd497fdb-b81a-4af2-af22-337ade762132</errorID>
      <errorWord>成成</errorWord>
      <group>L1_Word</group>
      <groupName>字词问题</groupName>
      <ability>L2_Typo</ability>
      <abilityName>字词错误</abilityName>
      <candidateList>
        <item>成</item>
      </candidateList>
      <explain>（～儿）〈量〉十分之一叫一成：九～金｜村里今年收的庄稼比去年增加两～。</explain>
      <paraID>36297153</paraID>
      <start>41</start>
      <end>43</end>
      <status>unmodified</status>
      <modifiedWord/>
      <trackRevisions>false</trackRevisions>
    </reviewItem>
    <reviewItem>
      <errorID>b54b428c-9070-438d-a49e-493f50eb6d38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30DC13EE</paraID>
      <start>0</start>
      <end>2</end>
      <status>unmodified</status>
      <modifiedWord/>
      <trackRevisions>false</trackRevisions>
    </reviewItem>
    <reviewItem>
      <errorID>90ed3acf-a846-45d5-9906-1ced22a73979</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1AD295E1</paraID>
      <start>70</start>
      <end>71</end>
      <status>unmodified</status>
      <modifiedWord/>
      <trackRevisions>false</trackRevisions>
    </reviewItem>
    <reviewItem>
      <errorID>a611349a-5005-43f8-8b7d-71d0e4dc1486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8A921EC</paraID>
      <start>0</start>
      <end>2</end>
      <status>unmodified</status>
      <modifiedWord/>
      <trackRevisions>false</trackRevisions>
    </reviewItem>
    <reviewItem>
      <errorID>01321ed7-0189-4ff1-acf8-20c3e05af32a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6F211817</paraID>
      <start>0</start>
      <end>3</end>
      <status>unmodified</status>
      <modifiedWord/>
      <trackRevisions>false</trackRevisions>
    </reviewItem>
    <reviewItem>
      <errorID>567b63f2-edc8-4097-8590-42b8152ca264</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6759D64B</paraID>
      <start>60</start>
      <end>61</end>
      <status>unmodified</status>
      <modifiedWord/>
      <trackRevisions>false</trackRevisions>
    </reviewItem>
    <reviewItem>
      <errorID>7beab54b-c037-464d-a08a-7e516d93747e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103A3C00</paraID>
      <start>0</start>
      <end>3</end>
      <status>unmodified</status>
      <modifiedWord/>
      <trackRevisions>false</trackRevisions>
    </reviewItem>
    <reviewItem>
      <errorID>72fa1f39-af4b-434d-b9d2-89be3398ac18</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59671926</paraID>
      <start>0</start>
      <end>3</end>
      <status>unmodified</status>
      <modifiedWord/>
      <trackRevisions>false</trackRevisions>
    </reviewItem>
    <reviewItem>
      <errorID>aea1b910-167c-4309-ba8e-ab3527539be0</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7BF745DE</paraID>
      <start>0</start>
      <end>3</end>
      <status>unmodified</status>
      <modifiedWord/>
      <trackRevisions>false</trackRevisions>
    </reviewItem>
    <reviewItem>
      <errorID>992ab30d-407b-46b8-94b6-0817d05cb3b7</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1E6FD9DD</paraID>
      <start>31</start>
      <end>32</end>
      <status>unmodified</status>
      <modifiedWord/>
      <trackRevisions>false</trackRevisions>
    </reviewItem>
    <reviewItem>
      <errorID>b4945a9c-ef3f-4901-a3da-e1822bca2fc6</errorID>
      <errorWord>成成</errorWord>
      <group>L1_Word</group>
      <groupName>字词问题</groupName>
      <ability>L2_Typo</ability>
      <abilityName>字词错误</abilityName>
      <candidateList>
        <item>成</item>
      </candidateList>
      <explain>（～儿）〈量〉十分之一叫一成：九～金｜村里今年收的庄稼比去年增加两～。</explain>
      <paraID>1E6FD9DD</paraID>
      <start>35</start>
      <end>37</end>
      <status>unmodified</status>
      <modifiedWord/>
      <trackRevisions>false</trackRevisions>
    </reviewItem>
    <reviewItem>
      <errorID>632e1cb2-e2f1-49f2-96c5-c1a86166606c</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487FFF63</paraID>
      <start>0</start>
      <end>3</end>
      <status>unmodified</status>
      <modifiedWord/>
      <trackRevisions>false</trackRevisions>
    </reviewItem>
    <reviewItem>
      <errorID>1f166cf4-6a6f-4428-b840-a0f794eaa6ca</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2ED3901B</paraID>
      <start>52</start>
      <end>53</end>
      <status>unmodified</status>
      <modifiedWord/>
      <trackRevisions>false</trackRevisions>
    </reviewItem>
    <reviewItem>
      <errorID>4eaad1e6-b0f2-40eb-a602-2aa4e11ad333</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70F99262</paraID>
      <start>0</start>
      <end>3</end>
      <status>unmodified</status>
      <modifiedWord/>
      <trackRevisions>false</trackRevisions>
    </reviewItem>
    <reviewItem>
      <errorID>6f9dde30-5bde-4b7f-a20a-50c7497adda9</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71B09B55</paraID>
      <start>0</start>
      <end>3</end>
      <status>unmodified</status>
      <modifiedWord/>
      <trackRevisions>false</trackRevisions>
    </reviewItem>
    <reviewItem>
      <errorID>b04bf0c3-45ae-4fec-883f-6b089bd9ec6f</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6179AD30</paraID>
      <start>32</start>
      <end>33</end>
      <status>unmodified</status>
      <modifiedWord/>
      <trackRevisions>false</trackRevisions>
    </reviewItem>
    <reviewItem>
      <errorID>d71db7e1-09ee-46c3-8196-e03eae795004</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31B600DD</paraID>
      <start>0</start>
      <end>3</end>
      <status>unmodified</status>
      <modifiedWord/>
      <trackRevisions>false</trackRevisions>
    </reviewItem>
    <reviewItem>
      <errorID>36937e9a-340f-4e75-8bcf-54938df88322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1E48BB51</paraID>
      <start>0</start>
      <end>2</end>
      <status>unmodified</status>
      <modifiedWord/>
      <trackRevisions>false</trackRevisions>
    </reviewItem>
    <reviewItem>
      <errorID>14fafd65-9e38-4a27-b532-aa39d6c30a76</errorID>
      <errorWord>中的</errorWord>
      <group>L1_Word</group>
      <groupName>字词问题</groupName>
      <ability>L2_Typo</ability>
      <abilityName>字词错误</abilityName>
      <candidateList>
        <item>中</item>
      </candidateList>
      <explain>〈动〉❶正对上；恰好合上：～选｜猜～了｜三枪都打～了目标。❷受到；遭受：～毒｜～暑｜胳膊上～了一枪。</explain>
      <paraID>7941C5C9</paraID>
      <start>74</start>
      <end>76</end>
      <status>unmodified</status>
      <modifiedWord/>
      <trackRevisions>false</trackRevisions>
    </reviewItem>
    <reviewItem>
      <errorID>1cfcc5b8-c7db-468d-a69e-c94753101616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661CCD02</paraID>
      <start>0</start>
      <end>2</end>
      <status>unmodified</status>
      <modifiedWord/>
      <trackRevisions>false</trackRevisions>
    </reviewItem>
    <reviewItem>
      <errorID>07b33e15-402f-420b-9cdb-84044a9e6a70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16406700</paraID>
      <start>0</start>
      <end>2</end>
      <status>unmodified</status>
      <modifiedWord/>
      <trackRevisions>false</trackRevisions>
    </reviewItem>
    <reviewItem>
      <errorID>e3e2d757-0384-4d22-9719-1a7114811cc7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65784D38</paraID>
      <start>0</start>
      <end>2</end>
      <status>unmodified</status>
      <modifiedWord/>
      <trackRevisions>false</trackRevisions>
    </reviewItem>
    <reviewItem>
      <errorID>79b54f45-3c9b-4b77-99d2-f82f519a66d9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7B519828</paraID>
      <start>0</start>
      <end>2</end>
      <status>unmodified</status>
      <modifiedWord/>
      <trackRevisions>false</trackRevisions>
    </reviewItem>
    <reviewItem>
      <errorID>bb94ca3e-2832-4f84-91bf-5d8721eed49c</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10557401</paraID>
      <start>37</start>
      <end>38</end>
      <status>unmodified</status>
      <modifiedWord/>
      <trackRevisions>false</trackRevisions>
    </reviewItem>
    <reviewItem>
      <errorID>4b3120ff-ff0e-45b9-9f0d-701d4f2e2661</errorID>
      <errorWord>成成</errorWord>
      <group>L1_Word</group>
      <groupName>字词问题</groupName>
      <ability>L2_Typo</ability>
      <abilityName>字词错误</abilityName>
      <candidateList>
        <item>成</item>
      </candidateList>
      <explain>（～儿）〈量〉十分之一叫一成：九～金｜村里今年收的庄稼比去年增加两～。</explain>
      <paraID>10557401</paraID>
      <start>41</start>
      <end>43</end>
      <status>unmodified</status>
      <modifiedWord/>
      <trackRevisions>false</trackRevisions>
    </reviewItem>
    <reviewItem>
      <errorID>835ccef1-82b3-4ec8-8740-cd084f99220b</errorID>
      <errorWord>-</errorWord>
      <group>L1_Format</group>
      <groupName>格式问题</groupName>
      <ability>L2_HalfPunc</ability>
      <abilityName>全半角检查</abilityName>
      <candidateList>
        <item>－</item>
      </candidateList>
      <explain>文本全半角错误。</explain>
      <paraID>49A13F8A</paraID>
      <start>14</start>
      <end>15</end>
      <status>unmodified</status>
      <modifiedWord/>
      <trackRevisions>false</trackRevisions>
    </reviewItem>
    <reviewItem>
      <errorID>445fb528-480a-4482-9b51-a6032e11bf7b</errorID>
      <errorWord>-</errorWord>
      <group>L1_Format</group>
      <groupName>格式问题</groupName>
      <ability>L2_HalfPunc</ability>
      <abilityName>全半角检查</abilityName>
      <candidateList>
        <item>－</item>
      </candidateList>
      <explain>文本全半角错误。</explain>
      <paraID>7913FFC9</paraID>
      <start>16</start>
      <end>17</end>
      <status>unmodified</status>
      <modifiedWord/>
      <trackRevisions>false</trackRevisions>
    </reviewItem>
    <reviewItem>
      <errorID>7150d9f7-30fc-4c1e-a116-f0b4a6ea8e4c</errorID>
      <errorWord>-</errorWord>
      <group>L1_Format</group>
      <groupName>格式问题</groupName>
      <ability>L2_HalfPunc</ability>
      <abilityName>全半角检查</abilityName>
      <candidateList>
        <item>－</item>
      </candidateList>
      <explain>文本全半角错误。</explain>
      <paraID>1EF5BA0F</paraID>
      <start>16</start>
      <end>17</end>
      <status>unmodified</status>
      <modifiedWord/>
      <trackRevisions>false</trackRevisions>
    </reviewItem>
    <reviewItem>
      <errorID>49fb494a-c86d-4aca-bfb5-75d039d59fc2</errorID>
      <errorWord>镀锌镀钢板</errorWord>
      <group>L1_Knowledge</group>
      <groupName>知识性问题</groupName>
      <ability>L2_Term</ability>
      <abilityName>专业术语</abilityName>
      <candidateList>
        <item>镀锌薄钢板</item>
      </candidateList>
      <explain/>
      <paraID>7859DB45</paraID>
      <start>0</start>
      <end>5</end>
      <status>unmodified</status>
      <modifiedWord/>
      <trackRevisions>false</trackRevisions>
    </reviewItem>
    <reviewItem>
      <errorID>0ef9ade9-d65a-416a-96ce-1c98eedb508a</errorID>
      <errorWord>其它</errorWord>
      <group>L1_Word</group>
      <groupName>字词问题</groupName>
      <ability>L2_Alias</ability>
      <abilityName>也作/曾用词</abilityName>
      <candidateList>
        <item>其他</item>
      </candidateList>
      <explain>词汇[其它]为不规范表述或旧称，其规范书面表述为[其他]。</explain>
      <paraID>27F665A0</paraID>
      <start>5</start>
      <end>7</end>
      <status>unmodified</status>
      <modifiedWord/>
      <trackRevisions>false</trackRevisions>
    </reviewItem>
    <reviewItem>
      <errorID>72c7abb2-6908-4963-9261-75dc88cfde67</errorID>
      <errorWord>场</errorWord>
      <group>L1_Word</group>
      <groupName>字词问题</groupName>
      <ability>L2_Typo</ability>
      <abilityName>字词错误</abilityName>
      <candidateList>
        <item>厂</item>
      </candidateList>
      <explain>存在发音相同字词的误用。</explain>
      <paraID>20A4CA3A</paraID>
      <start>57</start>
      <end>58</end>
      <status>unmodified</status>
      <modifiedWord/>
      <trackRevisions>false</trackRevisions>
    </reviewItem>
    <reviewItem>
      <errorID>446d6c94-10ea-4a46-aca5-f9948a0e7cc8</errorID>
      <errorWord>只要</errorWord>
      <group>L1_Word</group>
      <groupName>字词问题</groupName>
      <ability>L2_Typo</ability>
      <abilityName>字词错误</abilityName>
      <candidateList>
        <item>要</item>
      </candidateList>
      <explain>〈连〉❶如果：明天～下雨，我就不去了。❷要么：～就去打球，～就去溜冰，别再犹豫了。</explain>
      <paraID>3754BEA1</paraID>
      <start>50</start>
      <end>52</end>
      <status>unmodified</status>
      <modifiedWord/>
      <trackRevisions>false</trackRevisions>
    </reviewItem>
    <reviewItem>
      <errorID>34573783-d9ba-4805-9e7a-da4e2160e8db</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152CEB77</paraID>
      <start>66</start>
      <end>68</end>
      <status>unmodified</status>
      <modifiedWord/>
      <trackRevisions>false</trackRevisions>
    </reviewItem>
    <reviewItem>
      <errorID>bb3b050a-3f46-42b7-9300-d64e733fd5e5</errorID>
      <errorWord>（</errorWord>
      <group>L1_Punc</group>
      <groupName>标点问题</groupName>
      <ability>L2_Punc</ability>
      <abilityName>标点符号检查</abilityName>
      <candidateList/>
      <explain/>
      <paraID>6CD90EF1</paraID>
      <start>86</start>
      <end>87</end>
      <status>unmodified</status>
      <modifiedWord/>
      <trackRevisions>false</trackRevisions>
    </reviewItem>
    <reviewItem>
      <errorID>48b15a0a-7727-4523-bd7e-08a96522e857</errorID>
      <errorWord>-</errorWord>
      <group>L1_Format</group>
      <groupName>格式问题</groupName>
      <ability>L2_HalfPunc</ability>
      <abilityName>全半角检查</abilityName>
      <candidateList>
        <item>－</item>
      </candidateList>
      <explain>文本全半角错误。</explain>
      <paraID>7991FABE</paraID>
      <start>88</start>
      <end>89</end>
      <status>unmodified</status>
      <modifiedWord/>
      <trackRevisions>false</trackRevisions>
    </reviewItem>
    <reviewItem>
      <errorID>a117f9f4-88c2-4ee4-bc16-f093fc61debc</errorID>
      <errorWord>-</errorWord>
      <group>L1_Format</group>
      <groupName>格式问题</groupName>
      <ability>L2_HalfPunc</ability>
      <abilityName>全半角检查</abilityName>
      <candidateList>
        <item>－</item>
      </candidateList>
      <explain>文本全半角错误。</explain>
      <paraID>7991FABE</paraID>
      <start>132</start>
      <end>133</end>
      <status>unmodified</status>
      <modifiedWord/>
      <trackRevisions>false</trackRevisions>
    </reviewItem>
    <reviewItem>
      <errorID>d3118e31-c05a-49a9-a0d4-3a613993b933</errorID>
      <errorWord>-</errorWord>
      <group>L1_Format</group>
      <groupName>格式问题</groupName>
      <ability>L2_HalfPunc</ability>
      <abilityName>全半角检查</abilityName>
      <candidateList>
        <item>－</item>
      </candidateList>
      <explain>文本全半角错误。</explain>
      <paraID>7991FABE</paraID>
      <start>151</start>
      <end>152</end>
      <status>unmodified</status>
      <modifiedWord/>
      <trackRevisions>false</trackRevisions>
    </reviewItem>
    <reviewItem>
      <errorID>3557200a-ab5f-4638-813d-68e4c56649a2</errorID>
      <errorWord>)</errorWord>
      <group>L1_Format</group>
      <groupName>格式问题</groupName>
      <ability>L2_HalfPunc</ability>
      <abilityName>全半角检查</abilityName>
      <candidateList>
        <item>）</item>
      </candidateList>
      <explain>文本全半角错误。</explain>
      <paraID>7991FABE</paraID>
      <start>158</start>
      <end>159</end>
      <status>unmodified</status>
      <modifiedWord/>
      <trackRevisions>false</trackRevisions>
    </reviewItem>
    <reviewItem>
      <errorID>d13ecb2d-48bd-4e17-93ab-db43c0916c9f</errorID>
      <errorWord>-</errorWord>
      <group>L1_Format</group>
      <groupName>格式问题</groupName>
      <ability>L2_HalfPunc</ability>
      <abilityName>全半角检查</abilityName>
      <candidateList>
        <item>－</item>
      </candidateList>
      <explain>文本全半角错误。</explain>
      <paraID>26D42E0E</paraID>
      <start>7</start>
      <end>8</end>
      <status>unmodified</status>
      <modifiedWord/>
      <trackRevisions>false</trackRevisions>
    </reviewItem>
    <reviewItem>
      <errorID>aa9f2124-a346-4c28-98a2-fdc47ebb5092</errorID>
      <errorWord>)</errorWord>
      <group>L1_Format</group>
      <groupName>格式问题</groupName>
      <ability>L2_HalfPunc</ability>
      <abilityName>全半角检查</abilityName>
      <candidateList>
        <item>）</item>
      </candidateList>
      <explain>文本全半角错误。</explain>
      <paraID>2706FE68</paraID>
      <start>295</start>
      <end>296</end>
      <status>unmodified</status>
      <modifiedWord/>
      <trackRevisions>false</trackRevisions>
    </reviewItem>
    <reviewItem>
      <errorID>6b34220e-7a60-478c-8f9e-8d501db2c4c6</errorID>
      <errorWord>（</errorWord>
      <group>L1_Format</group>
      <groupName>格式问题</groupName>
      <ability>L2_HalfPunc</ability>
      <abilityName>全半角检查</abilityName>
      <candidateList>
        <item>(</item>
      </candidateList>
      <explain>文本全半角错误。</explain>
      <paraID>65344B92</paraID>
      <start>0</start>
      <end>1</end>
      <status>unmodified</status>
      <modifiedWord/>
      <trackRevisions>false</trackRevisions>
    </reviewItem>
    <reviewItem>
      <errorID>09a73ca2-70c4-4b10-9c64-f8e43256c9d1</errorID>
      <errorWord>）</errorWord>
      <group>L1_Format</group>
      <groupName>格式问题</groupName>
      <ability>L2_HalfPunc</ability>
      <abilityName>全半角检查</abilityName>
      <candidateList>
        <item>)</item>
      </candidateList>
      <explain>文本全半角错误。</explain>
      <paraID>65344B92</paraID>
      <start>5</start>
      <end>6</end>
      <status>unmodified</status>
      <modifiedWord/>
      <trackRevisions>false</trackRevisions>
    </reviewItem>
    <reviewItem>
      <errorID>3a75b872-6b13-47fc-8cdd-26be42d77acf</errorID>
      <errorWord>（</errorWord>
      <group>L1_Format</group>
      <groupName>格式问题</groupName>
      <ability>L2_HalfPunc</ability>
      <abilityName>全半角检查</abilityName>
      <candidateList>
        <item>(</item>
      </candidateList>
      <explain>文本全半角错误。</explain>
      <paraID>3B260B03</paraID>
      <start>0</start>
      <end>1</end>
      <status>unmodified</status>
      <modifiedWord/>
      <trackRevisions>false</trackRevisions>
    </reviewItem>
    <reviewItem>
      <errorID>2328e3af-85f1-4a5d-98d8-1e1a26afd6ed</errorID>
      <errorWord>）</errorWord>
      <group>L1_Format</group>
      <groupName>格式问题</groupName>
      <ability>L2_HalfPunc</ability>
      <abilityName>全半角检查</abilityName>
      <candidateList>
        <item>)</item>
      </candidateList>
      <explain>文本全半角错误。</explain>
      <paraID>3B260B03</paraID>
      <start>6</start>
      <end>7</end>
      <status>unmodified</status>
      <modifiedWord/>
      <trackRevisions>false</trackRevisions>
    </reviewItem>
    <reviewItem>
      <errorID>843d384e-22f0-4f37-8bae-099d3de7ef29</errorID>
      <errorWord>（</errorWord>
      <group>L1_Format</group>
      <groupName>格式问题</groupName>
      <ability>L2_HalfPunc</ability>
      <abilityName>全半角检查</abilityName>
      <candidateList>
        <item>(</item>
      </candidateList>
      <explain>文本全半角错误。</explain>
      <paraID>4B52B8DF</paraID>
      <start>0</start>
      <end>1</end>
      <status>unmodified</status>
      <modifiedWord/>
      <trackRevisions>false</trackRevisions>
    </reviewItem>
    <reviewItem>
      <errorID>ebf9f11a-fa86-4706-be30-82367fc91bd6</errorID>
      <errorWord>）</errorWord>
      <group>L1_Format</group>
      <groupName>格式问题</groupName>
      <ability>L2_HalfPunc</ability>
      <abilityName>全半角检查</abilityName>
      <candidateList>
        <item>)</item>
      </candidateList>
      <explain>文本全半角错误。</explain>
      <paraID>4B52B8DF</paraID>
      <start>4</start>
      <end>5</end>
      <status>unmodified</status>
      <modifiedWord/>
      <trackRevisions>false</trackRevisions>
    </reviewItem>
    <reviewItem>
      <errorID>f5b5f7d9-a4bb-4173-96a7-3c9ceee307ca</errorID>
      <errorWord>（</errorWord>
      <group>L1_Format</group>
      <groupName>格式问题</groupName>
      <ability>L2_HalfPunc</ability>
      <abilityName>全半角检查</abilityName>
      <candidateList>
        <item>(</item>
      </candidateList>
      <explain>文本全半角错误。</explain>
      <paraID>6F419F52</paraID>
      <start>0</start>
      <end>1</end>
      <status>unmodified</status>
      <modifiedWord/>
      <trackRevisions>false</trackRevisions>
    </reviewItem>
    <reviewItem>
      <errorID>f2559472-6a4b-481f-8b29-1e74393e81f3</errorID>
      <errorWord>）</errorWord>
      <group>L1_Format</group>
      <groupName>格式问题</groupName>
      <ability>L2_HalfPunc</ability>
      <abilityName>全半角检查</abilityName>
      <candidateList>
        <item>)</item>
      </candidateList>
      <explain>文本全半角错误。</explain>
      <paraID>6F419F52</paraID>
      <start>5</start>
      <end>6</end>
      <status>unmodified</status>
      <modifiedWord/>
      <trackRevisions>false</trackRevisions>
    </reviewItem>
    <reviewItem>
      <errorID>dc2515f4-dfcb-40a2-8316-487d9ceeb013</errorID>
      <errorWord>（</errorWord>
      <group>L1_Format</group>
      <groupName>格式问题</groupName>
      <ability>L2_HalfPunc</ability>
      <abilityName>全半角检查</abilityName>
      <candidateList>
        <item>(</item>
      </candidateList>
      <explain>文本全半角错误。</explain>
      <paraID>7ACE9D4D</paraID>
      <start>0</start>
      <end>1</end>
      <status>unmodified</status>
      <modifiedWord/>
      <trackRevisions>false</trackRevisions>
    </reviewItem>
    <reviewItem>
      <errorID>1b978bde-f254-439c-9064-fa5b9232e0cb</errorID>
      <errorWord>）</errorWord>
      <group>L1_Format</group>
      <groupName>格式问题</groupName>
      <ability>L2_HalfPunc</ability>
      <abilityName>全半角检查</abilityName>
      <candidateList>
        <item>)</item>
      </candidateList>
      <explain>文本全半角错误。</explain>
      <paraID>7ACE9D4D</paraID>
      <start>6</start>
      <end>7</end>
      <status>unmodified</status>
      <modifiedWord/>
      <trackRevisions>false</trackRevisions>
    </reviewItem>
    <reviewItem>
      <errorID>b5005a75-3e4a-4445-8c37-d5d41a9be9f8</errorID>
      <errorWord>（</errorWord>
      <group>L1_Punc</group>
      <groupName>标点问题</groupName>
      <ability>L2_Punc</ability>
      <abilityName>标点符号检查</abilityName>
      <candidateList/>
      <explain/>
      <paraID>578856F9</paraID>
      <start>82</start>
      <end>83</end>
      <status>unmodified</status>
      <modifiedWord/>
      <trackRevisions>false</trackRevisions>
    </reviewItem>
    <reviewItem>
      <errorID>00d151c3-6806-4541-a0a0-549d82df561d</errorID>
      <errorWord>（</errorWord>
      <group>L1_Punc</group>
      <groupName>标点问题</groupName>
      <ability>L2_Punc</ability>
      <abilityName>标点符号检查</abilityName>
      <candidateList/>
      <explain/>
      <paraID>200C552F</paraID>
      <start>58</start>
      <end>59</end>
      <status>unmodified</status>
      <modifiedWord/>
      <trackRevisions>false</trackRevisions>
    </reviewItem>
    <reviewItem>
      <errorID>ff4f3f31-1422-4c73-b37f-f4777662183b</errorID>
      <errorWord>-</errorWord>
      <group>L1_Format</group>
      <groupName>格式问题</groupName>
      <ability>L2_HalfPunc</ability>
      <abilityName>全半角检查</abilityName>
      <candidateList>
        <item>－</item>
      </candidateList>
      <explain>文本全半角错误。</explain>
      <paraID>1094CF97</paraID>
      <start>4</start>
      <end>5</end>
      <status>unmodified</status>
      <modifiedWord/>
      <trackRevisions>false</trackRevisions>
    </reviewItem>
    <reviewItem>
      <errorID>f84e9868-c1f1-4f4d-b67e-838ebebf3a02</errorID>
      <errorWord>-</errorWord>
      <group>L1_Format</group>
      <groupName>格式问题</groupName>
      <ability>L2_HalfPunc</ability>
      <abilityName>全半角检查</abilityName>
      <candidateList>
        <item>－</item>
      </candidateList>
      <explain>文本全半角错误。</explain>
      <paraID>495D1DA9</paraID>
      <start>34</start>
      <end>35</end>
      <status>unmodified</status>
      <modifiedWord/>
      <trackRevisions>false</trackRevisions>
    </reviewItem>
    <reviewItem>
      <errorID>f93d095b-e08f-4b1d-aea7-310b62322c87</errorID>
      <errorWord>-</errorWord>
      <group>L1_Format</group>
      <groupName>格式问题</groupName>
      <ability>L2_HalfPunc</ability>
      <abilityName>全半角检查</abilityName>
      <candidateList>
        <item>－</item>
      </candidateList>
      <explain>文本全半角错误。</explain>
      <paraID>495D1DA9</paraID>
      <start>143</start>
      <end>144</end>
      <status>unmodified</status>
      <modifiedWord/>
      <trackRevisions>false</trackRevisions>
    </reviewItem>
    <reviewItem>
      <errorID>b504cb0d-5f33-4f64-833e-10dc517ec802</errorID>
      <errorWord>-</errorWord>
      <group>L1_Format</group>
      <groupName>格式问题</groupName>
      <ability>L2_HalfPunc</ability>
      <abilityName>全半角检查</abilityName>
      <candidateList>
        <item>－</item>
      </candidateList>
      <explain>文本全半角错误。</explain>
      <paraID> EBD2C72</paraID>
      <start>73</start>
      <end>74</end>
      <status>unmodified</status>
      <modifiedWord/>
      <trackRevisions>false</trackRevisions>
    </reviewItem>
    <reviewItem>
      <errorID>3c958755-3ac0-48ff-9a80-cbfc951fd7ef</errorID>
      <errorWord>-</errorWord>
      <group>L1_Format</group>
      <groupName>格式问题</groupName>
      <ability>L2_HalfPunc</ability>
      <abilityName>全半角检查</abilityName>
      <candidateList>
        <item>－</item>
      </candidateList>
      <explain>文本全半角错误。</explain>
      <paraID> EBD2C72</paraID>
      <start>78</start>
      <end>79</end>
      <status>unmodified</status>
      <modifiedWord/>
      <trackRevisions>false</trackRevisions>
    </reviewItem>
    <reviewItem>
      <errorID>3a328a50-e23a-4a74-9d83-0ddc1dcc2e33</errorID>
      <errorWord>则无组织</errorWord>
      <group>L1_Knowledge</group>
      <groupName>知识性问题</groupName>
      <ability>L2_Idiom</ability>
      <abilityName>成语和诗歌</abilityName>
      <candidateList>
        <item>目无组织</item>
      </candidateList>
      <explain/>
      <paraID>652AC363</paraID>
      <start>435</start>
      <end>439</end>
      <status>unmodified</status>
      <modifiedWord/>
      <trackRevisions>false</trackRevisions>
    </reviewItem>
    <reviewItem>
      <errorID>4547ea43-b25a-4fa3-94c2-006924ac2db3</errorID>
      <errorWord>粘接剂</errorWord>
      <group>L1_Word</group>
      <groupName>字词问题</groupName>
      <ability>L2_Typo</ability>
      <abilityName>字词错误</abilityName>
      <candidateList>
        <item>粘结剂</item>
      </candidateList>
      <explain>存在发音相同字词的误用。</explain>
      <paraID>7A5D9299</paraID>
      <start>0</start>
      <end>3</end>
      <status>unmodified</status>
      <modifiedWord/>
      <trackRevisions>false</trackRevisions>
    </reviewItem>
    <reviewItem>
      <errorID>74cbe04a-e1c0-4a8e-8bfe-d6ba51794f0a</errorID>
      <errorWord>-</errorWord>
      <group>L1_Format</group>
      <groupName>格式问题</groupName>
      <ability>L2_HalfPunc</ability>
      <abilityName>全半角检查</abilityName>
      <candidateList>
        <item>－</item>
      </candidateList>
      <explain>文本全半角错误。</explain>
      <paraID> 49D4ADF</paraID>
      <start>58</start>
      <end>59</end>
      <status>unmodified</status>
      <modifiedWord/>
      <trackRevisions>false</trackRevisions>
    </reviewItem>
    <reviewItem>
      <errorID>e2f1d330-5055-4af9-a602-46f219fa9896</errorID>
      <errorWord>-</errorWord>
      <group>L1_Format</group>
      <groupName>格式问题</groupName>
      <ability>L2_HalfPunc</ability>
      <abilityName>全半角检查</abilityName>
      <candidateList>
        <item>－</item>
      </candidateList>
      <explain>文本全半角错误。</explain>
      <paraID> 49D4ADF</paraID>
      <start>167</start>
      <end>168</end>
      <status>unmodified</status>
      <modifiedWord/>
      <trackRevisions>false</trackRevisions>
    </reviewItem>
    <reviewItem>
      <errorID>45355c28-60ac-4cf5-96dd-84860e6a2e99</errorID>
      <errorWord>-</errorWord>
      <group>L1_Format</group>
      <groupName>格式问题</groupName>
      <ability>L2_HalfPunc</ability>
      <abilityName>全半角检查</abilityName>
      <candidateList>
        <item>－</item>
      </candidateList>
      <explain>文本全半角错误。</explain>
      <paraID>7137818C</paraID>
      <start>2</start>
      <end>3</end>
      <status>unmodified</status>
      <modifiedWord/>
      <trackRevisions>false</trackRevisions>
    </reviewItem>
    <reviewItem>
      <errorID>451e2a2e-8a5f-4cc9-ab5c-77420a9f35b7</errorID>
      <errorWord>-</errorWord>
      <group>L1_Format</group>
      <groupName>格式问题</groupName>
      <ability>L2_HalfPunc</ability>
      <abilityName>全半角检查</abilityName>
      <candidateList>
        <item>－</item>
      </candidateList>
      <explain>文本全半角错误。</explain>
      <paraID>7137818C</paraID>
      <start>5</start>
      <end>6</end>
      <status>unmodified</status>
      <modifiedWord/>
      <trackRevisions>false</trackRevisions>
    </reviewItem>
    <reviewItem>
      <errorID>3257b0e0-bdc0-4ef6-b4b3-003c35644506</errorID>
      <errorWord>-</errorWord>
      <group>L1_Format</group>
      <groupName>格式问题</groupName>
      <ability>L2_HalfPunc</ability>
      <abilityName>全半角检查</abilityName>
      <candidateList>
        <item>－</item>
      </candidateList>
      <explain>文本全半角错误。</explain>
      <paraID>563A72B1</paraID>
      <start>64</start>
      <end>65</end>
      <status>unmodified</status>
      <modifiedWord/>
      <trackRevisions>false</trackRevisions>
    </reviewItem>
    <reviewItem>
      <errorID>ac3adbdc-be88-4ded-a7b8-187ac0294e12</errorID>
      <errorWord>-</errorWord>
      <group>L1_Format</group>
      <groupName>格式问题</groupName>
      <ability>L2_HalfPunc</ability>
      <abilityName>全半角检查</abilityName>
      <candidateList>
        <item>－</item>
      </candidateList>
      <explain>文本全半角错误。</explain>
      <paraID>563A72B1</paraID>
      <start>180</start>
      <end>181</end>
      <status>unmodified</status>
      <modifiedWord/>
      <trackRevisions>false</trackRevisions>
    </reviewItem>
    <reviewItem>
      <errorID>57b89868-cd73-428e-baa4-91b4d3b0cfcc</errorID>
      <errorWord>程</errorWord>
      <group>L1_Word</group>
      <groupName>字词问题</groupName>
      <ability>L2_Typo</ability>
      <abilityName>字词错误</abilityName>
      <candidateList>
        <item>程中</item>
      </candidateList>
      <explain/>
      <paraID>32555733</paraID>
      <start>23</start>
      <end>24</end>
      <status>unmodified</status>
      <modifiedWord/>
      <trackRevisions>false</trackRevisions>
    </reviewItem>
    <reviewItem>
      <errorID>de6bc1c4-5c6c-4bfe-ac81-3d8fc1cdc9d2</errorID>
      <errorWord>-</errorWord>
      <group>L1_Format</group>
      <groupName>格式问题</groupName>
      <ability>L2_HalfPunc</ability>
      <abilityName>全半角检查</abilityName>
      <candidateList>
        <item>－</item>
      </candidateList>
      <explain>文本全半角错误。</explain>
      <paraID>32555733</paraID>
      <start>244</start>
      <end>245</end>
      <status>unmodified</status>
      <modifiedWord/>
      <trackRevisions>false</trackRevisions>
    </reviewItem>
    <reviewItem>
      <errorID>e308e8e2-2917-4031-96be-59cb241b866f</errorID>
      <errorWord>-</errorWord>
      <group>L1_Format</group>
      <groupName>格式问题</groupName>
      <ability>L2_HalfPunc</ability>
      <abilityName>全半角检查</abilityName>
      <candidateList>
        <item>－</item>
      </candidateList>
      <explain>文本全半角错误。</explain>
      <paraID>39D9326D</paraID>
      <start>68</start>
      <end>69</end>
      <status>unmodified</status>
      <modifiedWord/>
      <trackRevisions>false</trackRevisions>
    </reviewItem>
    <reviewItem>
      <errorID>a289cbe1-2639-40be-952d-8d49dce4d782</errorID>
      <errorWord>-</errorWord>
      <group>L1_Format</group>
      <groupName>格式问题</groupName>
      <ability>L2_HalfPunc</ability>
      <abilityName>全半角检查</abilityName>
      <candidateList>
        <item>－</item>
      </candidateList>
      <explain>文本全半角错误。</explain>
      <paraID>39D9326D</paraID>
      <start>185</start>
      <end>186</end>
      <status>unmodified</status>
      <modifiedWord/>
      <trackRevisions>false</trackRevisions>
    </reviewItem>
    <reviewItem>
      <errorID>e8336e44-e02a-4c73-ae57-b829348286e5</errorID>
      <errorWord>喷砂</errorWord>
      <group>L1_Word</group>
      <groupName>字词问题</groupName>
      <ability>L2_Typo</ability>
      <abilityName>字词错误</abilityName>
      <candidateList>
        <item>喷洒</item>
      </candidateList>
      <explain>〈动〉喷射散落（多用于液体）：～农药。</explain>
      <paraID>720DAD18</paraID>
      <start>8</start>
      <end>10</end>
      <status>unmodified</status>
      <modifiedWord/>
      <trackRevisions>false</trackRevisions>
    </reviewItem>
    <reviewItem>
      <errorID>59d14b89-d5f1-4b90-bf6f-0ba5189af98a</errorID>
      <errorWord>-</errorWord>
      <group>L1_Format</group>
      <groupName>格式问题</groupName>
      <ability>L2_HalfPunc</ability>
      <abilityName>全半角检查</abilityName>
      <candidateList>
        <item>－</item>
      </candidateList>
      <explain>文本全半角错误。</explain>
      <paraID>67BF903F</paraID>
      <start>8</start>
      <end>9</end>
      <status>unmodified</status>
      <modifiedWord/>
      <trackRevisions>false</trackRevisions>
    </reviewItem>
    <reviewItem>
      <errorID>403a2606-16fb-4b9f-8c73-ec7489a2158a</errorID>
      <errorWord>-</errorWord>
      <group>L1_Format</group>
      <groupName>格式问题</groupName>
      <ability>L2_HalfPunc</ability>
      <abilityName>全半角检查</abilityName>
      <candidateList>
        <item>－</item>
      </candidateList>
      <explain>文本全半角错误。</explain>
      <paraID>58D539A9</paraID>
      <start>8</start>
      <end>9</end>
      <status>unmodified</status>
      <modifiedWord/>
      <trackRevisions>false</trackRevisions>
    </reviewItem>
    <reviewItem>
      <errorID>6c8b1ffd-107c-4b5c-b2ec-a1510b62c7e2</errorID>
      <errorWord>-</errorWord>
      <group>L1_Format</group>
      <groupName>格式问题</groupName>
      <ability>L2_HalfPunc</ability>
      <abilityName>全半角检查</abilityName>
      <candidateList>
        <item>－</item>
      </candidateList>
      <explain>文本全半角错误。</explain>
      <paraID>4923276B</paraID>
      <start>8</start>
      <end>9</end>
      <status>unmodified</status>
      <modifiedWord/>
      <trackRevisions>false</trackRevisions>
    </reviewItem>
    <reviewItem>
      <errorID>5d8e7f78-557a-4e93-9a78-49979fc2a71f</errorID>
      <errorWord>-</errorWord>
      <group>L1_Format</group>
      <groupName>格式问题</groupName>
      <ability>L2_HalfPunc</ability>
      <abilityName>全半角检查</abilityName>
      <candidateList>
        <item>－</item>
      </candidateList>
      <explain>文本全半角错误。</explain>
      <paraID>6EFBD233</paraID>
      <start>8</start>
      <end>9</end>
      <status>unmodified</status>
      <modifiedWord/>
      <trackRevisions>false</trackRevisions>
    </reviewItem>
    <reviewItem>
      <errorID>705fed09-6703-427a-a975-2859b78c1931</errorID>
      <errorWord>（</errorWord>
      <group>L1_Format</group>
      <groupName>格式问题</groupName>
      <ability>L2_HalfPunc</ability>
      <abilityName>全半角检查</abilityName>
      <candidateList>
        <item>(</item>
      </candidateList>
      <explain>文本全半角错误。</explain>
      <paraID>14136B51</paraID>
      <start>0</start>
      <end>1</end>
      <status>unmodified</status>
      <modifiedWord/>
      <trackRevisions>false</trackRevisions>
    </reviewItem>
    <reviewItem>
      <errorID>04a0052d-9710-4979-8791-c77f4c9356b0</errorID>
      <errorWord>）</errorWord>
      <group>L1_Format</group>
      <groupName>格式问题</groupName>
      <ability>L2_HalfPunc</ability>
      <abilityName>全半角检查</abilityName>
      <candidateList>
        <item>)</item>
      </candidateList>
      <explain>文本全半角错误。</explain>
      <paraID>14136B51</paraID>
      <start>5</start>
      <end>6</end>
      <status>unmodified</status>
      <modifiedWord/>
      <trackRevisions>false</trackRevisions>
    </reviewItem>
    <reviewItem>
      <errorID>6b98c97d-a45f-42a4-9b53-3720ba5e8d7f</errorID>
      <errorWord>（</errorWord>
      <group>L1_Format</group>
      <groupName>格式问题</groupName>
      <ability>L2_HalfPunc</ability>
      <abilityName>全半角检查</abilityName>
      <candidateList>
        <item>(</item>
      </candidateList>
      <explain>文本全半角错误。</explain>
      <paraID>697E7BD9</paraID>
      <start>0</start>
      <end>1</end>
      <status>unmodified</status>
      <modifiedWord/>
      <trackRevisions>false</trackRevisions>
    </reviewItem>
    <reviewItem>
      <errorID>1045615f-5549-4a8f-84ca-f2f0a329dbd8</errorID>
      <errorWord>）</errorWord>
      <group>L1_Format</group>
      <groupName>格式问题</groupName>
      <ability>L2_HalfPunc</ability>
      <abilityName>全半角检查</abilityName>
      <candidateList>
        <item>)</item>
      </candidateList>
      <explain>文本全半角错误。</explain>
      <paraID>697E7BD9</paraID>
      <start>4</start>
      <end>5</end>
      <status>unmodified</status>
      <modifiedWord/>
      <trackRevisions>false</trackRevisions>
    </reviewItem>
    <reviewItem>
      <errorID>a7122410-4cea-471f-aebf-ae4c624a6143</errorID>
      <errorWord>（</errorWord>
      <group>L1_Format</group>
      <groupName>格式问题</groupName>
      <ability>L2_HalfPunc</ability>
      <abilityName>全半角检查</abilityName>
      <candidateList>
        <item>(</item>
      </candidateList>
      <explain>文本全半角错误。</explain>
      <paraID>4AE154E2</paraID>
      <start>0</start>
      <end>1</end>
      <status>unmodified</status>
      <modifiedWord/>
      <trackRevisions>false</trackRevisions>
    </reviewItem>
    <reviewItem>
      <errorID>255600ec-85a0-4e10-aa99-a905cb534512</errorID>
      <errorWord>）</errorWord>
      <group>L1_Format</group>
      <groupName>格式问题</groupName>
      <ability>L2_HalfPunc</ability>
      <abilityName>全半角检查</abilityName>
      <candidateList>
        <item>)</item>
      </candidateList>
      <explain>文本全半角错误。</explain>
      <paraID>4AE154E2</paraID>
      <start>5</start>
      <end>6</end>
      <status>unmodified</status>
      <modifiedWord/>
      <trackRevisions>false</trackRevisions>
    </reviewItem>
    <reviewItem>
      <errorID>b40e5706-7384-46e5-b9c1-f62b5ea5ba74</errorID>
      <errorWord>（</errorWord>
      <group>L1_Format</group>
      <groupName>格式问题</groupName>
      <ability>L2_HalfPunc</ability>
      <abilityName>全半角检查</abilityName>
      <candidateList>
        <item>(</item>
      </candidateList>
      <explain>文本全半角错误。</explain>
      <paraID>42439516</paraID>
      <start>0</start>
      <end>1</end>
      <status>unmodified</status>
      <modifiedWord/>
      <trackRevisions>false</trackRevisions>
    </reviewItem>
    <reviewItem>
      <errorID>cd1fb272-fb31-4889-bfd4-0881b080a5d3</errorID>
      <errorWord>）</errorWord>
      <group>L1_Format</group>
      <groupName>格式问题</groupName>
      <ability>L2_HalfPunc</ability>
      <abilityName>全半角检查</abilityName>
      <candidateList>
        <item>)</item>
      </candidateList>
      <explain>文本全半角错误。</explain>
      <paraID>42439516</paraID>
      <start>4</start>
      <end>5</end>
      <status>unmodified</status>
      <modifiedWord/>
      <trackRevisions>false</trackRevisions>
    </reviewItem>
    <reviewItem>
      <errorID>038cf14c-1d3b-4708-83af-23f80c3e83b7</errorID>
      <errorWord>每个</errorWord>
      <group>L1_Word</group>
      <groupName>字词问题</groupName>
      <ability>L2_Typo</ability>
      <abilityName>字词错误</abilityName>
      <candidateList>
        <item>每隔</item>
      </candidateList>
      <explain>存在发音相同字词的误用。</explain>
      <paraID>10CFF7A8</paraID>
      <start>20</start>
      <end>22</end>
      <status>unmodified</status>
      <modifiedWord/>
      <trackRevisions>false</trackRevisions>
    </reviewItem>
    <reviewItem>
      <errorID>7da1dbe5-244a-4c46-b934-1e215fa5fea8</errorID>
      <errorWord>：</errorWord>
      <group>L1_Format</group>
      <groupName>格式问题</groupName>
      <ability>L2_HalfPunc</ability>
      <abilityName>全半角检查</abilityName>
      <candidateList>
        <item>:</item>
      </candidateList>
      <explain>文本全半角错误。</explain>
      <paraID>77EB19D5</paraID>
      <start>428</start>
      <end>429</end>
      <status>unmodified</status>
      <modifiedWord/>
      <trackRevisions>false</trackRevisions>
    </reviewItem>
    <reviewItem>
      <errorID>99149175-328c-4fe6-8307-0f0e68db08b6</errorID>
      <errorWord>》</errorWord>
      <group>L1_Punc</group>
      <groupName>标点问题</groupName>
      <ability>L2_Punc</ability>
      <abilityName>标点符号检查</abilityName>
      <candidateList/>
      <explain/>
      <paraID>77EB19D5</paraID>
      <start>532</start>
      <end>533</end>
      <status>unmodified</status>
      <modifiedWord/>
      <trackRevisions>false</trackRevisions>
    </reviewItem>
    <reviewItem>
      <errorID>60c39331-d63f-4fef-a05c-7e8408693570</errorID>
      <errorWord>)</errorWord>
      <group>L1_Format</group>
      <groupName>格式问题</groupName>
      <ability>L2_HalfPunc</ability>
      <abilityName>全半角检查</abilityName>
      <candidateList>
        <item>）</item>
      </candidateList>
      <explain>文本全半角错误。</explain>
      <paraID> 9500806</paraID>
      <start>56</start>
      <end>57</end>
      <status>unmodified</status>
      <modifiedWord/>
      <trackRevisions>false</trackRevisions>
    </reviewItem>
    <reviewItem>
      <errorID>fea42b99-5b0b-420d-b7e8-71165a5bf9c4</errorID>
      <errorWord>源源</errorWord>
      <group>L1_Word</group>
      <groupName>字词问题</groupName>
      <ability>L2_Typo</ability>
      <abilityName>字词错误</abilityName>
      <candidateList>
        <item>源</item>
      </candidateList>
      <explain/>
      <paraID>593B1FBB</paraID>
      <start>1</start>
      <end>3</end>
      <status>unmodified</status>
      <modifiedWord/>
      <trackRevisions>false</trackRevisions>
    </reviewItem>
    <reviewItem>
      <errorID>c8a95f32-2e52-4deb-bcc7-796868d2d741</errorID>
      <errorWord>源源</errorWord>
      <group>L1_Word</group>
      <groupName>字词问题</groupName>
      <ability>L2_Typo</ability>
      <abilityName>字词错误</abilityName>
      <candidateList>
        <item>源</item>
      </candidateList>
      <explain/>
      <paraID>621B2267</paraID>
      <start>1</start>
      <end>3</end>
      <status>unmodified</status>
      <modifiedWord/>
      <trackRevisions>false</trackRevisions>
    </reviewItem>
    <reviewItem>
      <errorID>79adb531-2308-4212-8f6c-dc773f8afdba</errorID>
      <errorWord>)</errorWord>
      <group>L1_Format</group>
      <groupName>格式问题</groupName>
      <ability>L2_HalfPunc</ability>
      <abilityName>全半角检查</abilityName>
      <candidateList>
        <item>）</item>
      </candidateList>
      <explain>文本全半角错误。</explain>
      <paraID>6646807E</paraID>
      <start>135</start>
      <end>136</end>
      <status>unmodified</status>
      <modifiedWord/>
      <trackRevisions>false</trackRevisions>
    </reviewItem>
    <reviewItem>
      <errorID>735d3ea2-33ce-47fb-b628-5133ad7f143f</errorID>
      <errorWord>程</errorWord>
      <group>L1_Word</group>
      <groupName>字词问题</groupName>
      <ability>L2_Typo</ability>
      <abilityName>字词错误</abilityName>
      <candidateList>
        <item>程中</item>
      </candidateList>
      <explain/>
      <paraID>7DE5E213</paraID>
      <start>19</start>
      <end>20</end>
      <status>unmodified</status>
      <modifiedWord/>
      <trackRevisions>false</trackRevisions>
    </reviewItem>
    <reviewItem>
      <errorID>0d39a1dd-412d-49b2-a96a-e7eb20007f8d</errorID>
      <errorWord>)</errorWord>
      <group>L1_Format</group>
      <groupName>格式问题</groupName>
      <ability>L2_HalfPunc</ability>
      <abilityName>全半角检查</abilityName>
      <candidateList>
        <item>）</item>
      </candidateList>
      <explain>文本全半角错误。</explain>
      <paraID>2A348EA3</paraID>
      <start>19</start>
      <end>20</end>
      <status>unmodified</status>
      <modifiedWord/>
      <trackRevisions>false</trackRevisions>
    </reviewItem>
    <reviewItem>
      <errorID>36c3e17d-f836-45da-a53f-bad5d478d7af</errorID>
      <errorWord>）</errorWord>
      <group>L1_Word</group>
      <groupName>字词问题</groupName>
      <ability>L2_Typo</ability>
      <abilityName>字词错误</abilityName>
      <candidateList>
        <item>）和</item>
      </candidateList>
      <explain/>
      <paraID>2A348EA3</paraID>
      <start>74</start>
      <end>75</end>
      <status>unmodified</status>
      <modifiedWord/>
      <trackRevisions>false</trackRevisions>
    </reviewItem>
    <reviewItem>
      <errorID>45aaf0a4-4467-4311-bae2-fce2a7d28969</errorID>
      <errorWord>)</errorWord>
      <group>L1_Format</group>
      <groupName>格式问题</groupName>
      <ability>L2_HalfPunc</ability>
      <abilityName>全半角检查</abilityName>
      <candidateList>
        <item>）</item>
      </candidateList>
      <explain>文本全半角错误。</explain>
      <paraID>2A8FEEA4</paraID>
      <start>42</start>
      <end>43</end>
      <status>unmodified</status>
      <modifiedWord/>
      <trackRevisions>false</trackRevisions>
    </reviewItem>
    <reviewItem>
      <errorID>1b31859a-1a29-4dde-a2ab-89beb77d5368</errorID>
      <errorWord>。。</errorWord>
      <group>L1_Punc</group>
      <groupName>标点问题</groupName>
      <ability>L2_Punc</ability>
      <abilityName>标点符号检查</abilityName>
      <candidateList>
        <item>。</item>
      </candidateList>
      <explain/>
      <paraID>5834948F</paraID>
      <start>114</start>
      <end>116</end>
      <status>unmodified</status>
      <modifiedWord/>
      <trackRevisions>false</trackRevisions>
    </reviewItem>
    <reviewItem>
      <errorID>1f08531d-1e97-40f9-8f00-0bda705e80ac</errorID>
      <errorWord>)</errorWord>
      <group>L1_Format</group>
      <groupName>格式问题</groupName>
      <ability>L2_HalfPunc</ability>
      <abilityName>全半角检查</abilityName>
      <candidateList>
        <item>）</item>
      </candidateList>
      <explain>文本全半角错误。</explain>
      <paraID>65C97CB7</paraID>
      <start>9</start>
      <end>10</end>
      <status>unmodified</status>
      <modifiedWord/>
      <trackRevisions>false</trackRevisions>
    </reviewItem>
    <reviewItem>
      <errorID>78fae2e1-c9a3-4eee-9fc8-a10a401e8709</errorID>
      <errorWord>，</errorWord>
      <group>L1_Format</group>
      <groupName>格式问题</groupName>
      <ability>L2_HalfPunc</ability>
      <abilityName>全半角检查</abilityName>
      <candidateList>
        <item>, </item>
      </candidateList>
      <explain>文本全半角错误。</explain>
      <paraID>242065D2</paraID>
      <start>1</start>
      <end>2</end>
      <status>unmodified</status>
      <modifiedWord/>
      <trackRevisions>false</trackRevisions>
    </reviewItem>
    <reviewItem>
      <errorID>bd57789a-8110-4c9b-a4a5-8a2010d8ca9e</errorID>
      <errorWord>)</errorWord>
      <group>L1_Format</group>
      <groupName>格式问题</groupName>
      <ability>L2_HalfPunc</ability>
      <abilityName>全半角检查</abilityName>
      <candidateList>
        <item>）</item>
      </candidateList>
      <explain>文本全半角错误。</explain>
      <paraID>15138A63</paraID>
      <start>9</start>
      <end>10</end>
      <status>unmodified</status>
      <modifiedWord/>
      <trackRevisions>false</trackRevisions>
    </reviewItem>
    <reviewItem>
      <errorID>051bb4b3-7b90-405b-ad3e-b667b9c786f4</errorID>
      <errorWord>（</errorWord>
      <group>L1_Format</group>
      <groupName>格式问题</groupName>
      <ability>L2_HalfPunc</ability>
      <abilityName>全半角检查</abilityName>
      <candidateList>
        <item>(</item>
      </candidateList>
      <explain>文本全半角错误。</explain>
      <paraID> 2FE9E2B</paraID>
      <start>3</start>
      <end>4</end>
      <status>unmodified</status>
      <modifiedWord/>
      <trackRevisions>false</trackRevisions>
    </reviewItem>
    <reviewItem>
      <errorID>e9728d63-fcef-488f-bb04-6728eabf8187</errorID>
      <errorWord>）</errorWord>
      <group>L1_Format</group>
      <groupName>格式问题</groupName>
      <ability>L2_HalfPunc</ability>
      <abilityName>全半角检查</abilityName>
      <candidateList>
        <item>)</item>
      </candidateList>
      <explain>文本全半角错误。</explain>
      <paraID> 2FE9E2B</paraID>
      <start>7</start>
      <end>8</end>
      <status>unmodified</status>
      <modifiedWord/>
      <trackRevisions>false</trackRevisions>
    </reviewItem>
    <reviewItem>
      <errorID>f4ab4816-cffd-41ec-8587-e24e2f5b774d</errorID>
      <errorWord>（</errorWord>
      <group>L1_Format</group>
      <groupName>格式问题</groupName>
      <ability>L2_HalfPunc</ability>
      <abilityName>全半角检查</abilityName>
      <candidateList>
        <item>(</item>
      </candidateList>
      <explain>文本全半角错误。</explain>
      <paraID>7CBF6EEE</paraID>
      <start>3</start>
      <end>4</end>
      <status>unmodified</status>
      <modifiedWord/>
      <trackRevisions>false</trackRevisions>
    </reviewItem>
    <reviewItem>
      <errorID>00637e04-b19b-4935-b786-de90bea432aa</errorID>
      <errorWord>）</errorWord>
      <group>L1_Format</group>
      <groupName>格式问题</groupName>
      <ability>L2_HalfPunc</ability>
      <abilityName>全半角检查</abilityName>
      <candidateList>
        <item>)</item>
      </candidateList>
      <explain>文本全半角错误。</explain>
      <paraID>7CBF6EEE</paraID>
      <start>7</start>
      <end>8</end>
      <status>unmodified</status>
      <modifiedWord/>
      <trackRevisions>false</trackRevisions>
    </reviewItem>
    <reviewItem>
      <errorID>9da06e08-4d57-4391-b864-f77c037d1482</errorID>
      <errorWord>（</errorWord>
      <group>L1_Format</group>
      <groupName>格式问题</groupName>
      <ability>L2_HalfPunc</ability>
      <abilityName>全半角检查</abilityName>
      <candidateList>
        <item>(</item>
      </candidateList>
      <explain>文本全半角错误。</explain>
      <paraID>724142BF</paraID>
      <start>4</start>
      <end>5</end>
      <status>unmodified</status>
      <modifiedWord/>
      <trackRevisions>false</trackRevisions>
    </reviewItem>
    <reviewItem>
      <errorID>ce70e9ed-b88d-4af7-b784-71dbdf4dad9a</errorID>
      <errorWord>）</errorWord>
      <group>L1_Format</group>
      <groupName>格式问题</groupName>
      <ability>L2_HalfPunc</ability>
      <abilityName>全半角检查</abilityName>
      <candidateList>
        <item>)</item>
      </candidateList>
      <explain>文本全半角错误。</explain>
      <paraID>724142BF</paraID>
      <start>8</start>
      <end>9</end>
      <status>unmodified</status>
      <modifiedWord/>
      <trackRevisions>false</trackRevisions>
    </reviewItem>
    <reviewItem>
      <errorID>4f0ee0e7-2912-4ee0-aa68-18bc3aec4833</errorID>
      <errorWord>“</errorWord>
      <group>L1_Punc</group>
      <groupName>标点问题</groupName>
      <ability>L2_Punc</ability>
      <abilityName>标点符号检查</abilityName>
      <candidateList>
        <item>‘</item>
      </candidateList>
      <explain>当引号中还需要使用引号时，外面一层用双引号，里面一层用单引号。</explain>
      <paraID>6183ACAA</paraID>
      <start>127</start>
      <end>128</end>
      <status>unmodified</status>
      <modifiedWord/>
      <trackRevisions>false</trackRevisions>
    </reviewItem>
    <reviewItem>
      <errorID>5e516c4f-52d3-43fa-8a83-987a07dc02c6</errorID>
      <errorWord>“</errorWord>
      <group>L1_Punc</group>
      <groupName>标点问题</groupName>
      <ability>L2_Punc</ability>
      <abilityName>标点符号检查</abilityName>
      <candidateList>
        <item>‘</item>
      </candidateList>
      <explain>当引号中还需要使用引号时，外面一层用双引号，里面一层用单引号。</explain>
      <paraID>6183ACAA</paraID>
      <start>155</start>
      <end>156</end>
      <status>unmodified</status>
      <modifiedWord/>
      <trackRevisions>false</trackRevisions>
    </reviewItem>
    <reviewItem>
      <errorID>5842a914-3b03-42a9-9b48-8dac0f9bd130</errorID>
      <errorWord>量中</errorWord>
      <group>L1_Word</group>
      <groupName>字词问题</groupName>
      <ability>L2_Typo</ability>
      <abilityName>字词错误</abilityName>
      <candidateList>
        <item>量</item>
      </candidateList>
      <explain/>
      <paraID>2DAB355B</paraID>
      <start>45</start>
      <end>47</end>
      <status>unmodified</status>
      <modifiedWord/>
      <trackRevisions>false</trackRevisions>
    </reviewItem>
    <reviewItem>
      <errorID>8d58db34-ecd7-4fc1-89f8-a8d24c4a0806</errorID>
      <errorWord>程</errorWord>
      <group>L1_Word</group>
      <groupName>字词问题</groupName>
      <ability>L2_Typo</ability>
      <abilityName>字词错误</abilityName>
      <candidateList>
        <item>程中</item>
      </candidateList>
      <explain/>
      <paraID>1A8CB3BA</paraID>
      <start>105</start>
      <end>106</end>
      <status>unmodified</status>
      <modifiedWord/>
      <trackRevisions>false</trackRevisions>
    </reviewItem>
    <reviewItem>
      <errorID>a1d7b4a1-dfff-45c7-8982-7126bfb0ba0a</errorID>
      <errorWord>危险化学品安全管理条件</errorWord>
      <group>L1_Knowledge</group>
      <groupName>知识性问题</groupName>
      <ability>L2_Knowledge</ability>
      <abilityName>其他知识</abilityName>
      <candidateList>
        <item>危险化学品安全管理条例</item>
      </candidateList>
      <explain>当前法律法规未收录或尚未生效，注意核查是否正确。</explain>
      <paraID>1A8CB3BA</paraID>
      <start>130</start>
      <end>141</end>
      <status>unmodified</status>
      <modifiedWord/>
      <trackRevisions>false</trackRevisions>
    </reviewItem>
    <reviewItem>
      <errorID>1e9996b4-829c-47e4-ab91-99887efce380</errorID>
      <errorWord>成型</errorWord>
      <group>L1_Word</group>
      <groupName>字词问题</groupName>
      <ability>L2_Typo</ability>
      <abilityName>字词错误</abilityName>
      <candidateList>
        <item>成形</item>
      </candidateList>
      <explain/>
      <paraID>7461EA78</paraID>
      <start>27</start>
      <end>29</end>
      <status>unmodified</status>
      <modifiedWord/>
      <trackRevisions>false</trackRevisions>
    </reviewItem>
    <reviewItem>
      <errorID>fef4d8a0-ba7d-4942-9a1e-40253eec642c</errorID>
      <errorWord>环保治理</errorWord>
      <group>L1_Word</group>
      <groupName>字词问题</groupName>
      <ability>L2_Typo</ability>
      <abilityName>字词错误</abilityName>
      <candidateList>
        <item>环境治理</item>
      </candidateList>
      <explain/>
      <paraID>263A07FF</paraID>
      <start>40</start>
      <end>44</end>
      <status>unmodified</status>
      <modifiedWord/>
      <trackRevisions>false</trackRevisions>
    </reviewItem>
    <reviewItem>
      <errorID>4031a4bb-3fd9-4956-8f03-aedd50e23a69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72E01D1E</paraID>
      <start>0</start>
      <end>2</end>
      <status>unmodified</status>
      <modifiedWord/>
      <trackRevisions>false</trackRevisions>
    </reviewItem>
    <reviewItem>
      <errorID>7caf3199-0ccd-45ad-8bac-674a11c35f80</errorID>
      <errorWord>冲击平原</errorWord>
      <group>L1_Word</group>
      <groupName>字词问题</groupName>
      <ability>L2_Typo</ability>
      <abilityName>字词错误</abilityName>
      <candidateList>
        <item>冲积平原</item>
      </candidateList>
      <explain/>
      <paraID>4D7E3FAA</paraID>
      <start>86</start>
      <end>90</end>
      <status>unmodified</status>
      <modifiedWord/>
      <trackRevisions>false</trackRevisions>
    </reviewItem>
    <reviewItem>
      <errorID>25f68607-84d0-473d-acf2-a5d7e88affc0</errorID>
      <errorWord>1.0-1.3%</errorWord>
      <group>L1_Knowledge</group>
      <groupName>知识性问题</groupName>
      <ability>L2_Knowledge</ability>
      <abilityName>其他知识</abilityName>
      <candidateList>
        <item>1.0%—1.3%</item>
      </candidateList>
      <explain>1. “1.0-1.3%”中的单位“%”仅出现在后一个数字上，容易引起歧义；根据《现代汉语标点符号数字用法规范手册》，数字表示范围两边需要使用统一的格式。2. 根据标点国标 4.13 中的规则，数字、时间或地域连接符应使用（视觉上更长的）“—”或“～”。</explain>
      <paraID>4D7E3FAA</paraID>
      <start>138</start>
      <end>146</end>
      <status>unmodified</status>
      <modifiedWord/>
      <trackRevisions>false</trackRevisions>
    </reviewItem>
    <reviewItem>
      <errorID>0ed305a3-7a16-48be-a93a-93ff18bc384f</errorID>
      <errorWord>三个</errorWord>
      <group>L1_Knowledge</group>
      <groupName>知识性问题</groupName>
      <ability>L2_Knowledge</ability>
      <abilityName>其他知识</abilityName>
      <candidateList>
        <item>三条</item>
      </candidateList>
      <explain/>
      <paraID> 8AF596E</paraID>
      <start>86</start>
      <end>88</end>
      <status>unmodified</status>
      <modifiedWord/>
      <trackRevisions>false</trackRevisions>
    </reviewItem>
    <reviewItem>
      <errorID>435fc401-f5d6-4d85-914c-06ed2b650d3d</errorID>
      <errorWord>具</errorWord>
      <group>L1_Word</group>
      <groupName>字词问题</groupName>
      <ability>L2_Typo</ability>
      <abilityName>字词错误</abilityName>
      <candidateList>
        <item>具有</item>
      </candidateList>
      <explain>〈动〉有（多用于抽象事物）：～信心｜～伟大的意义。</explain>
      <paraID>412A01C6</paraID>
      <start>170</start>
      <end>171</end>
      <status>unmodified</status>
      <modifiedWord/>
      <trackRevisions>false</trackRevisions>
    </reviewItem>
    <reviewItem>
      <errorID>801593e5-ac02-41ca-8a61-1976b51df2e4</errorID>
      <errorWord>年平均降水量</errorWord>
      <group>L1_Word</group>
      <groupName>字词问题</groupName>
      <ability>L2_Alias</ability>
      <abilityName>也作/曾用词</abilityName>
      <candidateList>
        <item>平均年降水量</item>
      </candidateList>
      <explain>词汇[年平均降水量]为不规范表述或旧称，其规范书面表述为[平均年降水量]。</explain>
      <paraID>412A01C6</paraID>
      <start>255</start>
      <end>261</end>
      <status>unmodified</status>
      <modifiedWord/>
      <trackRevisions>false</trackRevisions>
    </reviewItem>
    <reviewItem>
      <errorID>cce20e52-d82a-4071-9d9d-ac6e47db98a1</errorID>
      <errorWord>~</errorWord>
      <group>L1_Format</group>
      <groupName>格式问题</groupName>
      <ability>L2_HalfPunc</ability>
      <abilityName>全半角检查</abilityName>
      <candidateList>
        <item>～</item>
      </candidateList>
      <explain>文本全半角错误。</explain>
      <paraID>512FD16C</paraID>
      <start>18</start>
      <end>19</end>
      <status>unmodified</status>
      <modifiedWord/>
      <trackRevisions>false</trackRevisions>
    </reviewItem>
    <reviewItem>
      <errorID>62067df6-707c-4002-8d5d-2350279c8167</errorID>
      <errorWord>~</errorWord>
      <group>L1_Format</group>
      <groupName>格式问题</groupName>
      <ability>L2_HalfPunc</ability>
      <abilityName>全半角检查</abilityName>
      <candidateList>
        <item>～</item>
      </candidateList>
      <explain>文本全半角错误。</explain>
      <paraID>512FD16C</paraID>
      <start>40</start>
      <end>41</end>
      <status>unmodified</status>
      <modifiedWord/>
      <trackRevisions>false</trackRevisions>
    </reviewItem>
    <reviewItem>
      <errorID>6ce31f84-828b-4aef-8b86-a9d9fd8f70b3</errorID>
      <errorWord>~</errorWord>
      <group>L1_Format</group>
      <groupName>格式问题</groupName>
      <ability>L2_HalfPunc</ability>
      <abilityName>全半角检查</abilityName>
      <candidateList>
        <item>～</item>
      </candidateList>
      <explain>文本全半角错误。</explain>
      <paraID>512FD16C</paraID>
      <start>171</start>
      <end>172</end>
      <status>unmodified</status>
      <modifiedWord/>
      <trackRevisions>false</trackRevisions>
    </reviewItem>
    <reviewItem>
      <errorID>f5488286-1407-46b0-89ef-fa02913ad8e1</errorID>
      <errorWord>~</errorWord>
      <group>L1_Format</group>
      <groupName>格式问题</groupName>
      <ability>L2_HalfPunc</ability>
      <abilityName>全半角检查</abilityName>
      <candidateList>
        <item>～</item>
      </candidateList>
      <explain>文本全半角错误。</explain>
      <paraID>512FD16C</paraID>
      <start>202</start>
      <end>203</end>
      <status>unmodified</status>
      <modifiedWord/>
      <trackRevisions>false</trackRevisions>
    </reviewItem>
    <reviewItem>
      <errorID>d4c5ef49-36c9-4c4f-a0ca-055987619ba7</errorID>
      <errorWord>~</errorWord>
      <group>L1_Format</group>
      <groupName>格式问题</groupName>
      <ability>L2_HalfPunc</ability>
      <abilityName>全半角检查</abilityName>
      <candidateList>
        <item>～</item>
      </candidateList>
      <explain>文本全半角错误。</explain>
      <paraID>512FD16C</paraID>
      <start>244</start>
      <end>245</end>
      <status>unmodified</status>
      <modifiedWord/>
      <trackRevisions>false</trackRevisions>
    </reviewItem>
    <reviewItem>
      <errorID>b63b689f-faef-405e-bc07-136c4b705d75</errorID>
      <errorWord>~</errorWord>
      <group>L1_Format</group>
      <groupName>格式问题</groupName>
      <ability>L2_HalfPunc</ability>
      <abilityName>全半角检查</abilityName>
      <candidateList>
        <item>～</item>
      </candidateList>
      <explain>文本全半角错误。</explain>
      <paraID> 69C590A</paraID>
      <start>15</start>
      <end>16</end>
      <status>unmodified</status>
      <modifiedWord/>
      <trackRevisions>false</trackRevisions>
    </reviewItem>
    <reviewItem>
      <errorID>bea1a926-6def-4f5c-9e64-a5cc4314a080</errorID>
      <errorWord>含水层组</errorWord>
      <group>L1_Knowledge</group>
      <groupName>知识性问题</groupName>
      <ability>L2_Term</ability>
      <abilityName>专业术语</abilityName>
      <candidateList>
        <item>含水层系</item>
      </candidateList>
      <explain/>
      <paraID> 69C590A</paraID>
      <start>104</start>
      <end>108</end>
      <status>unmodified</status>
      <modifiedWord/>
      <trackRevisions>false</trackRevisions>
    </reviewItem>
    <reviewItem>
      <errorID>10d6c16e-e66b-4dd3-87de-39d5a8606bdb</errorID>
      <errorWord>反应</errorWord>
      <group>L1_Word</group>
      <groupName>字词问题</groupName>
      <ability>L2_Typo</ability>
      <abilityName>字词错误</abilityName>
      <candidateList>
        <item>反映</item>
      </candidateList>
      <explain>〈动〉❶反照，比喻把客观事物的实质表现出来：这部小说～了现实的生活和斗争。❷把情况、意见等告诉上级或有关部门：把情况～到县里｜他～的意见值得重视。❸通常指机体接受和回答客观事物影响的活动过程。</explain>
      <paraID> 69C590A</paraID>
      <start>213</start>
      <end>215</end>
      <status>unmodified</status>
      <modifiedWord/>
      <trackRevisions>false</trackRevisions>
    </reviewItem>
    <reviewItem>
      <errorID>1cbc0eb2-369a-43f0-b7b2-9bfef2e4d6fc</errorID>
      <errorWord>粟钙土</errorWord>
      <group>L1_Word</group>
      <groupName>字词问题</groupName>
      <ability>L2_Typo</ability>
      <abilityName>字词错误</abilityName>
      <candidateList>
        <item>栗钙土</item>
      </candidateList>
      <explain>存在字形相近字词的误用。</explain>
      <paraID>29C9A08D</paraID>
      <start>85</start>
      <end>88</end>
      <status>unmodified</status>
      <modifiedWord/>
      <trackRevisions>false</trackRevisions>
    </reviewItem>
    <reviewItem>
      <errorID>21f1ed7a-5618-4cea-ad1d-9794ba514ddf</errorID>
      <errorWord>主要以种植经济作物为主</errorWord>
      <group>L1_Grammar</group>
      <groupName>语法问题</groupName>
      <ability>L2_Grammar</ability>
      <abilityName>语法错误</abilityName>
      <candidateList>
        <item>以种植经济作物为主</item>
      </candidateList>
      <explain/>
      <paraID>759C944F</paraID>
      <start>53</start>
      <end>64</end>
      <status>unmodified</status>
      <modifiedWord/>
      <trackRevisions>false</trackRevisions>
    </reviewItem>
    <reviewItem>
      <errorID>f329a2ec-08bd-4a40-8485-01f3f44ec4d3</errorID>
      <errorWord>主要以天然林为主</errorWord>
      <group>L1_Grammar</group>
      <groupName>语法问题</groupName>
      <ability>L2_Grammar</ability>
      <abilityName>语法错误</abilityName>
      <candidateList>
        <item>以天然林为主</item>
      </candidateList>
      <explain/>
      <paraID>64FED6F8</paraID>
      <start>29</start>
      <end>37</end>
      <status>unmodified</status>
      <modifiedWord/>
      <trackRevisions>false</trackRevisions>
    </reviewItem>
    <reviewItem>
      <errorID>d16400b3-4d3c-465c-973f-8220e4b339d6</errorID>
      <errorWord>其它</errorWord>
      <group>L1_Word</group>
      <groupName>字词问题</groupName>
      <ability>L2_Alias</ability>
      <abilityName>也作/曾用词</abilityName>
      <candidateList>
        <item>其他</item>
      </candidateList>
      <explain>词汇[其它]为不规范表述或旧称，其规范书面表述为[其他]。</explain>
      <paraID>64FED6F8</paraID>
      <start>163</start>
      <end>165</end>
      <status>unmodified</status>
      <modifiedWord/>
      <trackRevisions>false</trackRevisions>
    </reviewItem>
    <reviewItem>
      <errorID>08ca0afa-1e44-440b-91e0-8b2763feb7f3</errorID>
      <errorWord>现场勘察</errorWord>
      <group>L1_Word</group>
      <groupName>字词问题</groupName>
      <ability>L2_Typo</ability>
      <abilityName>字词错误</abilityName>
      <candidateList>
        <item>现场勘查</item>
      </candidateList>
      <explain/>
      <paraID> 47040F2</paraID>
      <start>2</start>
      <end>6</end>
      <status>unmodified</status>
      <modifiedWord/>
      <trackRevisions>false</trackRevisions>
    </reviewItem>
    <reviewItem>
      <errorID>3278e417-e662-4726-8756-e5865cb197e4</errorID>
      <errorWord>速</errorWord>
      <group>L1_Word</group>
      <groupName>字词问题</groupName>
      <ability>L2_Typo</ability>
      <abilityName>字词错误</abilityName>
      <candidateList>
        <item>速公</item>
      </candidateList>
      <explain/>
      <paraID>2FBA64C4</paraID>
      <start>213</start>
      <end>214</end>
      <status>unmodified</status>
      <modifiedWord/>
      <trackRevisions>false</trackRevisions>
    </reviewItem>
    <reviewItem>
      <errorID>65b9ba4b-4675-41a7-8584-198831e5cac8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31543EEF</paraID>
      <start>20</start>
      <end>21</end>
      <status>unmodified</status>
      <modifiedWord/>
      <trackRevisions>false</trackRevisions>
    </reviewItem>
    <reviewItem>
      <errorID>dbb3367e-3328-4574-a7ae-f411fcc157cb</errorID>
      <errorWord>阶段为</errorWord>
      <group>L1_Word</group>
      <groupName>字词问题</groupName>
      <ability>L2_Typo</ability>
      <abilityName>字词错误</abilityName>
      <candidateList>
        <item>阶段</item>
      </candidateList>
      <explain/>
      <paraID>58A7B958</paraID>
      <start>76</start>
      <end>79</end>
      <status>unmodified</status>
      <modifiedWord/>
      <trackRevisions>false</trackRevisions>
    </reviewItem>
    <reviewItem>
      <errorID>2dc4e4b6-705b-4ff0-adb5-8b710438e038</errorID>
      <errorWord>成</errorWord>
      <group>L1_Word</group>
      <groupName>字词问题</groupName>
      <ability>L2_Typo</ability>
      <abilityName>字词错误</abilityName>
      <candidateList>
        <item>成的</item>
      </candidateList>
      <explain/>
      <paraID>689E09D0</paraID>
      <start>11</start>
      <end>12</end>
      <status>unmodified</status>
      <modifiedWord/>
      <trackRevisions>false</trackRevisions>
    </reviewItem>
    <reviewItem>
      <errorID>ec56701f-4bc1-4ea9-9896-ad5a445dc6f5</errorID>
      <errorWord>“</errorWord>
      <group>L1_Punc</group>
      <groupName>标点问题</groupName>
      <ability>L2_Punc</ability>
      <abilityName>标点符号检查</abilityName>
      <candidateList/>
      <explain/>
      <paraID> DC1E4AB</paraID>
      <start>14</start>
      <end>15</end>
      <status>unmodified</status>
      <modifiedWord/>
      <trackRevisions>false</trackRevisions>
    </reviewItem>
    <reviewItem>
      <errorID>60acb988-b5e9-4ae8-a3b7-6e366d81191b</errorID>
      <errorWord>“</errorWord>
      <group>L1_Punc</group>
      <groupName>标点问题</groupName>
      <ability>L2_Punc</ability>
      <abilityName>标点符号检查</abilityName>
      <candidateList/>
      <explain/>
      <paraID> DC1E4AB</paraID>
      <start>29</start>
      <end>30</end>
      <status>unmodified</status>
      <modifiedWord/>
      <trackRevisions>false</trackRevisions>
    </reviewItem>
    <reviewItem>
      <errorID>d3b8ad33-d315-4749-9ab3-03ad9dd39ebe</errorID>
      <errorWord>一</errorWord>
      <group>L1_Word</group>
      <groupName>字词问题</groupName>
      <ability>L2_Typo</ability>
      <abilityName>字词错误</abilityName>
      <candidateList>
        <item>一个</item>
      </candidateList>
      <explain/>
      <paraID>506FFD6B</paraID>
      <start>19</start>
      <end>20</end>
      <status>unmodified</status>
      <modifiedWord/>
      <trackRevisions>false</trackRevisions>
    </reviewItem>
    <reviewItem>
      <errorID>b6fa6d2a-af4e-4376-8c13-990d32ce1d91</errorID>
      <errorWord>达</errorWord>
      <group>L1_Word</group>
      <groupName>字词问题</groupName>
      <ability>L2_Typo</ability>
      <abilityName>字词错误</abilityName>
      <candidateList>
        <item>达到</item>
      </candidateList>
      <explain>〈动〉到（多指抽象事物或程度）：达得到｜达不到｜目的没有～｜～国际水平。</explain>
      <paraID> BE5716D</paraID>
      <start>194</start>
      <end>195</end>
      <status>unmodified</status>
      <modifiedWord/>
      <trackRevisions>false</trackRevisions>
    </reviewItem>
    <reviewItem>
      <errorID>969392b6-d30b-4049-a0d3-da218656be31</errorID>
      <errorWord>)</errorWord>
      <group>L1_Format</group>
      <groupName>格式问题</groupName>
      <ability>L2_HalfPunc</ability>
      <abilityName>全半角检查</abilityName>
      <candidateList>
        <item>）</item>
      </candidateList>
      <explain>文本全半角错误。</explain>
      <paraID>3B10C863</paraID>
      <start>182</start>
      <end>183</end>
      <status>unmodified</status>
      <modifiedWord/>
      <trackRevisions>false</trackRevisions>
    </reviewItem>
    <reviewItem>
      <errorID>b6abb0d2-7699-45ba-a2cb-95db276b4617</errorID>
      <errorWord>出现</errorWord>
      <group>L1_Word</group>
      <groupName>字词问题</groupName>
      <ability>L2_Typo</ability>
      <abilityName>字词错误</abilityName>
      <candidateList>
        <item>出线</item>
      </candidateList>
      <explain>存在发音相同字词的误用。</explain>
      <paraID> B967415</paraID>
      <start>51</start>
      <end>53</end>
      <status>unmodified</status>
      <modifiedWord/>
      <trackRevisions>false</trackRevisions>
    </reviewItem>
    <reviewItem>
      <errorID>30365027-9f19-4a13-9b04-855562f682c7</errorID>
      <errorWord>彩旗经</errorWord>
      <group>L1_Word</group>
      <groupName>字词问题</groupName>
      <ability>L2_Typo</ability>
      <abilityName>字词错误</abilityName>
      <candidateList>
        <item>采气井</item>
      </candidateList>
      <explain/>
      <paraID>28515E6B</paraID>
      <start>15</start>
      <end>18</end>
      <status>unmodified</status>
      <modifiedWord/>
      <trackRevisions>false</trackRevisions>
    </reviewItem>
    <reviewItem>
      <errorID>f599f26b-42d8-421c-a061-21f13e16e497</errorID>
      <errorWord>其输</errorWord>
      <group>L1_Word</group>
      <groupName>字词问题</groupName>
      <ability>L2_Typo</ability>
      <abilityName>字词错误</abilityName>
      <candidateList>
        <item>集输</item>
      </candidateList>
      <explain/>
      <paraID>28515E6B</paraID>
      <start>19</start>
      <end>21</end>
      <status>unmodified</status>
      <modifiedWord/>
      <trackRevisions>false</trackRevisions>
    </reviewItem>
    <reviewItem>
      <errorID>56f8ed58-1328-49c1-98c6-8456be602622</errorID>
      <errorWord>地处的</errorWord>
      <group>L1_Word</group>
      <groupName>字词问题</groupName>
      <ability>L2_Typo</ability>
      <abilityName>字词错误</abilityName>
      <candidateList>
        <item>地处</item>
      </candidateList>
      <explain/>
      <paraID> C23776B</paraID>
      <start>5</start>
      <end>8</end>
      <status>unmodified</status>
      <modifiedWord/>
      <trackRevisions>false</trackRevisions>
    </reviewItem>
    <reviewItem>
      <errorID>57d60ebb-28bb-49d6-9389-71760c94e863</errorID>
      <errorWord>-</errorWord>
      <group>L1_Format</group>
      <groupName>格式问题</groupName>
      <ability>L2_HalfPunc</ability>
      <abilityName>全半角检查</abilityName>
      <candidateList>
        <item>－</item>
      </candidateList>
      <explain>文本全半角错误。</explain>
      <paraID> C23776B</paraID>
      <start>52</start>
      <end>53</end>
      <status>unmodified</status>
      <modifiedWord/>
      <trackRevisions>false</trackRevisions>
    </reviewItem>
    <reviewItem>
      <errorID>dba34484-3b04-49e6-bed7-d9a5f8ed46b7</errorID>
      <errorWord>-</errorWord>
      <group>L1_Format</group>
      <groupName>格式问题</groupName>
      <ability>L2_HalfPunc</ability>
      <abilityName>全半角检查</abilityName>
      <candidateList>
        <item>－</item>
      </candidateList>
      <explain>文本全半角错误。</explain>
      <paraID> C23776B</paraID>
      <start>56</start>
      <end>57</end>
      <status>unmodified</status>
      <modifiedWord/>
      <trackRevisions>false</trackRevisions>
    </reviewItem>
    <reviewItem>
      <errorID>2d07e972-de14-4539-84e1-b4c80e5914f9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A965DCB</paraID>
      <start>12</start>
      <end>15</end>
      <status>unmodified</status>
      <modifiedWord/>
      <trackRevisions>false</trackRevisions>
    </reviewItem>
    <reviewItem>
      <errorID>3fa9ca8d-a73d-48c0-b375-1a205f900fe7</errorID>
      <errorWord>动脉额</errorWord>
      <group>L1_Word</group>
      <groupName>字词问题</groupName>
      <ability>L2_Typo</ability>
      <abilityName>字词错误</abilityName>
      <candidateList>
        <item>动脉</item>
      </candidateList>
      <explain/>
      <paraID>61329B3F</paraID>
      <start>13</start>
      <end>16</end>
      <status>unmodified</status>
      <modifiedWord/>
      <trackRevisions>false</trackRevisions>
    </reviewItem>
    <reviewItem>
      <errorID>88885ce0-6b4b-4da3-b967-334a63e562c2</errorID>
      <errorWord>)</errorWord>
      <group>L1_Format</group>
      <groupName>格式问题</groupName>
      <ability>L2_HalfPunc</ability>
      <abilityName>全半角检查</abilityName>
      <candidateList>
        <item>）</item>
      </candidateList>
      <explain>文本全半角错误。</explain>
      <paraID>1A403011</paraID>
      <start>67</start>
      <end>68</end>
      <status>unmodified</status>
      <modifiedWord/>
      <trackRevisions>false</trackRevisions>
    </reviewItem>
    <reviewItem>
      <errorID>2b2ca8ff-39e7-475f-af2d-90d2564dc1b1</errorID>
      <errorWord>~</errorWord>
      <group>L1_Format</group>
      <groupName>格式问题</groupName>
      <ability>L2_HalfPunc</ability>
      <abilityName>全半角检查</abilityName>
      <candidateList>
        <item>～</item>
      </candidateList>
      <explain>文本全半角错误。</explain>
      <paraID>34899F68</paraID>
      <start>139</start>
      <end>140</end>
      <status>unmodified</status>
      <modifiedWord/>
      <trackRevisions>false</trackRevisions>
    </reviewItem>
    <reviewItem>
      <errorID>736b6d9c-66f3-40ca-91ff-31eeba8124fa</errorID>
      <errorWord>"</errorWord>
      <group>L1_Format</group>
      <groupName>格式问题</groupName>
      <ability>L2_HalfPunc</ability>
      <abilityName>全半角检查</abilityName>
      <candidateList>
        <item>”</item>
      </candidateList>
      <explain>文本全半角错误。</explain>
      <paraID>34899F68</paraID>
      <start>236</start>
      <end>237</end>
      <status>unmodified</status>
      <modifiedWord/>
      <trackRevisions>false</trackRevisions>
    </reviewItem>
    <reviewItem>
      <errorID>7aa89e73-a843-475b-bbb9-0447bd88bb1c</errorID>
      <errorWord>"</errorWord>
      <group>L1_Format</group>
      <groupName>格式问题</groupName>
      <ability>L2_HalfPunc</ability>
      <abilityName>全半角检查</abilityName>
      <candidateList/>
      <explain>文本全半角错误。</explain>
      <paraID>34899F68</paraID>
      <start>251</start>
      <end>252</end>
      <status>unmodified</status>
      <modifiedWord/>
      <trackRevisions>false</trackRevisions>
    </reviewItem>
    <reviewItem>
      <errorID>16d4b3af-17b1-4fca-8ae3-2195a6b1f4d3</errorID>
      <errorWord>)</errorWord>
      <group>L1_Format</group>
      <groupName>格式问题</groupName>
      <ability>L2_HalfPunc</ability>
      <abilityName>全半角检查</abilityName>
      <candidateList>
        <item>）</item>
      </candidateList>
      <explain>文本全半角错误。</explain>
      <paraID>34899F68</paraID>
      <start>335</start>
      <end>336</end>
      <status>unmodified</status>
      <modifiedWord/>
      <trackRevisions>false</trackRevisions>
    </reviewItem>
    <reviewItem>
      <errorID>1709488d-aa08-47c9-a098-6e07326aafdd</errorID>
      <errorWord>)</errorWord>
      <group>L1_Format</group>
      <groupName>格式问题</groupName>
      <ability>L2_HalfPunc</ability>
      <abilityName>全半角检查</abilityName>
      <candidateList>
        <item>）</item>
      </candidateList>
      <explain>文本全半角错误。</explain>
      <paraID>26B5159E</paraID>
      <start>61</start>
      <end>62</end>
      <status>unmodified</status>
      <modifiedWord/>
      <trackRevisions>false</trackRevisions>
    </reviewItem>
    <reviewItem>
      <errorID>c57f9171-5374-4624-9bc3-2d5ca8dd1b1d</errorID>
      <errorWord>：</errorWord>
      <group>L1_Format</group>
      <groupName>格式问题</groupName>
      <ability>L2_HalfPunc</ability>
      <abilityName>全半角检查</abilityName>
      <candidateList>
        <item>:</item>
      </candidateList>
      <explain>文本全半角错误。</explain>
      <paraID>5CE08CA4</paraID>
      <start>1</start>
      <end>2</end>
      <status>unmodified</status>
      <modifiedWord/>
      <trackRevisions>false</trackRevisions>
    </reviewItem>
    <reviewItem>
      <errorID>0599ad7d-8bf9-4105-b254-3c05fb2e6f69</errorID>
      <errorWord>：</errorWord>
      <group>L1_Format</group>
      <groupName>格式问题</groupName>
      <ability>L2_HalfPunc</ability>
      <abilityName>全半角检查</abilityName>
      <candidateList>
        <item>:</item>
      </candidateList>
      <explain>文本全半角错误。</explain>
      <paraID>3B6C282C</paraID>
      <start>1</start>
      <end>2</end>
      <status>unmodified</status>
      <modifiedWord/>
      <trackRevisions>false</trackRevisions>
    </reviewItem>
    <reviewItem>
      <errorID>3df4ddab-36ab-42d5-93ef-ce928463491d</errorID>
      <errorWord>)</errorWord>
      <group>L1_Format</group>
      <groupName>格式问题</groupName>
      <ability>L2_HalfPunc</ability>
      <abilityName>全半角检查</abilityName>
      <candidateList>
        <item>）</item>
      </candidateList>
      <explain>文本全半角错误。</explain>
      <paraID>77BEE34C</paraID>
      <start>50</start>
      <end>51</end>
      <status>unmodified</status>
      <modifiedWord/>
      <trackRevisions>false</trackRevisions>
    </reviewItem>
    <reviewItem>
      <errorID>8ea2e7f2-a480-43ca-aceb-0a281bd7027e</errorID>
      <errorWord>水利</errorWord>
      <group>L1_Word</group>
      <groupName>字词问题</groupName>
      <ability>L2_Typo</ability>
      <abilityName>字词错误</abilityName>
      <candidateList>
        <item>水力</item>
      </candidateList>
      <explain/>
      <paraID>498F1B1B</paraID>
      <start>24</start>
      <end>26</end>
      <status>unmodified</status>
      <modifiedWord/>
      <trackRevisions>false</trackRevisions>
    </reviewItem>
    <reviewItem>
      <errorID>355f0a2e-ebb9-44a8-b44b-3a39fee649ba</errorID>
      <errorWord>II类</errorWord>
      <group>L1_Knowledge</group>
      <groupName>知识性问题</groupName>
      <ability>L2_Knowledge</ability>
      <abilityName>其他知识</abilityName>
      <candidateList>
        <item>Ⅱ类</item>
      </candidateList>
      <explain/>
      <paraID>5A546A48</paraID>
      <start>87</start>
      <end>90</end>
      <status>unmodified</status>
      <modifiedWord/>
      <trackRevisions>false</trackRevisions>
    </reviewItem>
    <reviewItem>
      <errorID>44c36fc6-3172-45c5-aa61-e07ebb64b449</errorID>
      <errorWord>III类</errorWord>
      <group>L1_Knowledge</group>
      <groupName>知识性问题</groupName>
      <ability>L2_Knowledge</ability>
      <abilityName>其他知识</abilityName>
      <candidateList>
        <item>Ⅲ类</item>
      </candidateList>
      <explain/>
      <paraID>5A546A48</paraID>
      <start>91</start>
      <end>95</end>
      <status>unmodified</status>
      <modifiedWord/>
      <trackRevisions>false</trackRevisions>
    </reviewItem>
    <reviewItem>
      <errorID>36f08fee-f973-4090-80d2-ada658b28e80</errorID>
      <errorWord>IV类</errorWord>
      <group>L1_Knowledge</group>
      <groupName>知识性问题</groupName>
      <ability>L2_Knowledge</ability>
      <abilityName>其他知识</abilityName>
      <candidateList>
        <item>Ⅳ类</item>
      </candidateList>
      <explain/>
      <paraID>5A546A48</paraID>
      <start>116</start>
      <end>119</end>
      <status>unmodified</status>
      <modifiedWord/>
      <trackRevisions>false</trackRevisions>
    </reviewItem>
    <reviewItem>
      <errorID>cdeda770-de08-44fd-9edb-f03956fd3197</errorID>
      <errorWord>)</errorWord>
      <group>L1_Format</group>
      <groupName>格式问题</groupName>
      <ability>L2_HalfPunc</ability>
      <abilityName>全半角检查</abilityName>
      <candidateList>
        <item>）</item>
      </candidateList>
      <explain>文本全半角错误。</explain>
      <paraID>6EF39384</paraID>
      <start>106</start>
      <end>107</end>
      <status>unmodified</status>
      <modifiedWord/>
      <trackRevisions>false</trackRevisions>
    </reviewItem>
    <reviewItem>
      <errorID>def2f83e-ff6c-4863-86b2-cb4dd2408160</errorID>
      <errorWord>：</errorWord>
      <group>L1_Format</group>
      <groupName>格式问题</groupName>
      <ability>L2_HalfPunc</ability>
      <abilityName>全半角检查</abilityName>
      <candidateList>
        <item>:</item>
      </candidateList>
      <explain>文本全半角错误。</explain>
      <paraID>75761617</paraID>
      <start>1</start>
      <end>2</end>
      <status>unmodified</status>
      <modifiedWord/>
      <trackRevisions>false</trackRevisions>
    </reviewItem>
    <reviewItem>
      <errorID>92848d3b-6c0b-4cf6-8dbf-9db0e78671c5</errorID>
      <errorWord>：</errorWord>
      <group>L1_Format</group>
      <groupName>格式问题</groupName>
      <ability>L2_HalfPunc</ability>
      <abilityName>全半角检查</abilityName>
      <candidateList>
        <item>:</item>
      </candidateList>
      <explain>文本全半角错误。</explain>
      <paraID>28A91FBE</paraID>
      <start>1</start>
      <end>2</end>
      <status>unmodified</status>
      <modifiedWord/>
      <trackRevisions>false</trackRevisions>
    </reviewItem>
    <reviewItem>
      <errorID>3758c262-c136-44f5-ba8a-d3e868b6af29</errorID>
      <errorWord>)</errorWord>
      <group>L1_Format</group>
      <groupName>格式问题</groupName>
      <ability>L2_HalfPunc</ability>
      <abilityName>全半角检查</abilityName>
      <candidateList>
        <item>）</item>
      </candidateList>
      <explain>文本全半角错误。</explain>
      <paraID>17247FAB</paraID>
      <start>32</start>
      <end>33</end>
      <status>unmodified</status>
      <modifiedWord/>
      <trackRevisions>false</trackRevisions>
    </reviewItem>
    <reviewItem>
      <errorID>ca71f29d-967d-4f22-9f09-9ed7af586c55</errorID>
      <errorWord>：</errorWord>
      <group>L1_Format</group>
      <groupName>格式问题</groupName>
      <ability>L2_HalfPunc</ability>
      <abilityName>全半角检查</abilityName>
      <candidateList>
        <item>:</item>
      </candidateList>
      <explain>文本全半角错误。</explain>
      <paraID>7CE39A1E</paraID>
      <start>1</start>
      <end>2</end>
      <status>unmodified</status>
      <modifiedWord/>
      <trackRevisions>false</trackRevisions>
    </reviewItem>
    <reviewItem>
      <errorID>02bfe73c-59b8-4914-b86c-be13cc99c8ff</errorID>
      <errorWord>：</errorWord>
      <group>L1_Format</group>
      <groupName>格式问题</groupName>
      <ability>L2_HalfPunc</ability>
      <abilityName>全半角检查</abilityName>
      <candidateList>
        <item>:</item>
      </candidateList>
      <explain>文本全半角错误。</explain>
      <paraID>7E9B143B</paraID>
      <start>1</start>
      <end>2</end>
      <status>unmodified</status>
      <modifiedWord/>
      <trackRevisions>false</trackRevisions>
    </reviewItem>
    <reviewItem>
      <errorID>ef195204-6d4d-4102-baa4-ec97b790b736</errorID>
      <errorWord>：</errorWord>
      <group>L1_Format</group>
      <groupName>格式问题</groupName>
      <ability>L2_HalfPunc</ability>
      <abilityName>全半角检查</abilityName>
      <candidateList>
        <item>:</item>
      </candidateList>
      <explain>文本全半角错误。</explain>
      <paraID> 42D7F20</paraID>
      <start>1</start>
      <end>2</end>
      <status>unmodified</status>
      <modifiedWord/>
      <trackRevisions>false</trackRevisions>
    </reviewItem>
    <reviewItem>
      <errorID>ee51f4d5-45af-4837-9a14-ae1fafcf33ea</errorID>
      <errorWord>：</errorWord>
      <group>L1_Format</group>
      <groupName>格式问题</groupName>
      <ability>L2_HalfPunc</ability>
      <abilityName>全半角检查</abilityName>
      <candidateList>
        <item>:</item>
      </candidateList>
      <explain>文本全半角错误。</explain>
      <paraID>69B16B59</paraID>
      <start>1</start>
      <end>2</end>
      <status>unmodified</status>
      <modifiedWord/>
      <trackRevisions>false</trackRevisions>
    </reviewItem>
    <reviewItem>
      <errorID>74124e65-af75-45c8-b62b-6b887405a2b7</errorID>
      <errorWord>：</errorWord>
      <group>L1_Format</group>
      <groupName>格式问题</groupName>
      <ability>L2_HalfPunc</ability>
      <abilityName>全半角检查</abilityName>
      <candidateList>
        <item>:</item>
      </candidateList>
      <explain>文本全半角错误。</explain>
      <paraID>7D5CCF8B</paraID>
      <start>1</start>
      <end>2</end>
      <status>unmodified</status>
      <modifiedWord/>
      <trackRevisions>false</trackRevisions>
    </reviewItem>
    <reviewItem>
      <errorID>7ddc2f05-762d-4e65-9c06-20b2a52ee758</errorID>
      <errorWord>：</errorWord>
      <group>L1_Format</group>
      <groupName>格式问题</groupName>
      <ability>L2_HalfPunc</ability>
      <abilityName>全半角检查</abilityName>
      <candidateList>
        <item>:</item>
      </candidateList>
      <explain>文本全半角错误。</explain>
      <paraID>297ED3F3</paraID>
      <start>1</start>
      <end>2</end>
      <status>unmodified</status>
      <modifiedWord/>
      <trackRevisions>false</trackRevisions>
    </reviewItem>
    <reviewItem>
      <errorID>fe498de7-745f-4534-ae7c-006d0c6db60a</errorID>
      <errorWord>：</errorWord>
      <group>L1_Format</group>
      <groupName>格式问题</groupName>
      <ability>L2_HalfPunc</ability>
      <abilityName>全半角检查</abilityName>
      <candidateList>
        <item>:</item>
      </candidateList>
      <explain>文本全半角错误。</explain>
      <paraID>2C2D5B6B</paraID>
      <start>1</start>
      <end>2</end>
      <status>unmodified</status>
      <modifiedWord/>
      <trackRevisions>false</trackRevisions>
    </reviewItem>
    <reviewItem>
      <errorID>942eca53-f1de-4dec-aecd-8d112b63617d</errorID>
      <errorWord>：</errorWord>
      <group>L1_Format</group>
      <groupName>格式问题</groupName>
      <ability>L2_HalfPunc</ability>
      <abilityName>全半角检查</abilityName>
      <candidateList>
        <item>:</item>
      </candidateList>
      <explain>文本全半角错误。</explain>
      <paraID> C6443D8</paraID>
      <start>1</start>
      <end>2</end>
      <status>unmodified</status>
      <modifiedWord/>
      <trackRevisions>false</trackRevisions>
    </reviewItem>
    <reviewItem>
      <errorID>4b215ddb-9a85-4dc9-8d72-e9661f248e72</errorID>
      <errorWord>：</errorWord>
      <group>L1_Format</group>
      <groupName>格式问题</groupName>
      <ability>L2_HalfPunc</ability>
      <abilityName>全半角检查</abilityName>
      <candidateList>
        <item>:</item>
      </candidateList>
      <explain>文本全半角错误。</explain>
      <paraID>11BC3538</paraID>
      <start>1</start>
      <end>2</end>
      <status>unmodified</status>
      <modifiedWord/>
      <trackRevisions>false</trackRevisions>
    </reviewItem>
    <reviewItem>
      <errorID>7fe1663b-029c-4556-81c2-953ffc6716d8</errorID>
      <errorWord>：</errorWord>
      <group>L1_Format</group>
      <groupName>格式问题</groupName>
      <ability>L2_HalfPunc</ability>
      <abilityName>全半角检查</abilityName>
      <candidateList>
        <item>:</item>
      </candidateList>
      <explain>文本全半角错误。</explain>
      <paraID>272D6F96</paraID>
      <start>1</start>
      <end>2</end>
      <status>unmodified</status>
      <modifiedWord/>
      <trackRevisions>false</trackRevisions>
    </reviewItem>
    <reviewItem>
      <errorID>15aab4f8-e731-4a6d-b7cd-feb31144cb5c</errorID>
      <errorWord>：</errorWord>
      <group>L1_Format</group>
      <groupName>格式问题</groupName>
      <ability>L2_HalfPunc</ability>
      <abilityName>全半角检查</abilityName>
      <candidateList>
        <item>:</item>
      </candidateList>
      <explain>文本全半角错误。</explain>
      <paraID>6E97D172</paraID>
      <start>1</start>
      <end>2</end>
      <status>unmodified</status>
      <modifiedWord/>
      <trackRevisions>false</trackRevisions>
    </reviewItem>
    <reviewItem>
      <errorID>3657fb8e-9750-4378-837c-f590d39b9d12</errorID>
      <errorWord>：</errorWord>
      <group>L1_Format</group>
      <groupName>格式问题</groupName>
      <ability>L2_HalfPunc</ability>
      <abilityName>全半角检查</abilityName>
      <candidateList>
        <item>:</item>
      </candidateList>
      <explain>文本全半角错误。</explain>
      <paraID>73B43AB3</paraID>
      <start>1</start>
      <end>2</end>
      <status>unmodified</status>
      <modifiedWord/>
      <trackRevisions>false</trackRevisions>
    </reviewItem>
    <reviewItem>
      <errorID>e18af6f3-305b-4e3e-acb4-b771c5516c15</errorID>
      <errorWord>：</errorWord>
      <group>L1_Format</group>
      <groupName>格式问题</groupName>
      <ability>L2_HalfPunc</ability>
      <abilityName>全半角检查</abilityName>
      <candidateList>
        <item>:</item>
      </candidateList>
      <explain>文本全半角错误。</explain>
      <paraID>1C37D344</paraID>
      <start>1</start>
      <end>2</end>
      <status>unmodified</status>
      <modifiedWord/>
      <trackRevisions>false</trackRevisions>
    </reviewItem>
    <reviewItem>
      <errorID>0187b0b8-ad01-4cf0-a93d-6622d0bb7fcf</errorID>
      <errorWord>：</errorWord>
      <group>L1_Format</group>
      <groupName>格式问题</groupName>
      <ability>L2_HalfPunc</ability>
      <abilityName>全半角检查</abilityName>
      <candidateList>
        <item>:</item>
      </candidateList>
      <explain>文本全半角错误。</explain>
      <paraID>69F63850</paraID>
      <start>1</start>
      <end>2</end>
      <status>unmodified</status>
      <modifiedWord/>
      <trackRevisions>false</trackRevisions>
    </reviewItem>
    <reviewItem>
      <errorID>98da26da-4388-46c6-86fe-c6e1e2775acb</errorID>
      <errorWord>：</errorWord>
      <group>L1_Format</group>
      <groupName>格式问题</groupName>
      <ability>L2_HalfPunc</ability>
      <abilityName>全半角检查</abilityName>
      <candidateList>
        <item>:</item>
      </candidateList>
      <explain>文本全半角错误。</explain>
      <paraID>30B9A610</paraID>
      <start>1</start>
      <end>2</end>
      <status>unmodified</status>
      <modifiedWord/>
      <trackRevisions>false</trackRevisions>
    </reviewItem>
    <reviewItem>
      <errorID>17825079-f969-4da7-8a21-40a092ac2ed4</errorID>
      <errorWord>：</errorWord>
      <group>L1_Format</group>
      <groupName>格式问题</groupName>
      <ability>L2_HalfPunc</ability>
      <abilityName>全半角检查</abilityName>
      <candidateList>
        <item>:</item>
      </candidateList>
      <explain>文本全半角错误。</explain>
      <paraID>617D0F9F</paraID>
      <start>1</start>
      <end>2</end>
      <status>unmodified</status>
      <modifiedWord/>
      <trackRevisions>false</trackRevisions>
    </reviewItem>
    <reviewItem>
      <errorID>7f59e859-2039-4c87-955f-a3f5d9f62f11</errorID>
      <errorWord>)</errorWord>
      <group>L1_Format</group>
      <groupName>格式问题</groupName>
      <ability>L2_HalfPunc</ability>
      <abilityName>全半角检查</abilityName>
      <candidateList>
        <item>）</item>
      </candidateList>
      <explain>文本全半角错误。</explain>
      <paraID>5192DEF5</paraID>
      <start>21</start>
      <end>22</end>
      <status>unmodified</status>
      <modifiedWord/>
      <trackRevisions>false</trackRevisions>
    </reviewItem>
    <reviewItem>
      <errorID>75280f6d-a220-4101-8696-3ee8dc879da6</errorID>
      <errorWord>)</errorWord>
      <group>L1_Format</group>
      <groupName>格式问题</groupName>
      <ability>L2_HalfPunc</ability>
      <abilityName>全半角检查</abilityName>
      <candidateList>
        <item>）</item>
      </candidateList>
      <explain>文本全半角错误。</explain>
      <paraID> D8AA281</paraID>
      <start>20</start>
      <end>21</end>
      <status>unmodified</status>
      <modifiedWord/>
      <trackRevisions>false</trackRevisions>
    </reviewItem>
    <reviewItem>
      <errorID>4a569801-06de-46a2-8c08-0a689489d284</errorID>
      <errorWord>III类</errorWord>
      <group>L1_Knowledge</group>
      <groupName>知识性问题</groupName>
      <ability>L2_Knowledge</ability>
      <abilityName>其他知识</abilityName>
      <candidateList>
        <item>Ⅲ类</item>
      </candidateList>
      <explain/>
      <paraID>434AA2D2</paraID>
      <start>50</start>
      <end>54</end>
      <status>unmodified</status>
      <modifiedWord/>
      <trackRevisions>false</trackRevisions>
    </reviewItem>
    <reviewItem>
      <errorID>f39d9ef5-f60d-4bc7-ade0-dc3f42d20c9a</errorID>
      <errorWord>III类</errorWord>
      <group>L1_Knowledge</group>
      <groupName>知识性问题</groupName>
      <ability>L2_Knowledge</ability>
      <abilityName>其他知识</abilityName>
      <candidateList>
        <item>Ⅲ类</item>
      </candidateList>
      <explain/>
      <paraID>434AA2D2</paraID>
      <start>208</start>
      <end>212</end>
      <status>unmodified</status>
      <modifiedWord/>
      <trackRevisions>false</trackRevisions>
    </reviewItem>
    <reviewItem>
      <errorID>7fcf6c38-cfe5-41d9-ac16-1975ba0265c4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434AA2D2</paraID>
      <start>243</start>
      <end>244</end>
      <status>unmodified</status>
      <modifiedWord/>
      <trackRevisions>false</trackRevisions>
    </reviewItem>
    <reviewItem>
      <errorID>3a9475a8-4e8b-4c96-ab58-181f3c308971</errorID>
      <errorWord>监测方法</errorWord>
      <group>L1_Word</group>
      <groupName>字词问题</groupName>
      <ability>L2_Typo</ability>
      <abilityName>字词错误</abilityName>
      <candidateList>
        <item>检测方法</item>
      </candidateList>
      <explain/>
      <paraID>7C7DC246</paraID>
      <start>0</start>
      <end>4</end>
      <status>unmodified</status>
      <modifiedWord/>
      <trackRevisions>false</trackRevisions>
    </reviewItem>
    <reviewItem>
      <errorID>68bfae6c-8ec4-4382-9657-fe7174439ca5</errorID>
      <errorWord>（</errorWord>
      <group>L1_Format</group>
      <groupName>格式问题</groupName>
      <ability>L2_HalfPunc</ability>
      <abilityName>全半角检查</abilityName>
      <candidateList>
        <item>(</item>
      </candidateList>
      <explain>文本全半角错误。</explain>
      <paraID>3C60B0C5</paraID>
      <start>2</start>
      <end>3</end>
      <status>unmodified</status>
      <modifiedWord/>
      <trackRevisions>false</trackRevisions>
    </reviewItem>
    <reviewItem>
      <errorID>775554d1-cb2b-4b0c-8326-6d4f6f0da741</errorID>
      <errorWord>）</errorWord>
      <group>L1_Format</group>
      <groupName>格式问题</groupName>
      <ability>L2_HalfPunc</ability>
      <abilityName>全半角检查</abilityName>
      <candidateList>
        <item>)</item>
      </candidateList>
      <explain>文本全半角错误。</explain>
      <paraID>3C60B0C5</paraID>
      <start>4</start>
      <end>5</end>
      <status>unmodified</status>
      <modifiedWord/>
      <trackRevisions>false</trackRevisions>
    </reviewItem>
    <reviewItem>
      <errorID>39d9fa23-e030-4306-94df-fb603f271794</errorID>
      <errorWord>-</errorWord>
      <group>L1_Format</group>
      <groupName>格式问题</groupName>
      <ability>L2_HalfPunc</ability>
      <abilityName>全半角检查</abilityName>
      <candidateList>
        <item>－</item>
      </candidateList>
      <explain>文本全半角错误。</explain>
      <paraID> FA1F81E</paraID>
      <start>13</start>
      <end>14</end>
      <status>unmodified</status>
      <modifiedWord/>
      <trackRevisions>false</trackRevisions>
    </reviewItem>
    <reviewItem>
      <errorID>6ecefb03-e5f3-420f-b892-d11d68428b09</errorID>
      <errorWord>~</errorWord>
      <group>L1_Format</group>
      <groupName>格式问题</groupName>
      <ability>L2_HalfPunc</ability>
      <abilityName>全半角检查</abilityName>
      <candidateList>
        <item>～</item>
      </candidateList>
      <explain>文本全半角错误。</explain>
      <paraID> B3D0B6F</paraID>
      <start>15</start>
      <end>16</end>
      <status>unmodified</status>
      <modifiedWord/>
      <trackRevisions>false</trackRevisions>
    </reviewItem>
    <reviewItem>
      <errorID>bdad8063-b772-48cd-a0ec-b19b7aa65bed</errorID>
      <errorWord>~</errorWord>
      <group>L1_Format</group>
      <groupName>格式问题</groupName>
      <ability>L2_HalfPunc</ability>
      <abilityName>全半角检查</abilityName>
      <candidateList>
        <item>～</item>
      </candidateList>
      <explain>文本全半角错误。</explain>
      <paraID> B3D0B6F</paraID>
      <start>24</start>
      <end>25</end>
      <status>unmodified</status>
      <modifiedWord/>
      <trackRevisions>false</trackRevisions>
    </reviewItem>
    <reviewItem>
      <errorID>bce00d33-be84-42cd-8fa8-850c9c915cae</errorID>
      <errorWord>~</errorWord>
      <group>L1_Format</group>
      <groupName>格式问题</groupName>
      <ability>L2_HalfPunc</ability>
      <abilityName>全半角检查</abilityName>
      <candidateList>
        <item>～</item>
      </candidateList>
      <explain>文本全半角错误。</explain>
      <paraID>1CEB2A90</paraID>
      <start>15</start>
      <end>16</end>
      <status>unmodified</status>
      <modifiedWord/>
      <trackRevisions>false</trackRevisions>
    </reviewItem>
    <reviewItem>
      <errorID>6dfeabca-ec6b-4390-84fd-0e734c85b8f2</errorID>
      <errorWord>~</errorWord>
      <group>L1_Format</group>
      <groupName>格式问题</groupName>
      <ability>L2_HalfPunc</ability>
      <abilityName>全半角检查</abilityName>
      <candidateList>
        <item>～</item>
      </candidateList>
      <explain>文本全半角错误。</explain>
      <paraID>1CEB2A90</paraID>
      <start>24</start>
      <end>25</end>
      <status>unmodified</status>
      <modifiedWord/>
      <trackRevisions>false</trackRevisions>
    </reviewItem>
    <reviewItem>
      <errorID>ff7b232d-72bd-4e7e-b69a-98917132d801</errorID>
      <errorWord>~</errorWord>
      <group>L1_Format</group>
      <groupName>格式问题</groupName>
      <ability>L2_HalfPunc</ability>
      <abilityName>全半角检查</abilityName>
      <candidateList>
        <item>～</item>
      </candidateList>
      <explain>文本全半角错误。</explain>
      <paraID>3DFAC7B7</paraID>
      <start>15</start>
      <end>16</end>
      <status>unmodified</status>
      <modifiedWord/>
      <trackRevisions>false</trackRevisions>
    </reviewItem>
    <reviewItem>
      <errorID>cb3652bf-665a-4a13-a2d1-69cccdd3dae5</errorID>
      <errorWord>~</errorWord>
      <group>L1_Format</group>
      <groupName>格式问题</groupName>
      <ability>L2_HalfPunc</ability>
      <abilityName>全半角检查</abilityName>
      <candidateList>
        <item>～</item>
      </candidateList>
      <explain>文本全半角错误。</explain>
      <paraID>3DFAC7B7</paraID>
      <start>24</start>
      <end>25</end>
      <status>unmodified</status>
      <modifiedWord/>
      <trackRevisions>false</trackRevisions>
    </reviewItem>
    <reviewItem>
      <errorID>618fdc1d-dd79-4bc8-a371-77483de7ec9f</errorID>
      <errorWord>:</errorWord>
      <group>L1_Format</group>
      <groupName>格式问题</groupName>
      <ability>L2_HalfPunc</ability>
      <abilityName>全半角检查</abilityName>
      <candidateList>
        <item>：</item>
      </candidateList>
      <explain>文本全半角错误。</explain>
      <paraID>7F9C1432</paraID>
      <start>29</start>
      <end>30</end>
      <status>unmodified</status>
      <modifiedWord/>
      <trackRevisions>false</trackRevisions>
    </reviewItem>
    <reviewItem>
      <errorID>94017fb2-1c7c-4c56-b8f5-30b51012e184</errorID>
      <errorWord>)</errorWord>
      <group>L1_Format</group>
      <groupName>格式问题</groupName>
      <ability>L2_HalfPunc</ability>
      <abilityName>全半角检查</abilityName>
      <candidateList>
        <item>）</item>
      </candidateList>
      <explain>文本全半角错误。</explain>
      <paraID>2B40E23D</paraID>
      <start>31</start>
      <end>32</end>
      <status>unmodified</status>
      <modifiedWord/>
      <trackRevisions>false</trackRevisions>
    </reviewItem>
    <reviewItem>
      <errorID>7639e29f-34cd-4110-9dbd-f8b55b69bc51</errorID>
      <errorWord>)</errorWord>
      <group>L1_Format</group>
      <groupName>格式问题</groupName>
      <ability>L2_HalfPunc</ability>
      <abilityName>全半角检查</abilityName>
      <candidateList>
        <item>）</item>
      </candidateList>
      <explain>文本全半角错误。</explain>
      <paraID>60A62190</paraID>
      <start>4</start>
      <end>5</end>
      <status>unmodified</status>
      <modifiedWord/>
      <trackRevisions>false</trackRevisions>
    </reviewItem>
    <reviewItem>
      <errorID>53e626b4-4a4d-4e0b-aedc-d2fe0c292726</errorID>
      <errorWord>)</errorWord>
      <group>L1_Format</group>
      <groupName>格式问题</groupName>
      <ability>L2_HalfPunc</ability>
      <abilityName>全半角检查</abilityName>
      <candidateList>
        <item>）</item>
      </candidateList>
      <explain>文本全半角错误。</explain>
      <paraID>2FC39844</paraID>
      <start>4</start>
      <end>5</end>
      <status>unmodified</status>
      <modifiedWord/>
      <trackRevisions>false</trackRevisions>
    </reviewItem>
    <reviewItem>
      <errorID>6e7fc274-650b-4c67-b5bc-f8deacfa4ac3</errorID>
      <errorWord>)</errorWord>
      <group>L1_Format</group>
      <groupName>格式问题</groupName>
      <ability>L2_HalfPunc</ability>
      <abilityName>全半角检查</abilityName>
      <candidateList>
        <item>）</item>
      </candidateList>
      <explain>文本全半角错误。</explain>
      <paraID>16EFE122</paraID>
      <start>4</start>
      <end>5</end>
      <status>unmodified</status>
      <modifiedWord/>
      <trackRevisions>false</trackRevisions>
    </reviewItem>
    <reviewItem>
      <errorID>d48ef95e-b1ca-4201-94f2-a914b68ea12a</errorID>
      <errorWord>)</errorWord>
      <group>L1_Format</group>
      <groupName>格式问题</groupName>
      <ability>L2_HalfPunc</ability>
      <abilityName>全半角检查</abilityName>
      <candidateList>
        <item>）</item>
      </candidateList>
      <explain>文本全半角错误。</explain>
      <paraID>4C77E638</paraID>
      <start>12</start>
      <end>13</end>
      <status>unmodified</status>
      <modifiedWord/>
      <trackRevisions>false</trackRevisions>
    </reviewItem>
    <reviewItem>
      <errorID>b829bd15-8717-47f1-80fc-abb474bbfb7b</errorID>
      <errorWord>)</errorWord>
      <group>L1_Format</group>
      <groupName>格式问题</groupName>
      <ability>L2_HalfPunc</ability>
      <abilityName>全半角检查</abilityName>
      <candidateList>
        <item>）</item>
      </candidateList>
      <explain>文本全半角错误。</explain>
      <paraID>22E3A6EC</paraID>
      <start>7</start>
      <end>8</end>
      <status>unmodified</status>
      <modifiedWord/>
      <trackRevisions>false</trackRevisions>
    </reviewItem>
    <reviewItem>
      <errorID>2c548a63-5137-49c6-89ab-6a4aa8c852c5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776152CC</paraID>
      <start>0</start>
      <end>2</end>
      <status>unmodified</status>
      <modifiedWord/>
      <trackRevisions>false</trackRevisions>
    </reviewItem>
    <reviewItem>
      <errorID>fd359646-b702-499c-b3e2-03b1d6ab57f9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5D01B3DA</paraID>
      <start>0</start>
      <end>2</end>
      <status>unmodified</status>
      <modifiedWord/>
      <trackRevisions>false</trackRevisions>
    </reviewItem>
    <reviewItem>
      <errorID>7cf48fd9-9c31-4f07-9a59-517479ae8b1c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153D2D35</paraID>
      <start>0</start>
      <end>2</end>
      <status>unmodified</status>
      <modifiedWord/>
      <trackRevisions>false</trackRevisions>
    </reviewItem>
    <reviewItem>
      <errorID>4de26f58-15bf-4973-93ec-d992029ef5b1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667C404A</paraID>
      <start>0</start>
      <end>2</end>
      <status>unmodified</status>
      <modifiedWord/>
      <trackRevisions>false</trackRevisions>
    </reviewItem>
    <reviewItem>
      <errorID>a1230b8d-4e98-43f1-b003-b04a0942e5b9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29C0ADA0</paraID>
      <start>0</start>
      <end>2</end>
      <status>unmodified</status>
      <modifiedWord/>
      <trackRevisions>false</trackRevisions>
    </reviewItem>
    <reviewItem>
      <errorID>cd0bb6dc-9e21-41fd-aaca-f41bd16e4371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48368F24</paraID>
      <start>0</start>
      <end>2</end>
      <status>unmodified</status>
      <modifiedWord/>
      <trackRevisions>false</trackRevisions>
    </reviewItem>
    <reviewItem>
      <errorID>e183a05b-66af-4aac-8a60-9d26a8e5f675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4514284C</paraID>
      <start>0</start>
      <end>2</end>
      <status>unmodified</status>
      <modifiedWord/>
      <trackRevisions>false</trackRevisions>
    </reviewItem>
    <reviewItem>
      <errorID>033a4661-5f09-4997-8bb4-f10a4b90b9c4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877D658</paraID>
      <start>0</start>
      <end>2</end>
      <status>unmodified</status>
      <modifiedWord/>
      <trackRevisions>false</trackRevisions>
    </reviewItem>
    <reviewItem>
      <errorID>4c09ce32-6a4d-444c-ac38-b0ccadb8cd66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34C4E64E</paraID>
      <start>0</start>
      <end>2</end>
      <status>unmodified</status>
      <modifiedWord/>
      <trackRevisions>false</trackRevisions>
    </reviewItem>
    <reviewItem>
      <errorID>b467e38d-b4ba-41d2-bb56-6b2e58dbbcb7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75CA130C</paraID>
      <start>0</start>
      <end>2</end>
      <status>unmodified</status>
      <modifiedWord/>
      <trackRevisions>false</trackRevisions>
    </reviewItem>
    <reviewItem>
      <errorID>804d3ae9-e486-476a-ae4c-357205eec446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323C8DA3</paraID>
      <start>0</start>
      <end>2</end>
      <status>unmodified</status>
      <modifiedWord/>
      <trackRevisions>false</trackRevisions>
    </reviewItem>
    <reviewItem>
      <errorID>047f6918-53b7-461f-ac69-c18f95c1f26c</errorID>
      <errorWord>-</errorWord>
      <group>L1_Format</group>
      <groupName>格式问题</groupName>
      <ability>L2_HalfPunc</ability>
      <abilityName>全半角检查</abilityName>
      <candidateList>
        <item>－</item>
      </candidateList>
      <explain>文本全半角错误。</explain>
      <paraID>50A5A91F</paraID>
      <start>1</start>
      <end>2</end>
      <status>unmodified</status>
      <modifiedWord/>
      <trackRevisions>false</trackRevisions>
    </reviewItem>
    <reviewItem>
      <errorID>4cdd4fcb-fa51-4b5d-968b-8b1a7c48b336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B6ACCC4</paraID>
      <start>11</start>
      <end>12</end>
      <status>unmodified</status>
      <modifiedWord/>
      <trackRevisions>false</trackRevisions>
    </reviewItem>
    <reviewItem>
      <errorID>b1a95e52-b052-4762-9ed7-6717e580fdb4</errorID>
      <errorWord>)</errorWord>
      <group>L1_Format</group>
      <groupName>格式问题</groupName>
      <ability>L2_HalfPunc</ability>
      <abilityName>全半角检查</abilityName>
      <candidateList>
        <item>）</item>
      </candidateList>
      <explain>文本全半角错误。</explain>
      <paraID>7C4537AE</paraID>
      <start>4</start>
      <end>5</end>
      <status>unmodified</status>
      <modifiedWord/>
      <trackRevisions>false</trackRevisions>
    </reviewItem>
    <reviewItem>
      <errorID>ad23293f-552a-4fc3-b1fe-fe423cf47dab</errorID>
      <errorWord>)</errorWord>
      <group>L1_Format</group>
      <groupName>格式问题</groupName>
      <ability>L2_HalfPunc</ability>
      <abilityName>全半角检查</abilityName>
      <candidateList>
        <item>）</item>
      </candidateList>
      <explain>文本全半角错误。</explain>
      <paraID>559F6414</paraID>
      <start>4</start>
      <end>5</end>
      <status>unmodified</status>
      <modifiedWord/>
      <trackRevisions>false</trackRevisions>
    </reviewItem>
    <reviewItem>
      <errorID>7d931202-5c37-4464-934d-7c91c3dde329</errorID>
      <errorWord>)</errorWord>
      <group>L1_Format</group>
      <groupName>格式问题</groupName>
      <ability>L2_HalfPunc</ability>
      <abilityName>全半角检查</abilityName>
      <candidateList>
        <item>）</item>
      </candidateList>
      <explain>文本全半角错误。</explain>
      <paraID>17CB4768</paraID>
      <start>4</start>
      <end>5</end>
      <status>unmodified</status>
      <modifiedWord/>
      <trackRevisions>false</trackRevisions>
    </reviewItem>
    <reviewItem>
      <errorID>35f099c6-ae45-4ad1-bff5-024c06bed5f5</errorID>
      <errorWord>)</errorWord>
      <group>L1_Format</group>
      <groupName>格式问题</groupName>
      <ability>L2_HalfPunc</ability>
      <abilityName>全半角检查</abilityName>
      <candidateList>
        <item>）</item>
      </candidateList>
      <explain>文本全半角错误。</explain>
      <paraID>103DE277</paraID>
      <start>12</start>
      <end>13</end>
      <status>unmodified</status>
      <modifiedWord/>
      <trackRevisions>false</trackRevisions>
    </reviewItem>
    <reviewItem>
      <errorID>ed8fa327-ca54-4f1b-a395-e7116a36fcbe</errorID>
      <errorWord>)</errorWord>
      <group>L1_Format</group>
      <groupName>格式问题</groupName>
      <ability>L2_HalfPunc</ability>
      <abilityName>全半角检查</abilityName>
      <candidateList>
        <item>）</item>
      </candidateList>
      <explain>文本全半角错误。</explain>
      <paraID> AFE0B69</paraID>
      <start>7</start>
      <end>8</end>
      <status>unmodified</status>
      <modifiedWord/>
      <trackRevisions>false</trackRevisions>
    </reviewItem>
    <reviewItem>
      <errorID>3ed3af08-99e7-47bd-a51b-069487fcb375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6268E804</paraID>
      <start>0</start>
      <end>2</end>
      <status>unmodified</status>
      <modifiedWord/>
      <trackRevisions>false</trackRevisions>
    </reviewItem>
    <reviewItem>
      <errorID>37c29f12-c63a-44bc-87a0-2a4433d8b83a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2F7A4D23</paraID>
      <start>0</start>
      <end>2</end>
      <status>unmodified</status>
      <modifiedWord/>
      <trackRevisions>false</trackRevisions>
    </reviewItem>
    <reviewItem>
      <errorID>eca2ebea-2894-4385-b454-434df27cd3c5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2B8A42AF</paraID>
      <start>0</start>
      <end>2</end>
      <status>unmodified</status>
      <modifiedWord/>
      <trackRevisions>false</trackRevisions>
    </reviewItem>
    <reviewItem>
      <errorID>be9e975b-d8d8-408d-a380-6125214b87ad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62E20CCE</paraID>
      <start>0</start>
      <end>2</end>
      <status>unmodified</status>
      <modifiedWord/>
      <trackRevisions>false</trackRevisions>
    </reviewItem>
    <reviewItem>
      <errorID>080d5715-e3b9-4a61-b697-ef343bdf34c1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5110BE17</paraID>
      <start>0</start>
      <end>2</end>
      <status>unmodified</status>
      <modifiedWord/>
      <trackRevisions>false</trackRevisions>
    </reviewItem>
    <reviewItem>
      <errorID>706b1130-ee3f-4952-8f7c-6cc2d7f28d9c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146BB20A</paraID>
      <start>0</start>
      <end>2</end>
      <status>unmodified</status>
      <modifiedWord/>
      <trackRevisions>false</trackRevisions>
    </reviewItem>
    <reviewItem>
      <errorID>8f707745-0ac4-4e5e-983a-cdcea2c85884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B951C2B</paraID>
      <start>0</start>
      <end>2</end>
      <status>unmodified</status>
      <modifiedWord/>
      <trackRevisions>false</trackRevisions>
    </reviewItem>
    <reviewItem>
      <errorID>4bac52c3-cfa1-4e1d-9c57-bcaf53ab4dd9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21CC01CB</paraID>
      <start>0</start>
      <end>2</end>
      <status>unmodified</status>
      <modifiedWord/>
      <trackRevisions>false</trackRevisions>
    </reviewItem>
    <reviewItem>
      <errorID>804840c2-1c7d-4dc3-a977-6771e224a0d0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36A3B61B</paraID>
      <start>0</start>
      <end>2</end>
      <status>unmodified</status>
      <modifiedWord/>
      <trackRevisions>false</trackRevisions>
    </reviewItem>
    <reviewItem>
      <errorID>a9ab5b9e-8651-4693-a999-df19e6b97fa7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5F04618D</paraID>
      <start>0</start>
      <end>2</end>
      <status>unmodified</status>
      <modifiedWord/>
      <trackRevisions>false</trackRevisions>
    </reviewItem>
    <reviewItem>
      <errorID>06ce65b2-35bf-49b2-9e98-b3705216308a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13C82589</paraID>
      <start>0</start>
      <end>2</end>
      <status>unmodified</status>
      <modifiedWord/>
      <trackRevisions>false</trackRevisions>
    </reviewItem>
    <reviewItem>
      <errorID>65234423-4b51-4b97-a776-fc290e44aee1</errorID>
      <errorWord>-</errorWord>
      <group>L1_Format</group>
      <groupName>格式问题</groupName>
      <ability>L2_HalfPunc</ability>
      <abilityName>全半角检查</abilityName>
      <candidateList>
        <item>－</item>
      </candidateList>
      <explain>文本全半角错误。</explain>
      <paraID>  477DD5</paraID>
      <start>1</start>
      <end>2</end>
      <status>unmodified</status>
      <modifiedWord/>
      <trackRevisions>false</trackRevisions>
    </reviewItem>
    <reviewItem>
      <errorID>edc42f88-1654-4f61-9a0f-0fdf45625d97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4E92F1F2</paraID>
      <start>11</start>
      <end>12</end>
      <status>unmodified</status>
      <modifiedWord/>
      <trackRevisions>false</trackRevisions>
    </reviewItem>
    <reviewItem>
      <errorID>20e06250-2b23-4e90-aff4-a9e210db094d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7017E198</paraID>
      <start>3</start>
      <end>4</end>
      <status>unmodified</status>
      <modifiedWord/>
      <trackRevisions>false</trackRevisions>
    </reviewItem>
    <reviewItem>
      <errorID>f5eb07d1-383a-4588-a899-5efefc20f2b2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349CDFB8</paraID>
      <start>3</start>
      <end>4</end>
      <status>unmodified</status>
      <modifiedWord/>
      <trackRevisions>false</trackRevisions>
    </reviewItem>
    <reviewItem>
      <errorID>6ecbecf6-13cb-43b7-8009-14c20587d088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6F8BE3E0</paraID>
      <start>3</start>
      <end>4</end>
      <status>unmodified</status>
      <modifiedWord/>
      <trackRevisions>false</trackRevisions>
    </reviewItem>
    <reviewItem>
      <errorID>10b3845d-228f-41b8-9b6b-9ca978617930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7310E9B1</paraID>
      <start>3</start>
      <end>4</end>
      <status>unmodified</status>
      <modifiedWord/>
      <trackRevisions>false</trackRevisions>
    </reviewItem>
    <reviewItem>
      <errorID>ec3eb08f-71ea-4a87-9d50-bb9bfc3d31e8</errorID>
      <errorWord>-</errorWord>
      <group>L1_Format</group>
      <groupName>格式问题</groupName>
      <ability>L2_HalfPunc</ability>
      <abilityName>全半角检查</abilityName>
      <candidateList>
        <item>－</item>
      </candidateList>
      <explain>文本全半角错误。</explain>
      <paraID>51BD71DF</paraID>
      <start>1</start>
      <end>2</end>
      <status>unmodified</status>
      <modifiedWord/>
      <trackRevisions>false</trackRevisions>
    </reviewItem>
    <reviewItem>
      <errorID>235c01c3-1170-4131-ad66-3c7b4536c4df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55CCA46A</paraID>
      <start>11</start>
      <end>12</end>
      <status>unmodified</status>
      <modifiedWord/>
      <trackRevisions>false</trackRevisions>
    </reviewItem>
    <reviewItem>
      <errorID>57acbb5f-589d-4cad-9cc4-2edf4113e756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6CD261A6</paraID>
      <start>3</start>
      <end>4</end>
      <status>unmodified</status>
      <modifiedWord/>
      <trackRevisions>false</trackRevisions>
    </reviewItem>
    <reviewItem>
      <errorID>6ebf0f0e-321e-41cb-bbc4-dbd55a3bfe02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18C3F394</paraID>
      <start>3</start>
      <end>4</end>
      <status>unmodified</status>
      <modifiedWord/>
      <trackRevisions>false</trackRevisions>
    </reviewItem>
    <reviewItem>
      <errorID>dd2a9416-8d21-47c1-9bdf-6144f63d1e39</errorID>
      <errorWord>-</errorWord>
      <group>L1_Format</group>
      <groupName>格式问题</groupName>
      <ability>L2_HalfPunc</ability>
      <abilityName>全半角检查</abilityName>
      <candidateList>
        <item>－</item>
      </candidateList>
      <explain>文本全半角错误。</explain>
      <paraID>3EA7D8C9</paraID>
      <start>1</start>
      <end>2</end>
      <status>unmodified</status>
      <modifiedWord/>
      <trackRevisions>false</trackRevisions>
    </reviewItem>
    <reviewItem>
      <errorID>41e97aaf-fd62-4130-aea6-19e5d922a251</errorID>
      <errorWord>-</errorWord>
      <group>L1_Format</group>
      <groupName>格式问题</groupName>
      <ability>L2_HalfPunc</ability>
      <abilityName>全半角检查</abilityName>
      <candidateList>
        <item>－</item>
      </candidateList>
      <explain>文本全半角错误。</explain>
      <paraID>11D8260C</paraID>
      <start>85</start>
      <end>86</end>
      <status>unmodified</status>
      <modifiedWord/>
      <trackRevisions>false</trackRevisions>
    </reviewItem>
    <reviewItem>
      <errorID>2fa747a3-0170-445a-b2e1-0c402d8fb384</errorID>
      <errorWord>)</errorWord>
      <group>L1_Format</group>
      <groupName>格式问题</groupName>
      <ability>L2_HalfPunc</ability>
      <abilityName>全半角检查</abilityName>
      <candidateList>
        <item>）</item>
      </candidateList>
      <explain>文本全半角错误。</explain>
      <paraID>1FB37D62</paraID>
      <start>95</start>
      <end>96</end>
      <status>unmodified</status>
      <modifiedWord/>
      <trackRevisions>false</trackRevisions>
    </reviewItem>
    <reviewItem>
      <errorID>a9b90bf2-c099-4638-a9e6-b0e83f6b1d14</errorID>
      <errorWord>)</errorWord>
      <group>L1_Format</group>
      <groupName>格式问题</groupName>
      <ability>L2_HalfPunc</ability>
      <abilityName>全半角检查</abilityName>
      <candidateList>
        <item>）</item>
      </candidateList>
      <explain>文本全半角错误。</explain>
      <paraID>1FB37D62</paraID>
      <start>144</start>
      <end>145</end>
      <status>unmodified</status>
      <modifiedWord/>
      <trackRevisions>false</trackRevisions>
    </reviewItem>
    <reviewItem>
      <errorID>33c78bcf-60a8-45d4-a6fa-256601722e88</errorID>
      <errorWord>)</errorWord>
      <group>L1_Format</group>
      <groupName>格式问题</groupName>
      <ability>L2_HalfPunc</ability>
      <abilityName>全半角检查</abilityName>
      <candidateList>
        <item>）</item>
      </candidateList>
      <explain>文本全半角错误。</explain>
      <paraID>1AE36F92</paraID>
      <start>88</start>
      <end>89</end>
      <status>unmodified</status>
      <modifiedWord/>
      <trackRevisions>false</trackRevisions>
    </reviewItem>
    <reviewItem>
      <errorID>2c0cde43-0562-496e-b951-98e9a72175d6</errorID>
      <errorWord>)</errorWord>
      <group>L1_Format</group>
      <groupName>格式问题</groupName>
      <ability>L2_HalfPunc</ability>
      <abilityName>全半角检查</abilityName>
      <candidateList>
        <item>）</item>
      </candidateList>
      <explain>文本全半角错误。</explain>
      <paraID>1AE36F92</paraID>
      <start>149</start>
      <end>150</end>
      <status>unmodified</status>
      <modifiedWord/>
      <trackRevisions>false</trackRevisions>
    </reviewItem>
    <reviewItem>
      <errorID>249da6c6-dde8-4e40-a164-11893c51ae46</errorID>
      <errorWord>)</errorWord>
      <group>L1_Format</group>
      <groupName>格式问题</groupName>
      <ability>L2_HalfPunc</ability>
      <abilityName>全半角检查</abilityName>
      <candidateList>
        <item>）</item>
      </candidateList>
      <explain>文本全半角错误。</explain>
      <paraID>7AF7F2BC</paraID>
      <start>37</start>
      <end>38</end>
      <status>unmodified</status>
      <modifiedWord/>
      <trackRevisions>false</trackRevisions>
    </reviewItem>
    <reviewItem>
      <errorID>bf7253f7-a464-468c-a33e-38333ac1ba64</errorID>
      <errorWord>III类</errorWord>
      <group>L1_Knowledge</group>
      <groupName>知识性问题</groupName>
      <ability>L2_Knowledge</ability>
      <abilityName>其他知识</abilityName>
      <candidateList>
        <item>Ⅲ类</item>
      </candidateList>
      <explain/>
      <paraID>7AF7F2BC</paraID>
      <start>104</start>
      <end>108</end>
      <status>unmodified</status>
      <modifiedWord/>
      <trackRevisions>false</trackRevisions>
    </reviewItem>
    <reviewItem>
      <errorID>4e02af02-daf4-456a-ad7e-ef81cd6839a1</errorID>
      <errorWord>III类</errorWord>
      <group>L1_Knowledge</group>
      <groupName>知识性问题</groupName>
      <ability>L2_Knowledge</ability>
      <abilityName>其他知识</abilityName>
      <candidateList>
        <item>Ⅲ类</item>
      </candidateList>
      <explain/>
      <paraID>7AF7F2BC</paraID>
      <start>262</start>
      <end>266</end>
      <status>unmodified</status>
      <modifiedWord/>
      <trackRevisions>false</trackRevisions>
    </reviewItem>
    <reviewItem>
      <errorID>bcabd196-f0c9-4527-8041-89c1bec0609f</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5278AFA9</paraID>
      <start>95</start>
      <end>96</end>
      <status>unmodified</status>
      <modifiedWord/>
      <trackRevisions>false</trackRevisions>
    </reviewItem>
    <reviewItem>
      <errorID>f0d6a04b-4f25-4df7-8baf-80ef10dd5900</errorID>
      <errorWord>基础开挖</errorWord>
      <group>L1_Knowledge</group>
      <groupName>知识性问题</groupName>
      <ability>L2_Term</ability>
      <abilityName>专业术语</abilityName>
      <candidateList>
        <item>基坑开挖</item>
      </candidateList>
      <explain/>
      <paraID>25974F46</paraID>
      <start>16</start>
      <end>20</end>
      <status>unmodified</status>
      <modifiedWord/>
      <trackRevisions>false</trackRevisions>
    </reviewItem>
    <reviewItem>
      <errorID>5c644570-1367-4f70-8371-763c8c9121f6</errorID>
      <errorWord>黄砂</errorWord>
      <group>L1_Word</group>
      <groupName>字词问题</groupName>
      <ability>L2_Typo</ability>
      <abilityName>字词错误</abilityName>
      <candidateList>
        <item>黄沙</item>
      </candidateList>
      <explain>存在发音相同字词的误用。</explain>
      <paraID> 3CE5886</paraID>
      <start>54</start>
      <end>56</end>
      <status>unmodified</status>
      <modifiedWord/>
      <trackRevisions>false</trackRevisions>
    </reviewItem>
    <reviewItem>
      <errorID>a54ebbd7-84a9-43b8-b95e-29231032fc0c</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6E540E1B</paraID>
      <start>22</start>
      <end>23</end>
      <status>unmodified</status>
      <modifiedWord/>
      <trackRevisions>false</trackRevisions>
    </reviewItem>
    <reviewItem>
      <errorID>00ce9e81-9bd1-432e-ba30-65290bb8cff5</errorID>
      <errorWord>海拔高度</errorWord>
      <group>L1_Word</group>
      <groupName>字词问题</groupName>
      <ability>L2_Typo</ability>
      <abilityName>字词错误</abilityName>
      <candidateList>
        <item>海拔</item>
      </candidateList>
      <explain>〈名〉从平均海平面起算的高度。</explain>
      <paraID>2259A79F</paraID>
      <start>0</start>
      <end>4</end>
      <status>unmodified</status>
      <modifiedWord/>
      <trackRevisions>false</trackRevisions>
    </reviewItem>
    <reviewItem>
      <errorID>15b37823-eae8-4a1d-a4ba-960819d7afa0</errorID>
      <errorWord>)</errorWord>
      <group>L1_Format</group>
      <groupName>格式问题</groupName>
      <ability>L2_HalfPunc</ability>
      <abilityName>全半角检查</abilityName>
      <candidateList>
        <item>）</item>
      </candidateList>
      <explain>文本全半角错误。</explain>
      <paraID>6B8C2650</paraID>
      <start>4</start>
      <end>5</end>
      <status>unmodified</status>
      <modifiedWord/>
      <trackRevisions>false</trackRevisions>
    </reviewItem>
    <reviewItem>
      <errorID>a445ddf4-d01d-4649-a370-78699c7f438a</errorID>
      <errorWord>)</errorWord>
      <group>L1_Format</group>
      <groupName>格式问题</groupName>
      <ability>L2_HalfPunc</ability>
      <abilityName>全半角检查</abilityName>
      <candidateList>
        <item>）</item>
      </candidateList>
      <explain>文本全半角错误。</explain>
      <paraID>20286730</paraID>
      <start>6</start>
      <end>7</end>
      <status>unmodified</status>
      <modifiedWord/>
      <trackRevisions>false</trackRevisions>
    </reviewItem>
    <reviewItem>
      <errorID>6b529241-da89-4884-9e75-8215fd9e7ec4</errorID>
      <errorWord>)</errorWord>
      <group>L1_Format</group>
      <groupName>格式问题</groupName>
      <ability>L2_HalfPunc</ability>
      <abilityName>全半角检查</abilityName>
      <candidateList>
        <item>）</item>
      </candidateList>
      <explain>文本全半角错误。</explain>
      <paraID>1383EB01</paraID>
      <start>4</start>
      <end>5</end>
      <status>unmodified</status>
      <modifiedWord/>
      <trackRevisions>false</trackRevisions>
    </reviewItem>
    <reviewItem>
      <errorID>29857912-4353-4f1d-9009-d6296500c267</errorID>
      <errorWord>)</errorWord>
      <group>L1_Format</group>
      <groupName>格式问题</groupName>
      <ability>L2_HalfPunc</ability>
      <abilityName>全半角检查</abilityName>
      <candidateList>
        <item>）</item>
      </candidateList>
      <explain>文本全半角错误。</explain>
      <paraID> 14A7145</paraID>
      <start>6</start>
      <end>7</end>
      <status>unmodified</status>
      <modifiedWord/>
      <trackRevisions>false</trackRevisions>
    </reviewItem>
    <reviewItem>
      <errorID>79740bb9-1754-46a9-9e6a-262e50ee08cd</errorID>
      <errorWord>)</errorWord>
      <group>L1_Format</group>
      <groupName>格式问题</groupName>
      <ability>L2_HalfPunc</ability>
      <abilityName>全半角检查</abilityName>
      <candidateList>
        <item>）</item>
      </candidateList>
      <explain>文本全半角错误。</explain>
      <paraID>4BFABE95</paraID>
      <start>4</start>
      <end>5</end>
      <status>unmodified</status>
      <modifiedWord/>
      <trackRevisions>false</trackRevisions>
    </reviewItem>
    <reviewItem>
      <errorID>2d021179-242a-4332-889e-85dd87fa8b3b</errorID>
      <errorWord>)</errorWord>
      <group>L1_Format</group>
      <groupName>格式问题</groupName>
      <ability>L2_HalfPunc</ability>
      <abilityName>全半角检查</abilityName>
      <candidateList>
        <item>）</item>
      </candidateList>
      <explain>文本全半角错误。</explain>
      <paraID>785C5F1D</paraID>
      <start>6</start>
      <end>7</end>
      <status>unmodified</status>
      <modifiedWord/>
      <trackRevisions>false</trackRevisions>
    </reviewItem>
    <reviewItem>
      <errorID>8891c05b-4183-4f60-b249-4787494f902a</errorID>
      <errorWord>)</errorWord>
      <group>L1_Format</group>
      <groupName>格式问题</groupName>
      <ability>L2_HalfPunc</ability>
      <abilityName>全半角检查</abilityName>
      <candidateList>
        <item>）</item>
      </candidateList>
      <explain>文本全半角错误。</explain>
      <paraID>77EBA7D4</paraID>
      <start>4</start>
      <end>5</end>
      <status>unmodified</status>
      <modifiedWord/>
      <trackRevisions>false</trackRevisions>
    </reviewItem>
    <reviewItem>
      <errorID>0e61209b-3a73-48bf-9a5b-2fd868a6a7e2</errorID>
      <errorWord>-</errorWord>
      <group>L1_Format</group>
      <groupName>格式问题</groupName>
      <ability>L2_HalfPunc</ability>
      <abilityName>全半角检查</abilityName>
      <candidateList>
        <item>－</item>
      </candidateList>
      <explain>文本全半角错误。</explain>
      <paraID>3B096987</paraID>
      <start>97</start>
      <end>98</end>
      <status>unmodified</status>
      <modifiedWord/>
      <trackRevisions>false</trackRevisions>
    </reviewItem>
    <reviewItem>
      <errorID>08ffd79f-2edc-40e5-942a-fa896490226a</errorID>
      <errorWord>有环境质量</errorWord>
      <group>L1_Knowledge</group>
      <groupName>知识性问题</groupName>
      <ability>L2_Term</ability>
      <abilityName>专业术语</abilityName>
      <candidateList>
        <item>水环境质量</item>
      </candidateList>
      <explain/>
      <paraID>74C5A770</paraID>
      <start>50</start>
      <end>55</end>
      <status>unmodified</status>
      <modifiedWord/>
      <trackRevisions>false</trackRevisions>
    </reviewItem>
    <reviewItem>
      <errorID>1d44bf91-f28d-4e7e-9eba-9cd647c38a05</errorID>
      <errorWord>，</errorWord>
      <group>L1_Format</group>
      <groupName>格式问题</groupName>
      <ability>L2_HalfPunc</ability>
      <abilityName>全半角检查</abilityName>
      <candidateList>
        <item>, </item>
      </candidateList>
      <explain>文本全半角错误。</explain>
      <paraID>475FBEE0</paraID>
      <start>9</start>
      <end>10</end>
      <status>unmodified</status>
      <modifiedWord/>
      <trackRevisions>false</trackRevisions>
    </reviewItem>
    <reviewItem>
      <errorID>0c96bbd5-9445-4957-83b2-c80c9a8d86e7</errorID>
      <errorWord>～</errorWord>
      <group>L1_Format</group>
      <groupName>格式问题</groupName>
      <ability>L2_HalfPunc</ability>
      <abilityName>全半角检查</abilityName>
      <candidateList>
        <item>~</item>
      </candidateList>
      <explain>文本全半角错误。</explain>
      <paraID>4DA4DBCF</paraID>
      <start>8</start>
      <end>9</end>
      <status>unmodified</status>
      <modifiedWord/>
      <trackRevisions>false</trackRevisions>
    </reviewItem>
    <reviewItem>
      <errorID>f06386e5-798e-40a7-9b23-92feeb104849</errorID>
      <errorWord>～</errorWord>
      <group>L1_Format</group>
      <groupName>格式问题</groupName>
      <ability>L2_HalfPunc</ability>
      <abilityName>全半角检查</abilityName>
      <candidateList>
        <item>~</item>
      </candidateList>
      <explain>文本全半角错误。</explain>
      <paraID>18914DC9</paraID>
      <start>2</start>
      <end>3</end>
      <status>unmodified</status>
      <modifiedWord/>
      <trackRevisions>false</trackRevisions>
    </reviewItem>
    <reviewItem>
      <errorID>60a3c1bd-3799-438f-9b94-cbf46dfcb17b</errorID>
      <errorWord>～</errorWord>
      <group>L1_Format</group>
      <groupName>格式问题</groupName>
      <ability>L2_HalfPunc</ability>
      <abilityName>全半角检查</abilityName>
      <candidateList>
        <item>~</item>
      </candidateList>
      <explain>文本全半角错误。</explain>
      <paraID>7ABAB6A7</paraID>
      <start>2</start>
      <end>3</end>
      <status>unmodified</status>
      <modifiedWord/>
      <trackRevisions>false</trackRevisions>
    </reviewItem>
    <reviewItem>
      <errorID>e80337c0-371c-42e2-9962-c972bc2f7b18</errorID>
      <errorWord>～</errorWord>
      <group>L1_Format</group>
      <groupName>格式问题</groupName>
      <ability>L2_HalfPunc</ability>
      <abilityName>全半角检查</abilityName>
      <candidateList>
        <item>~</item>
      </candidateList>
      <explain>文本全半角错误。</explain>
      <paraID>  84C5A9</paraID>
      <start>2</start>
      <end>3</end>
      <status>unmodified</status>
      <modifiedWord/>
      <trackRevisions>false</trackRevisions>
    </reviewItem>
    <reviewItem>
      <errorID>30a35b44-0850-46f4-95b0-65b85392fe25</errorID>
      <errorWord>海拔高度</errorWord>
      <group>L1_Word</group>
      <groupName>字词问题</groupName>
      <ability>L2_Typo</ability>
      <abilityName>字词错误</abilityName>
      <candidateList>
        <item>海拔</item>
      </candidateList>
      <explain>〈名〉从平均海平面起算的高度。</explain>
      <paraID>70976A01</paraID>
      <start>5</start>
      <end>9</end>
      <status>unmodified</status>
      <modifiedWord/>
      <trackRevisions>false</trackRevisions>
    </reviewItem>
    <reviewItem>
      <errorID>04368fbd-444c-4cfd-8bd8-999f841f0c63</errorID>
      <errorWord>〉</errorWord>
      <group>L1_Punc</group>
      <groupName>标点问题</groupName>
      <ability>L2_Punc</ability>
      <abilityName>标点符号检查</abilityName>
      <candidateList/>
      <explain/>
      <paraID>18B21B08</paraID>
      <start>0</start>
      <end>1</end>
      <status>unmodified</status>
      <modifiedWord/>
      <trackRevisions>false</trackRevisions>
    </reviewItem>
    <reviewItem>
      <errorID>5d9ba7d4-6a22-42dd-9ea7-131d8918fbdb</errorID>
      <errorWord>〉</errorWord>
      <group>L1_Punc</group>
      <groupName>标点问题</groupName>
      <ability>L2_Punc</ability>
      <abilityName>标点符号检查</abilityName>
      <candidateList/>
      <explain/>
      <paraID>7A0AE90D</paraID>
      <start>0</start>
      <end>1</end>
      <status>unmodified</status>
      <modifiedWord/>
      <trackRevisions>false</trackRevisions>
    </reviewItem>
    <reviewItem>
      <errorID>a4cae474-bc48-4512-8057-d2704a6c450a</errorID>
      <errorWord>〉</errorWord>
      <group>L1_Punc</group>
      <groupName>标点问题</groupName>
      <ability>L2_Punc</ability>
      <abilityName>标点符号检查</abilityName>
      <candidateList/>
      <explain/>
      <paraID>4DA64563</paraID>
      <start>0</start>
      <end>1</end>
      <status>unmodified</status>
      <modifiedWord/>
      <trackRevisions>false</trackRevisions>
    </reviewItem>
    <reviewItem>
      <errorID>ffab14e7-ca56-46e6-ac28-99b11bc2b24f</errorID>
      <errorWord>海拔高度</errorWord>
      <group>L1_Word</group>
      <groupName>字词问题</groupName>
      <ability>L2_Typo</ability>
      <abilityName>字词错误</abilityName>
      <candidateList>
        <item>海拔</item>
      </candidateList>
      <explain>〈名〉从平均海平面起算的高度。</explain>
      <paraID>222A2CE0</paraID>
      <start>2</start>
      <end>6</end>
      <status>unmodified</status>
      <modifiedWord/>
      <trackRevisions>false</trackRevisions>
    </reviewItem>
    <reviewItem>
      <errorID>b98a9274-a041-4574-b36b-364be6adf498</errorID>
      <errorWord>海拔高度</errorWord>
      <group>L1_Word</group>
      <groupName>字词问题</groupName>
      <ability>L2_Typo</ability>
      <abilityName>字词错误</abilityName>
      <candidateList>
        <item>海拔</item>
      </candidateList>
      <explain>〈名〉从平均海平面起算的高度。</explain>
      <paraID> 670B983</paraID>
      <start>5</start>
      <end>9</end>
      <status>unmodified</status>
      <modifiedWord/>
      <trackRevisions>false</trackRevisions>
    </reviewItem>
    <reviewItem>
      <errorID>225b74f3-f698-4c0a-9f97-0fe641d7549c</errorID>
      <errorWord>-</errorWord>
      <group>L1_Format</group>
      <groupName>格式问题</groupName>
      <ability>L2_HalfPunc</ability>
      <abilityName>全半角检查</abilityName>
      <candidateList>
        <item>－</item>
      </candidateList>
      <explain>文本全半角错误。</explain>
      <paraID>16B51D1F</paraID>
      <start>5</start>
      <end>6</end>
      <status>unmodified</status>
      <modifiedWord/>
      <trackRevisions>false</trackRevisions>
    </reviewItem>
    <reviewItem>
      <errorID>e2f11a7e-de7b-4bb6-afa8-1406a1298b8d</errorID>
      <errorWord>)</errorWord>
      <group>L1_Format</group>
      <groupName>格式问题</groupName>
      <ability>L2_HalfPunc</ability>
      <abilityName>全半角检查</abilityName>
      <candidateList>
        <item>）</item>
      </candidateList>
      <explain>文本全半角错误。</explain>
      <paraID>376DA7B8</paraID>
      <start>10</start>
      <end>11</end>
      <status>unmodified</status>
      <modifiedWord/>
      <trackRevisions>false</trackRevisions>
    </reviewItem>
    <reviewItem>
      <errorID>cf71132d-d860-40c1-a838-0c85e6945c87</errorID>
      <errorWord>)</errorWord>
      <group>L1_Format</group>
      <groupName>格式问题</groupName>
      <ability>L2_HalfPunc</ability>
      <abilityName>全半角检查</abilityName>
      <candidateList>
        <item>）</item>
      </candidateList>
      <explain>文本全半角错误。</explain>
      <paraID> 4C81092</paraID>
      <start>13</start>
      <end>14</end>
      <status>unmodified</status>
      <modifiedWord/>
      <trackRevisions>false</trackRevisions>
    </reviewItem>
    <reviewItem>
      <errorID>c2b89bb7-d573-4231-8e1a-593181b87514</errorID>
      <errorWord>)</errorWord>
      <group>L1_Format</group>
      <groupName>格式问题</groupName>
      <ability>L2_HalfPunc</ability>
      <abilityName>全半角检查</abilityName>
      <candidateList>
        <item>）</item>
      </candidateList>
      <explain>文本全半角错误。</explain>
      <paraID> A305289</paraID>
      <start>10</start>
      <end>11</end>
      <status>unmodified</status>
      <modifiedWord/>
      <trackRevisions>false</trackRevisions>
    </reviewItem>
    <reviewItem>
      <errorID>e2f88758-c353-457e-a851-79b357e23fd2</errorID>
      <errorWord>)</errorWord>
      <group>L1_Format</group>
      <groupName>格式问题</groupName>
      <ability>L2_HalfPunc</ability>
      <abilityName>全半角检查</abilityName>
      <candidateList>
        <item>）</item>
      </candidateList>
      <explain>文本全半角错误。</explain>
      <paraID>307BD00B</paraID>
      <start>9</start>
      <end>10</end>
      <status>unmodified</status>
      <modifiedWord/>
      <trackRevisions>false</trackRevisions>
    </reviewItem>
    <reviewItem>
      <errorID>a7a32cda-e53b-49a0-8e44-97574b4a4d1c</errorID>
      <errorWord>)</errorWord>
      <group>L1_Format</group>
      <groupName>格式问题</groupName>
      <ability>L2_HalfPunc</ability>
      <abilityName>全半角检查</abilityName>
      <candidateList>
        <item>）</item>
      </candidateList>
      <explain>文本全半角错误。</explain>
      <paraID>18E8F982</paraID>
      <start>9</start>
      <end>10</end>
      <status>unmodified</status>
      <modifiedWord/>
      <trackRevisions>false</trackRevisions>
    </reviewItem>
    <reviewItem>
      <errorID>04b60608-53c9-41a7-abab-307ad02732f5</errorID>
      <errorWord>)</errorWord>
      <group>L1_Format</group>
      <groupName>格式问题</groupName>
      <ability>L2_HalfPunc</ability>
      <abilityName>全半角检查</abilityName>
      <candidateList>
        <item>）</item>
      </candidateList>
      <explain>文本全半角错误。</explain>
      <paraID>3CB8BCF4</paraID>
      <start>10</start>
      <end>11</end>
      <status>unmodified</status>
      <modifiedWord/>
      <trackRevisions>false</trackRevisions>
    </reviewItem>
    <reviewItem>
      <errorID>b438c519-d234-4c0a-a73c-31a3a89f3401</errorID>
      <errorWord>)</errorWord>
      <group>L1_Format</group>
      <groupName>格式问题</groupName>
      <ability>L2_HalfPunc</ability>
      <abilityName>全半角检查</abilityName>
      <candidateList>
        <item>）</item>
      </candidateList>
      <explain>文本全半角错误。</explain>
      <paraID>1B896AAF</paraID>
      <start>56</start>
      <end>57</end>
      <status>unmodified</status>
      <modifiedWord/>
      <trackRevisions>false</trackRevisions>
    </reviewItem>
    <reviewItem>
      <errorID>2246efa4-45d7-4f75-94f2-1564f01c57ec</errorID>
      <errorWord>)</errorWord>
      <group>L1_Format</group>
      <groupName>格式问题</groupName>
      <ability>L2_HalfPunc</ability>
      <abilityName>全半角检查</abilityName>
      <candidateList>
        <item>）</item>
      </candidateList>
      <explain>文本全半角错误。</explain>
      <paraID>1B896AAF</paraID>
      <start>90</start>
      <end>91</end>
      <status>unmodified</status>
      <modifiedWord/>
      <trackRevisions>false</trackRevisions>
    </reviewItem>
    <reviewItem>
      <errorID>091a71b6-1999-46bc-a9b3-918e4cdcd323</errorID>
      <errorWord>~</errorWord>
      <group>L1_Format</group>
      <groupName>格式问题</groupName>
      <ability>L2_HalfPunc</ability>
      <abilityName>全半角检查</abilityName>
      <candidateList>
        <item>～</item>
      </candidateList>
      <explain>文本全半角错误。</explain>
      <paraID>682BA068</paraID>
      <start>93</start>
      <end>94</end>
      <status>unmodified</status>
      <modifiedWord/>
      <trackRevisions>false</trackRevisions>
    </reviewItem>
    <reviewItem>
      <errorID>fe1759af-2d40-4f89-ae75-06dbf30d73be</errorID>
      <errorWord>)</errorWord>
      <group>L1_Format</group>
      <groupName>格式问题</groupName>
      <ability>L2_HalfPunc</ability>
      <abilityName>全半角检查</abilityName>
      <candidateList>
        <item>）</item>
      </candidateList>
      <explain>文本全半角错误。</explain>
      <paraID>4656DB52</paraID>
      <start>27</start>
      <end>28</end>
      <status>unmodified</status>
      <modifiedWord/>
      <trackRevisions>false</trackRevisions>
    </reviewItem>
    <reviewItem>
      <errorID>a3ba50b9-d2b6-4d88-8636-876e7559aebd</errorID>
      <errorWord>)</errorWord>
      <group>L1_Format</group>
      <groupName>格式问题</groupName>
      <ability>L2_HalfPunc</ability>
      <abilityName>全半角检查</abilityName>
      <candidateList>
        <item>）</item>
      </candidateList>
      <explain>文本全半角错误。</explain>
      <paraID>4656DB52</paraID>
      <start>44</start>
      <end>45</end>
      <status>unmodified</status>
      <modifiedWord/>
      <trackRevisions>false</trackRevisions>
    </reviewItem>
    <reviewItem>
      <errorID>7ea1f1cf-94fb-4a00-ba70-5430f39dc79f</errorID>
      <errorWord>)</errorWord>
      <group>L1_Format</group>
      <groupName>格式问题</groupName>
      <ability>L2_HalfPunc</ability>
      <abilityName>全半角检查</abilityName>
      <candidateList>
        <item>）</item>
      </candidateList>
      <explain>文本全半角错误。</explain>
      <paraID> 24C669A</paraID>
      <start>50</start>
      <end>51</end>
      <status>unmodified</status>
      <modifiedWord/>
      <trackRevisions>false</trackRevisions>
    </reviewItem>
    <reviewItem>
      <errorID>6bbe5aba-e50b-4505-973d-71ca7630f930</errorID>
      <errorWord>)</errorWord>
      <group>L1_Format</group>
      <groupName>格式问题</groupName>
      <ability>L2_HalfPunc</ability>
      <abilityName>全半角检查</abilityName>
      <candidateList>
        <item>）</item>
      </candidateList>
      <explain>文本全半角错误。</explain>
      <paraID> 24C669A</paraID>
      <start>96</start>
      <end>97</end>
      <status>unmodified</status>
      <modifiedWord/>
      <trackRevisions>false</trackRevisions>
    </reviewItem>
    <reviewItem>
      <errorID>7747cde4-2b65-4ce3-b274-20847bbd4253</errorID>
      <errorWord>)</errorWord>
      <group>L1_Format</group>
      <groupName>格式问题</groupName>
      <ability>L2_HalfPunc</ability>
      <abilityName>全半角检查</abilityName>
      <candidateList>
        <item>）</item>
      </candidateList>
      <explain>文本全半角错误。</explain>
      <paraID>1F257391</paraID>
      <start>10</start>
      <end>11</end>
      <status>unmodified</status>
      <modifiedWord/>
      <trackRevisions>false</trackRevisions>
    </reviewItem>
    <reviewItem>
      <errorID>5ffa3699-b172-4805-bede-2360580d2391</errorID>
      <errorWord>)</errorWord>
      <group>L1_Format</group>
      <groupName>格式问题</groupName>
      <ability>L2_HalfPunc</ability>
      <abilityName>全半角检查</abilityName>
      <candidateList>
        <item>）</item>
      </candidateList>
      <explain>文本全半角错误。</explain>
      <paraID>7ACF5538</paraID>
      <start>10</start>
      <end>11</end>
      <status>unmodified</status>
      <modifiedWord/>
      <trackRevisions>false</trackRevisions>
    </reviewItem>
    <reviewItem>
      <errorID>8da47ed7-e454-46d1-b01e-10141bbf7976</errorID>
      <errorWord>需</errorWord>
      <group>L1_Word</group>
      <groupName>字词问题</groupName>
      <ability>L2_Typo</ability>
      <abilityName>字词错误</abilityName>
      <candidateList>
        <item>需要</item>
      </candidateList>
      <explain>❶〈动〉应该有或必须有：我们～一支强大的科学技术队伍。❷〈名〉对事物的欲望或要求：从群众的～出发。</explain>
      <paraID>53666E85</paraID>
      <start>55</start>
      <end>56</end>
      <status>unmodified</status>
      <modifiedWord/>
      <trackRevisions>false</trackRevisions>
    </reviewItem>
    <reviewItem>
      <errorID>7fab1a08-b56c-4a24-b30d-51874424e365</errorID>
      <errorWord>（</errorWord>
      <group>L1_Format</group>
      <groupName>格式问题</groupName>
      <ability>L2_HalfPunc</ability>
      <abilityName>全半角检查</abilityName>
      <candidateList>
        <item>(</item>
      </candidateList>
      <explain>文本全半角错误。</explain>
      <paraID>1428873E</paraID>
      <start>0</start>
      <end>1</end>
      <status>unmodified</status>
      <modifiedWord/>
      <trackRevisions>false</trackRevisions>
    </reviewItem>
    <reviewItem>
      <errorID>fc5ad24f-4ff0-4a18-af4f-5d58d6557681</errorID>
      <errorWord>）</errorWord>
      <group>L1_Format</group>
      <groupName>格式问题</groupName>
      <ability>L2_HalfPunc</ability>
      <abilityName>全半角检查</abilityName>
      <candidateList>
        <item>)</item>
      </candidateList>
      <explain>文本全半角错误。</explain>
      <paraID>1428873E</paraID>
      <start>6</start>
      <end>7</end>
      <status>unmodified</status>
      <modifiedWord/>
      <trackRevisions>false</trackRevisions>
    </reviewItem>
    <reviewItem>
      <errorID>2f2c0655-22b0-4743-8ac3-c314762ea34b</errorID>
      <errorWord>（</errorWord>
      <group>L1_Format</group>
      <groupName>格式问题</groupName>
      <ability>L2_HalfPunc</ability>
      <abilityName>全半角检查</abilityName>
      <candidateList>
        <item>(</item>
      </candidateList>
      <explain>文本全半角错误。</explain>
      <paraID>3A2362BB</paraID>
      <start>0</start>
      <end>1</end>
      <status>unmodified</status>
      <modifiedWord/>
      <trackRevisions>false</trackRevisions>
    </reviewItem>
    <reviewItem>
      <errorID>15b37fdd-d1f6-41c2-a48f-d107898e51e8</errorID>
      <errorWord>）</errorWord>
      <group>L1_Format</group>
      <groupName>格式问题</groupName>
      <ability>L2_HalfPunc</ability>
      <abilityName>全半角检查</abilityName>
      <candidateList>
        <item>)</item>
      </candidateList>
      <explain>文本全半角错误。</explain>
      <paraID>3A2362BB</paraID>
      <start>5</start>
      <end>6</end>
      <status>unmodified</status>
      <modifiedWord/>
      <trackRevisions>false</trackRevisions>
    </reviewItem>
    <reviewItem>
      <errorID>d3cd81eb-480b-4f9e-819b-32c706e09281</errorID>
      <errorWord>（</errorWord>
      <group>L1_Format</group>
      <groupName>格式问题</groupName>
      <ability>L2_HalfPunc</ability>
      <abilityName>全半角检查</abilityName>
      <candidateList>
        <item>(</item>
      </candidateList>
      <explain>文本全半角错误。</explain>
      <paraID>1C793792</paraID>
      <start>0</start>
      <end>1</end>
      <status>unmodified</status>
      <modifiedWord/>
      <trackRevisions>false</trackRevisions>
    </reviewItem>
    <reviewItem>
      <errorID>25e882df-4025-489f-8f07-e4b1afdbaff8</errorID>
      <errorWord>）</errorWord>
      <group>L1_Format</group>
      <groupName>格式问题</groupName>
      <ability>L2_HalfPunc</ability>
      <abilityName>全半角检查</abilityName>
      <candidateList>
        <item>)</item>
      </candidateList>
      <explain>文本全半角错误。</explain>
      <paraID>1C793792</paraID>
      <start>4</start>
      <end>5</end>
      <status>unmodified</status>
      <modifiedWord/>
      <trackRevisions>false</trackRevisions>
    </reviewItem>
    <reviewItem>
      <errorID>be0cfb68-ece9-4492-ac01-228b627d321a</errorID>
      <errorWord>、</errorWord>
      <group>L1_Punc</group>
      <groupName>标点问题</groupName>
      <ability>L2_Punc</ability>
      <abilityName>标点符号检查</abilityName>
      <candidateList>
        <item>.</item>
      </candidateList>
      <explain/>
      <paraID>3F09BFE1</paraID>
      <start>1</start>
      <end>2</end>
      <status>unmodified</status>
      <modifiedWord/>
      <trackRevisions>false</trackRevisions>
    </reviewItem>
    <reviewItem>
      <errorID>471377fc-ae1a-41ea-85a6-51d9dfbed2a1</errorID>
      <errorWord>&gt;</errorWord>
      <group>L1_Punc</group>
      <groupName>标点问题</groupName>
      <ability>L2_Punc</ability>
      <abilityName>标点符号检查</abilityName>
      <candidateList/>
      <explain/>
      <paraID> 3131A7A</paraID>
      <start>0</start>
      <end>1</end>
      <status>unmodified</status>
      <modifiedWord/>
      <trackRevisions>false</trackRevisions>
    </reviewItem>
    <reviewItem>
      <errorID>22212f29-002c-4f6d-ba4e-41e960404ea7</errorID>
      <errorWord>&gt;</errorWord>
      <group>L1_Punc</group>
      <groupName>标点问题</groupName>
      <ability>L2_Punc</ability>
      <abilityName>标点符号检查</abilityName>
      <candidateList/>
      <explain/>
      <paraID>3648EE93</paraID>
      <start>0</start>
      <end>1</end>
      <status>unmodified</status>
      <modifiedWord/>
      <trackRevisions>false</trackRevisions>
    </reviewItem>
    <reviewItem>
      <errorID>7fa9211e-d6e7-45ba-b058-eef3a5f410d5</errorID>
      <errorWord>&gt;</errorWord>
      <group>L1_Punc</group>
      <groupName>标点问题</groupName>
      <ability>L2_Punc</ability>
      <abilityName>标点符号检查</abilityName>
      <candidateList/>
      <explain/>
      <paraID>334F0012</paraID>
      <start>0</start>
      <end>1</end>
      <status>unmodified</status>
      <modifiedWord/>
      <trackRevisions>false</trackRevisions>
    </reviewItem>
    <reviewItem>
      <errorID>0a601eb4-0559-457a-b6ec-0c9bc2e7b3a9</errorID>
      <errorWord>&gt;</errorWord>
      <group>L1_Punc</group>
      <groupName>标点问题</groupName>
      <ability>L2_Punc</ability>
      <abilityName>标点符号检查</abilityName>
      <candidateList/>
      <explain/>
      <paraID>50FCE6EB</paraID>
      <start>0</start>
      <end>1</end>
      <status>unmodified</status>
      <modifiedWord/>
      <trackRevisions>false</trackRevisions>
    </reviewItem>
    <reviewItem>
      <errorID>bdb9dea7-0554-4dbf-8c87-cab4f188e9d7</errorID>
      <errorWord>（</errorWord>
      <group>L1_Format</group>
      <groupName>格式问题</groupName>
      <ability>L2_HalfPunc</ability>
      <abilityName>全半角检查</abilityName>
      <candidateList>
        <item>(</item>
      </candidateList>
      <explain>文本全半角错误。</explain>
      <paraID>3143597C</paraID>
      <start>2</start>
      <end>3</end>
      <status>unmodified</status>
      <modifiedWord/>
      <trackRevisions>false</trackRevisions>
    </reviewItem>
    <reviewItem>
      <errorID>efc943a8-0b69-45c2-b365-f73b3fbc0f5b</errorID>
      <errorWord>）</errorWord>
      <group>L1_Format</group>
      <groupName>格式问题</groupName>
      <ability>L2_HalfPunc</ability>
      <abilityName>全半角检查</abilityName>
      <candidateList>
        <item>)</item>
      </candidateList>
      <explain>文本全半角错误。</explain>
      <paraID>3143597C</paraID>
      <start>8</start>
      <end>9</end>
      <status>unmodified</status>
      <modifiedWord/>
      <trackRevisions>false</trackRevisions>
    </reviewItem>
    <reviewItem>
      <errorID>7c9720c6-d12e-4097-9be4-df9be63b07e9</errorID>
      <errorWord>（</errorWord>
      <group>L1_Format</group>
      <groupName>格式问题</groupName>
      <ability>L2_HalfPunc</ability>
      <abilityName>全半角检查</abilityName>
      <candidateList>
        <item>(</item>
      </candidateList>
      <explain>文本全半角错误。</explain>
      <paraID>16B8F9B2</paraID>
      <start>2</start>
      <end>3</end>
      <status>unmodified</status>
      <modifiedWord/>
      <trackRevisions>false</trackRevisions>
    </reviewItem>
    <reviewItem>
      <errorID>4c85d1d4-eea6-4088-9e00-e9fd4ff0c5da</errorID>
      <errorWord>）</errorWord>
      <group>L1_Format</group>
      <groupName>格式问题</groupName>
      <ability>L2_HalfPunc</ability>
      <abilityName>全半角检查</abilityName>
      <candidateList>
        <item>)</item>
      </candidateList>
      <explain>文本全半角错误。</explain>
      <paraID>16B8F9B2</paraID>
      <start>7</start>
      <end>8</end>
      <status>unmodified</status>
      <modifiedWord/>
      <trackRevisions>false</trackRevisions>
    </reviewItem>
    <reviewItem>
      <errorID>75434362-ba6a-4e7c-a33b-fc880fc69488</errorID>
      <errorWord>～</errorWord>
      <group>L1_Format</group>
      <groupName>格式问题</groupName>
      <ability>L2_HalfPunc</ability>
      <abilityName>全半角检查</abilityName>
      <candidateList>
        <item>~</item>
      </candidateList>
      <explain>文本全半角错误。</explain>
      <paraID>2E290754</paraID>
      <start>3</start>
      <end>4</end>
      <status>unmodified</status>
      <modifiedWord/>
      <trackRevisions>false</trackRevisions>
    </reviewItem>
    <reviewItem>
      <errorID>a8f060ce-f451-42d1-becc-661b0382eecd</errorID>
      <errorWord>＞</errorWord>
      <group>L1_Format</group>
      <groupName>格式问题</groupName>
      <ability>L2_HalfPunc</ability>
      <abilityName>全半角检查</abilityName>
      <candidateList>
        <item>&gt;</item>
      </candidateList>
      <explain>文本全半角错误。</explain>
      <paraID>56C688FE</paraID>
      <start>1</start>
      <end>2</end>
      <status>unmodified</status>
      <modifiedWord/>
      <trackRevisions>false</trackRevisions>
    </reviewItem>
    <reviewItem>
      <errorID>458619e8-6812-4ef5-8696-c238209caa29</errorID>
      <errorWord>：（</errorWord>
      <group>L1_Format</group>
      <groupName>格式问题</groupName>
      <ability>L2_HalfPunc</ability>
      <abilityName>全半角检查</abilityName>
      <candidateList>
        <item>:(</item>
      </candidateList>
      <explain>文本全半角错误。</explain>
      <paraID>528176B3</paraID>
      <start>3</start>
      <end>5</end>
      <status>unmodified</status>
      <modifiedWord/>
      <trackRevisions>false</trackRevisions>
    </reviewItem>
    <reviewItem>
      <errorID>f7b12a46-ea0b-472c-afa2-dcdd603b3cea</errorID>
      <errorWord>）</errorWord>
      <group>L1_Format</group>
      <groupName>格式问题</groupName>
      <ability>L2_HalfPunc</ability>
      <abilityName>全半角检查</abilityName>
      <candidateList>
        <item>)</item>
      </candidateList>
      <explain>文本全半角错误。</explain>
      <paraID>528176B3</paraID>
      <start>10</start>
      <end>11</end>
      <status>unmodified</status>
      <modifiedWord/>
      <trackRevisions>false</trackRevisions>
    </reviewItem>
    <reviewItem>
      <errorID>89c60783-1796-4dc1-8a3e-5ab33bf03730</errorID>
      <errorWord>：（</errorWord>
      <group>L1_Format</group>
      <groupName>格式问题</groupName>
      <ability>L2_HalfPunc</ability>
      <abilityName>全半角检查</abilityName>
      <candidateList>
        <item>:(</item>
      </candidateList>
      <explain>文本全半角错误。</explain>
      <paraID> A2AA11B</paraID>
      <start>3</start>
      <end>5</end>
      <status>unmodified</status>
      <modifiedWord/>
      <trackRevisions>false</trackRevisions>
    </reviewItem>
    <reviewItem>
      <errorID>dd916aeb-4372-45a0-b151-1780ed8faa2d</errorID>
      <errorWord>）</errorWord>
      <group>L1_Format</group>
      <groupName>格式问题</groupName>
      <ability>L2_HalfPunc</ability>
      <abilityName>全半角检查</abilityName>
      <candidateList>
        <item>)</item>
      </candidateList>
      <explain>文本全半角错误。</explain>
      <paraID> A2AA11B</paraID>
      <start>10</start>
      <end>11</end>
      <status>unmodified</status>
      <modifiedWord/>
      <trackRevisions>false</trackRevisions>
    </reviewItem>
    <reviewItem>
      <errorID>ae918409-d7ef-4993-b2df-377d0705570a</errorID>
      <errorWord>（</errorWord>
      <group>L1_Format</group>
      <groupName>格式问题</groupName>
      <ability>L2_HalfPunc</ability>
      <abilityName>全半角检查</abilityName>
      <candidateList>
        <item>(</item>
      </candidateList>
      <explain>文本全半角错误。</explain>
      <paraID>28E39503</paraID>
      <start>4</start>
      <end>5</end>
      <status>unmodified</status>
      <modifiedWord/>
      <trackRevisions>false</trackRevisions>
    </reviewItem>
    <reviewItem>
      <errorID>875be01c-998e-40cb-8f30-6e3942145a51</errorID>
      <errorWord>）</errorWord>
      <group>L1_Format</group>
      <groupName>格式问题</groupName>
      <ability>L2_HalfPunc</ability>
      <abilityName>全半角检查</abilityName>
      <candidateList>
        <item>)</item>
      </candidateList>
      <explain>文本全半角错误。</explain>
      <paraID>28E39503</paraID>
      <start>11</start>
      <end>12</end>
      <status>unmodified</status>
      <modifiedWord/>
      <trackRevisions>false</trackRevisions>
    </reviewItem>
    <reviewItem>
      <errorID>865fa67f-ac2c-43e5-ae99-8724e3631186</errorID>
      <errorWord>进入进入</errorWord>
      <group>L1_Word</group>
      <groupName>字词问题</groupName>
      <ability>L2_Typo</ability>
      <abilityName>字词错误</abilityName>
      <candidateList>
        <item>进入</item>
      </candidateList>
      <explain>〈动〉支进到某个范围或某个时期里：～学校｜～新阶段◇～角色。</explain>
      <paraID>2966E743</paraID>
      <start>34</start>
      <end>38</end>
      <status>unmodified</status>
      <modifiedWord/>
      <trackRevisions>false</trackRevisions>
    </reviewItem>
    <reviewItem>
      <errorID>62130648-e281-4d00-9b82-fd2fc3f184a0</errorID>
      <errorWord>、进而</errorWord>
      <group>L1_Punc</group>
      <groupName>标点问题</groupName>
      <ability>L2_Punc</ability>
      <abilityName>标点符号检查</abilityName>
      <candidateList>
        <item>进而</item>
      </candidateList>
      <explain>〈连〉表示在已有的基础上进一步：先提出计划，～落实实施措施。</explain>
      <paraID>2966E743</paraID>
      <start>42</start>
      <end>45</end>
      <status>unmodified</status>
      <modifiedWord/>
      <trackRevisions>false</trackRevisions>
    </reviewItem>
    <reviewItem>
      <errorID>4ac17756-1d51-4354-8625-2b27fa2df9ce</errorID>
      <errorWord>、进而</errorWord>
      <group>L1_Punc</group>
      <groupName>标点问题</groupName>
      <ability>L2_Punc</ability>
      <abilityName>标点符号检查</abilityName>
      <candidateList>
        <item>进而</item>
      </candidateList>
      <explain>〈连〉表示在已有的基础上进一步：先提出计划，～落实实施措施。</explain>
      <paraID>2966E743</paraID>
      <start>79</start>
      <end>82</end>
      <status>unmodified</status>
      <modifiedWord/>
      <trackRevisions>false</trackRevisions>
    </reviewItem>
    <reviewItem>
      <errorID>1706417d-7c26-4756-9ccd-50558b127b88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7E38CA83</paraID>
      <start>21</start>
      <end>22</end>
      <status>unmodified</status>
      <modifiedWord/>
      <trackRevisions>false</trackRevisions>
    </reviewItem>
    <reviewItem>
      <errorID>380d4803-a588-44c1-aa2c-f4b8485910ce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2A09E230</paraID>
      <start>21</start>
      <end>22</end>
      <status>unmodified</status>
      <modifiedWord/>
      <trackRevisions>false</trackRevisions>
    </reviewItem>
    <reviewItem>
      <errorID>5faadd28-0467-4537-906d-5a112b5cb5d4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6A004992</paraID>
      <start>72</start>
      <end>73</end>
      <status>unmodified</status>
      <modifiedWord/>
      <trackRevisions>false</trackRevisions>
    </reviewItem>
    <reviewItem>
      <errorID>cfc34855-eb07-4e08-a285-a7205df80798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6A004992</paraID>
      <start>111</start>
      <end>112</end>
      <status>unmodified</status>
      <modifiedWord/>
      <trackRevisions>false</trackRevisions>
    </reviewItem>
    <reviewItem>
      <errorID>2a1e4bd2-a704-4d48-9b24-6533536ac95d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61C04E37</paraID>
      <start>68</start>
      <end>69</end>
      <status>unmodified</status>
      <modifiedWord/>
      <trackRevisions>false</trackRevisions>
    </reviewItem>
    <reviewItem>
      <errorID>bd44596e-3021-4abd-bc3d-890f08dfd94d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45219A2D</paraID>
      <start>22</start>
      <end>23</end>
      <status>unmodified</status>
      <modifiedWord/>
      <trackRevisions>false</trackRevisions>
    </reviewItem>
    <reviewItem>
      <errorID>2392b621-272e-4ca9-93c5-288c43278285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45219A2D</paraID>
      <start>62</start>
      <end>63</end>
      <status>unmodified</status>
      <modifiedWord/>
      <trackRevisions>false</trackRevisions>
    </reviewItem>
    <reviewItem>
      <errorID>abc916a0-baad-4c96-9e74-271584ddca3a</errorID>
      <errorWord>源源</errorWord>
      <group>L1_Word</group>
      <groupName>字词问题</groupName>
      <ability>L2_Typo</ability>
      <abilityName>字词错误</abilityName>
      <candidateList>
        <item>源</item>
      </candidateList>
      <explain/>
      <paraID>26542AF2</paraID>
      <start>1</start>
      <end>3</end>
      <status>unmodified</status>
      <modifiedWord/>
      <trackRevisions>false</trackRevisions>
    </reviewItem>
    <reviewItem>
      <errorID>ba1fd3c4-a660-4b87-b408-d8cf0d5a160e</errorID>
      <errorWord>源源</errorWord>
      <group>L1_Word</group>
      <groupName>字词问题</groupName>
      <ability>L2_Typo</ability>
      <abilityName>字词错误</abilityName>
      <candidateList>
        <item>源</item>
      </candidateList>
      <explain/>
      <paraID>56F5E179</paraID>
      <start>1</start>
      <end>3</end>
      <status>unmodified</status>
      <modifiedWord/>
      <trackRevisions>false</trackRevisions>
    </reviewItem>
    <reviewItem>
      <errorID>1425ac36-b13b-4fb6-a3e7-b3a38a414622</errorID>
      <errorWord>只要</errorWord>
      <group>L1_Word</group>
      <groupName>字词问题</groupName>
      <ability>L2_Typo</ability>
      <abilityName>字词错误</abilityName>
      <candidateList>
        <item>要</item>
      </candidateList>
      <explain>〈连〉❶如果：明天～下雨，我就不去了。❷要么：～就去打球，～就去溜冰，别再犹豫了。</explain>
      <paraID>7CF0A908</paraID>
      <start>156</start>
      <end>158</end>
      <status>unmodified</status>
      <modifiedWord/>
      <trackRevisions>false</trackRevisions>
    </reviewItem>
    <reviewItem>
      <errorID>51d0c710-dfdf-4d5b-9746-6e7e4b4458f9</errorID>
      <errorWord>)</errorWord>
      <group>L1_Format</group>
      <groupName>格式问题</groupName>
      <ability>L2_HalfPunc</ability>
      <abilityName>全半角检查</abilityName>
      <candidateList>
        <item>）</item>
      </candidateList>
      <explain>文本全半角错误。</explain>
      <paraID>4D79F522</paraID>
      <start>9</start>
      <end>10</end>
      <status>unmodified</status>
      <modifiedWord/>
      <trackRevisions>false</trackRevisions>
    </reviewItem>
    <reviewItem>
      <errorID>b0ead383-0c66-4af0-96eb-b35c8bd0c5b3</errorID>
      <errorWord>，</errorWord>
      <group>L1_Format</group>
      <groupName>格式问题</groupName>
      <ability>L2_HalfPunc</ability>
      <abilityName>全半角检查</abilityName>
      <candidateList>
        <item>, </item>
      </candidateList>
      <explain>文本全半角错误。</explain>
      <paraID>2D43C070</paraID>
      <start>1</start>
      <end>2</end>
      <status>unmodified</status>
      <modifiedWord/>
      <trackRevisions>false</trackRevisions>
    </reviewItem>
    <reviewItem>
      <errorID>e1be27ef-4d52-4ec7-890f-47cea3c5671c</errorID>
      <errorWord>，</errorWord>
      <group>L1_Format</group>
      <groupName>格式问题</groupName>
      <ability>L2_HalfPunc</ability>
      <abilityName>全半角检查</abilityName>
      <candidateList>
        <item>, </item>
      </candidateList>
      <explain>文本全半角错误。</explain>
      <paraID>22DD2B59</paraID>
      <start>1</start>
      <end>2</end>
      <status>unmodified</status>
      <modifiedWord/>
      <trackRevisions>false</trackRevisions>
    </reviewItem>
    <reviewItem>
      <errorID>2c70198e-29bb-45eb-9193-542aab11699d</errorID>
      <errorWord>)</errorWord>
      <group>L1_Format</group>
      <groupName>格式问题</groupName>
      <ability>L2_HalfPunc</ability>
      <abilityName>全半角检查</abilityName>
      <candidateList>
        <item>）</item>
      </candidateList>
      <explain>文本全半角错误。</explain>
      <paraID>7648BBF1</paraID>
      <start>24</start>
      <end>25</end>
      <status>unmodified</status>
      <modifiedWord/>
      <trackRevisions>false</trackRevisions>
    </reviewItem>
    <reviewItem>
      <errorID>eadd26a6-242d-408c-bd82-f9d6a01a143b</errorID>
      <errorWord>以及其</errorWord>
      <group>L1_Word</group>
      <groupName>字词问题</groupName>
      <ability>L2_Typo</ability>
      <abilityName>字词错误</abilityName>
      <candidateList>
        <item>以及</item>
      </candidateList>
      <explain>〈连〉连接并列的词或词组（“以及”前面往往是主要的）：院子里种着大丽花、矢车菊、夹竹桃～其他的花木。</explain>
      <paraID> 539AB7E</paraID>
      <start>9</start>
      <end>12</end>
      <status>unmodified</status>
      <modifiedWord/>
      <trackRevisions>false</trackRevisions>
    </reviewItem>
    <reviewItem>
      <errorID>18b5e071-9355-4b9b-9168-c6cabdd8626f</errorID>
      <errorWord>墙角</errorWord>
      <group>L1_Word</group>
      <groupName>字词问题</groupName>
      <ability>L2_Typo</ability>
      <abilityName>字词错误</abilityName>
      <candidateList>
        <item>墙脚</item>
      </candidateList>
      <explain/>
      <paraID>5E81F933</paraID>
      <start>83</start>
      <end>85</end>
      <status>unmodified</status>
      <modifiedWord/>
      <trackRevisions>false</trackRevisions>
    </reviewItem>
    <reviewItem>
      <errorID>5ae0f78e-16c1-456e-b5cb-e34ac0a50064</errorID>
      <errorWord>墙角</errorWord>
      <group>L1_Word</group>
      <groupName>字词问题</groupName>
      <ability>L2_Typo</ability>
      <abilityName>字词错误</abilityName>
      <candidateList>
        <item>墙脚</item>
      </candidateList>
      <explain>存在发音相同字词的误用。</explain>
      <paraID>7D092FF0</paraID>
      <start>27</start>
      <end>29</end>
      <status>unmodified</status>
      <modifiedWord/>
      <trackRevisions>false</trackRevisions>
    </reviewItem>
    <reviewItem>
      <errorID>908781e0-72a8-4a99-89e2-e645910e918f</errorID>
      <errorWord>裙脚</errorWord>
      <group>L1_Word</group>
      <groupName>字词问题</groupName>
      <ability>L2_Typo</ability>
      <abilityName>字词错误</abilityName>
      <candidateList>
        <item>裙角</item>
      </candidateList>
      <explain/>
      <paraID>  AFBDD1</paraID>
      <start>17</start>
      <end>19</end>
      <status>unmodified</status>
      <modifiedWord/>
      <trackRevisions>false</trackRevisions>
    </reviewItem>
    <reviewItem>
      <errorID>1de078a2-13b5-4161-a562-bed73a3edbe2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37FEAF7B</paraID>
      <start>126</start>
      <end>127</end>
      <status>unmodified</status>
      <modifiedWord/>
      <trackRevisions>false</trackRevisions>
    </reviewItem>
    <reviewItem>
      <errorID>8d4b317f-b2a7-49d7-a0a3-9b2b6dc5fe50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37FEAF7B</paraID>
      <start>165</start>
      <end>166</end>
      <status>unmodified</status>
      <modifiedWord/>
      <trackRevisions>false</trackRevisions>
    </reviewItem>
    <reviewItem>
      <errorID>89132dd9-1153-4d8d-8f72-74038e94e1df</errorID>
      <errorWord>针对</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36C4FD4F</paraID>
      <start>36</start>
      <end>38</end>
      <status>unmodified</status>
      <modifiedWord/>
      <trackRevisions>false</trackRevisions>
    </reviewItem>
    <reviewItem>
      <errorID>94a047a9-7d10-49d9-b719-787a355305ca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4907A159</paraID>
      <start>29</start>
      <end>30</end>
      <status>unmodified</status>
      <modifiedWord/>
      <trackRevisions>false</trackRevisions>
    </reviewItem>
    <reviewItem>
      <errorID>b695f7ec-6148-4140-bd88-dfb884a9dda3</errorID>
      <errorWord>其它人工</errorWord>
      <group>L1_Word</group>
      <groupName>字词问题</groupName>
      <ability>L2_Alias</ability>
      <abilityName>也作/曾用词</abilityName>
      <candidateList>
        <item>其他人工</item>
      </candidateList>
      <explain>词汇[其它人工]为不规范表述或旧称，其规范书面表述为[其他人工]。</explain>
      <paraID>4907A159</paraID>
      <start>57</start>
      <end>61</end>
      <status>unmodified</status>
      <modifiedWord/>
      <trackRevisions>false</trackRevisions>
    </reviewItem>
    <reviewItem>
      <errorID>d7dcde2e-427a-49cc-bb18-3b756bad438c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4907A159</paraID>
      <start>71</start>
      <end>72</end>
      <status>unmodified</status>
      <modifiedWord/>
      <trackRevisions>false</trackRevisions>
    </reviewItem>
    <reviewItem>
      <errorID>7ed3eace-1688-49be-a74f-34b11982be9c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128AC40F</paraID>
      <start>13</start>
      <end>16</end>
      <status>unmodified</status>
      <modifiedWord/>
      <trackRevisions>false</trackRevisions>
    </reviewItem>
    <reviewItem>
      <errorID>da307911-d986-4903-a556-9e20b282af93</errorID>
      <errorWord>或</errorWord>
      <group>L1_Word</group>
      <groupName>字词问题</groupName>
      <ability>L2_Typo</ability>
      <abilityName>字词错误</abilityName>
      <candidateList>
        <item>图</item>
      </candidateList>
      <explain/>
      <paraID>1964F67D</paraID>
      <start>197</start>
      <end>198</end>
      <status>unmodified</status>
      <modifiedWord/>
      <trackRevisions>false</trackRevisions>
    </reviewItem>
    <reviewItem>
      <errorID>d3f50fce-206f-4399-8416-2ee57da51e5a</errorID>
      <errorWord>及和</errorWord>
      <group>L1_Word</group>
      <groupName>字词问题</groupName>
      <ability>L2_Typo</ability>
      <abilityName>字词错误</abilityName>
      <candidateList>
        <item>及</item>
      </candidateList>
      <explain>〈连〉连接并列的名词或名词性词组：图书、仪器、标本～其他。注意用“及”连接的成分多在意义上有主次之分，主要的成分放在“及”的前面。</explain>
      <paraID> 74A0660</paraID>
      <start>124</start>
      <end>126</end>
      <status>unmodified</status>
      <modifiedWord/>
      <trackRevisions>false</trackRevisions>
    </reviewItem>
    <reviewItem>
      <errorID>f25b6ccd-5167-4e85-a499-51ce02bc4d85</errorID>
      <errorWord>成东省</errorWord>
      <group>L1_Word</group>
      <groupName>字词问题</groupName>
      <ability>L2_Typo</ability>
      <abilityName>字词错误</abilityName>
      <candidateList>
        <item>山东省</item>
      </candidateList>
      <explain/>
      <paraID> 97DB21C</paraID>
      <start>36</start>
      <end>39</end>
      <status>unmodified</status>
      <modifiedWord/>
      <trackRevisions>false</trackRevisions>
    </reviewItem>
    <reviewItem>
      <errorID>d0543b16-9439-4d1b-9b8f-4544518ae893</errorID>
      <errorWord>)</errorWord>
      <group>L1_Format</group>
      <groupName>格式问题</groupName>
      <ability>L2_HalfPunc</ability>
      <abilityName>全半角检查</abilityName>
      <candidateList>
        <item>）</item>
      </candidateList>
      <explain>文本全半角错误。</explain>
      <paraID> 97DB21C</paraID>
      <start>39</start>
      <end>40</end>
      <status>unmodified</status>
      <modifiedWord/>
      <trackRevisions>false</trackRevisions>
    </reviewItem>
    <reviewItem>
      <errorID>5bcf84e7-1ad8-4177-9e09-93b30ecb1927</errorID>
      <errorWord>)</errorWord>
      <group>L1_Format</group>
      <groupName>格式问题</groupName>
      <ability>L2_HalfPunc</ability>
      <abilityName>全半角检查</abilityName>
      <candidateList>
        <item>）</item>
      </candidateList>
      <explain>文本全半角错误。</explain>
      <paraID>7EC7DE91</paraID>
      <start>76</start>
      <end>77</end>
      <status>unmodified</status>
      <modifiedWord/>
      <trackRevisions>false</trackRevisions>
    </reviewItem>
    <reviewItem>
      <errorID>eb50d777-0373-4f3d-b08e-b0afd6533cb2</errorID>
      <errorWord>可</errorWord>
      <group>L1_Word</group>
      <groupName>字词问题</groupName>
      <ability>L2_Typo</ability>
      <abilityName>字词错误</abilityName>
      <candidateList>
        <item>可以</item>
      </candidateList>
      <explain>〈口〉〈形〉❶好；不坏；过得去：这篇文章写得还～。❷厉害：你这张嘴真～｜天气实在热得～。</explain>
      <paraID>7EC7DE91</paraID>
      <start>134</start>
      <end>135</end>
      <status>unmodified</status>
      <modifiedWord/>
      <trackRevisions>false</trackRevisions>
    </reviewItem>
    <reviewItem>
      <errorID>88a76806-7c0c-47e1-bf5d-015f1a826c3d</errorID>
      <errorWord>（</errorWord>
      <group>L1_Format</group>
      <groupName>格式问题</groupName>
      <ability>L2_HalfPunc</ability>
      <abilityName>全半角检查</abilityName>
      <candidateList>
        <item>(</item>
      </candidateList>
      <explain>文本全半角错误。</explain>
      <paraID>740EC1FE</paraID>
      <start>0</start>
      <end>1</end>
      <status>unmodified</status>
      <modifiedWord/>
      <trackRevisions>false</trackRevisions>
    </reviewItem>
    <reviewItem>
      <errorID>871fc346-b7b1-4b21-ae8e-c14ecf1b6fde</errorID>
      <errorWord>）</errorWord>
      <group>L1_Format</group>
      <groupName>格式问题</groupName>
      <ability>L2_HalfPunc</ability>
      <abilityName>全半角检查</abilityName>
      <candidateList>
        <item>)</item>
      </candidateList>
      <explain>文本全半角错误。</explain>
      <paraID>740EC1FE</paraID>
      <start>8</start>
      <end>9</end>
      <status>unmodified</status>
      <modifiedWord/>
      <trackRevisions>false</trackRevisions>
    </reviewItem>
    <reviewItem>
      <errorID>c9d0b004-8d8d-488a-9671-235fa5763217</errorID>
      <errorWord>）</errorWord>
      <group>L1_Format</group>
      <groupName>格式问题</groupName>
      <ability>L2_HalfPunc</ability>
      <abilityName>全半角检查</abilityName>
      <candidateList>
        <item>)</item>
      </candidateList>
      <explain>文本全半角错误。</explain>
      <paraID>181C79B1</paraID>
      <start>1</start>
      <end>2</end>
      <status>unmodified</status>
      <modifiedWord/>
      <trackRevisions>false</trackRevisions>
    </reviewItem>
    <reviewItem>
      <errorID>a66a9463-3467-46a8-9873-2d92b24b596b</errorID>
      <errorWord>；</errorWord>
      <group>L1_Format</group>
      <groupName>格式问题</groupName>
      <ability>L2_HalfPunc</ability>
      <abilityName>全半角检查</abilityName>
      <candidateList>
        <item>; </item>
      </candidateList>
      <explain>文本全半角错误。</explain>
      <paraID>181C79B1</paraID>
      <start>3</start>
      <end>4</end>
      <status>unmodified</status>
      <modifiedWord/>
      <trackRevisions>false</trackRevisions>
    </reviewItem>
    <reviewItem>
      <errorID>82ac73f6-a83b-4e9f-a222-eb1b3981300c</errorID>
      <errorWord>）</errorWord>
      <group>L1_Format</group>
      <groupName>格式问题</groupName>
      <ability>L2_HalfPunc</ability>
      <abilityName>全半角检查</abilityName>
      <candidateList>
        <item>)</item>
      </candidateList>
      <explain>文本全半角错误。</explain>
      <paraID>181C79B1</paraID>
      <start>5</start>
      <end>6</end>
      <status>unmodified</status>
      <modifiedWord/>
      <trackRevisions>false</trackRevisions>
    </reviewItem>
    <reviewItem>
      <errorID>f021b840-d465-465d-9258-e3fba7813ce7</errorID>
      <errorWord>；</errorWord>
      <group>L1_Format</group>
      <groupName>格式问题</groupName>
      <ability>L2_HalfPunc</ability>
      <abilityName>全半角检查</abilityName>
      <candidateList>
        <item>; </item>
      </candidateList>
      <explain>文本全半角错误。</explain>
      <paraID>181C79B1</paraID>
      <start>7</start>
      <end>8</end>
      <status>unmodified</status>
      <modifiedWord/>
      <trackRevisions>false</trackRevisions>
    </reviewItem>
    <reviewItem>
      <errorID>1355f785-e7cf-4710-b964-6785d3f709e6</errorID>
      <errorWord>）</errorWord>
      <group>L1_Format</group>
      <groupName>格式问题</groupName>
      <ability>L2_HalfPunc</ability>
      <abilityName>全半角检查</abilityName>
      <candidateList>
        <item>)</item>
      </candidateList>
      <explain>文本全半角错误。</explain>
      <paraID>181C79B1</paraID>
      <start>9</start>
      <end>10</end>
      <status>unmodified</status>
      <modifiedWord/>
      <trackRevisions>false</trackRevisions>
    </reviewItem>
    <reviewItem>
      <errorID>65a04917-e0aa-4aab-ae07-21781759b788</errorID>
      <errorWord>；</errorWord>
      <group>L1_Format</group>
      <groupName>格式问题</groupName>
      <ability>L2_HalfPunc</ability>
      <abilityName>全半角检查</abilityName>
      <candidateList>
        <item>; </item>
      </candidateList>
      <explain>文本全半角错误。</explain>
      <paraID>181C79B1</paraID>
      <start>11</start>
      <end>12</end>
      <status>unmodified</status>
      <modifiedWord/>
      <trackRevisions>false</trackRevisions>
    </reviewItem>
    <reviewItem>
      <errorID>7eef4eaa-3727-4a96-92df-42c05dbcb5bf</errorID>
      <errorWord>）</errorWord>
      <group>L1_Format</group>
      <groupName>格式问题</groupName>
      <ability>L2_HalfPunc</ability>
      <abilityName>全半角检查</abilityName>
      <candidateList>
        <item>)</item>
      </candidateList>
      <explain>文本全半角错误。</explain>
      <paraID>181C79B1</paraID>
      <start>13</start>
      <end>14</end>
      <status>unmodified</status>
      <modifiedWord/>
      <trackRevisions>false</trackRevisions>
    </reviewItem>
    <reviewItem>
      <errorID>987522a7-2c94-4ba8-a347-90e726ade520</errorID>
      <errorWord>~</errorWord>
      <group>L1_Format</group>
      <groupName>格式问题</groupName>
      <ability>L2_HalfPunc</ability>
      <abilityName>全半角检查</abilityName>
      <candidateList>
        <item>～</item>
      </candidateList>
      <explain>文本全半角错误。</explain>
      <paraID>5D8A4635</paraID>
      <start>3</start>
      <end>4</end>
      <status>unmodified</status>
      <modifiedWord/>
      <trackRevisions>false</trackRevisions>
    </reviewItem>
    <reviewItem>
      <errorID>0a7c8ef6-0e3b-435c-a1f6-0e662767d0a5</errorID>
      <errorWord>)</errorWord>
      <group>L1_Format</group>
      <groupName>格式问题</groupName>
      <ability>L2_HalfPunc</ability>
      <abilityName>全半角检查</abilityName>
      <candidateList>
        <item>）</item>
      </candidateList>
      <explain>文本全半角错误。</explain>
      <paraID>494C7A80</paraID>
      <start>29</start>
      <end>30</end>
      <status>unmodified</status>
      <modifiedWord/>
      <trackRevisions>false</trackRevisions>
    </reviewItem>
    <reviewItem>
      <errorID>8cf0911d-654b-4be6-8a47-dda9578a4e47</errorID>
      <errorWord>)</errorWord>
      <group>L1_Format</group>
      <groupName>格式问题</groupName>
      <ability>L2_HalfPunc</ability>
      <abilityName>全半角检查</abilityName>
      <candidateList>
        <item>）</item>
      </candidateList>
      <explain>文本全半角错误。</explain>
      <paraID>5472FA99</paraID>
      <start>28</start>
      <end>29</end>
      <status>unmodified</status>
      <modifiedWord/>
      <trackRevisions>false</trackRevisions>
    </reviewItem>
    <reviewItem>
      <errorID>f6e6428f-485d-46c0-b18b-477484250d87</errorID>
      <errorWord>)</errorWord>
      <group>L1_Format</group>
      <groupName>格式问题</groupName>
      <ability>L2_HalfPunc</ability>
      <abilityName>全半角检查</abilityName>
      <candidateList>
        <item>）</item>
      </candidateList>
      <explain>文本全半角错误。</explain>
      <paraID>5472FA99</paraID>
      <start>52</start>
      <end>53</end>
      <status>unmodified</status>
      <modifiedWord/>
      <trackRevisions>false</trackRevisions>
    </reviewItem>
    <reviewItem>
      <errorID>29613f9d-5327-4627-895b-a2b1b9d4447e</errorID>
      <errorWord>8-10%</errorWord>
      <group>L1_Knowledge</group>
      <groupName>知识性问题</groupName>
      <ability>L2_Knowledge</ability>
      <abilityName>其他知识</abilityName>
      <candidateList>
        <item>8%—10%</item>
      </candidateList>
      <explain>1. “8-10%”中的单位“%”仅出现在后一个数字上，容易引起歧义；根据《现代汉语标点符号数字用法规范手册》，数字表示范围两边需要使用统一的格式。2. 根据标点国标 4.13 中的规则，数字、时间或地域连接符应使用（视觉上更长的）“—”或“～”。</explain>
      <paraID>148ECEC0</paraID>
      <start>3</start>
      <end>8</end>
      <status>unmodified</status>
      <modifiedWord/>
      <trackRevisions>false</trackRevisions>
    </reviewItem>
    <reviewItem>
      <errorID>23ed9513-4f45-45be-8354-b2d06f8f7d7a</errorID>
      <errorWord>)</errorWord>
      <group>L1_Format</group>
      <groupName>格式问题</groupName>
      <ability>L2_HalfPunc</ability>
      <abilityName>全半角检查</abilityName>
      <candidateList>
        <item>）</item>
      </candidateList>
      <explain>文本全半角错误。</explain>
      <paraID>148ECEC0</paraID>
      <start>8</start>
      <end>9</end>
      <status>unmodified</status>
      <modifiedWord/>
      <trackRevisions>false</trackRevisions>
    </reviewItem>
    <reviewItem>
      <errorID>abacc7df-6317-445e-ad56-5bf44c09e195</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148ECEC0</paraID>
      <start>13</start>
      <end>19</end>
      <status>unmodified</status>
      <modifiedWord/>
      <trackRevisions>false</trackRevisions>
    </reviewItem>
    <reviewItem>
      <errorID>9336f4f3-15d6-422d-81b1-c958784e0db2</errorID>
      <errorWord>)</errorWord>
      <group>L1_Format</group>
      <groupName>格式问题</groupName>
      <ability>L2_HalfPunc</ability>
      <abilityName>全半角检查</abilityName>
      <candidateList>
        <item>）</item>
      </candidateList>
      <explain>文本全半角错误。</explain>
      <paraID>148ECEC0</paraID>
      <start>19</start>
      <end>20</end>
      <status>unmodified</status>
      <modifiedWord/>
      <trackRevisions>false</trackRevisions>
    </reviewItem>
    <reviewItem>
      <errorID>07e98ec8-3798-4838-9129-8ce32948272e</errorID>
      <errorWord>20-30%</errorWord>
      <group>L1_Knowledge</group>
      <groupName>知识性问题</groupName>
      <ability>L2_Knowledge</ability>
      <abilityName>其他知识</abilityName>
      <candidateList>
        <item>20%—30%</item>
      </candidateList>
      <explain>1. “20-30%”中的单位“%”仅出现在后一个数字上，容易引起歧义；根据《现代汉语标点符号数字用法规范手册》，数字表示范围两边需要使用统一的格式。2. 根据标点国标 4.13 中的规则，数字、时间或地域连接符应使用（视觉上更长的）“—”或“～”。</explain>
      <paraID>148ECEC0</paraID>
      <start>27</start>
      <end>33</end>
      <status>unmodified</status>
      <modifiedWord/>
      <trackRevisions>false</trackRevisions>
    </reviewItem>
    <reviewItem>
      <errorID>70bb9112-41e1-4a99-abdf-373d40ab7837</errorID>
      <errorWord>)</errorWord>
      <group>L1_Format</group>
      <groupName>格式问题</groupName>
      <ability>L2_HalfPunc</ability>
      <abilityName>全半角检查</abilityName>
      <candidateList>
        <item>）</item>
      </candidateList>
      <explain>文本全半角错误。</explain>
      <paraID>148ECEC0</paraID>
      <start>33</start>
      <end>34</end>
      <status>unmodified</status>
      <modifiedWord/>
      <trackRevisions>false</trackRevisions>
    </reviewItem>
    <reviewItem>
      <errorID>9f686ace-24af-4e68-b56f-df67f59f168d</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148ECEC0</paraID>
      <start>39</start>
      <end>45</end>
      <status>unmodified</status>
      <modifiedWord/>
      <trackRevisions>false</trackRevisions>
    </reviewItem>
    <reviewItem>
      <errorID>a03ad3fc-63d7-495b-a5ea-ae274cfacda0</errorID>
      <errorWord>)</errorWord>
      <group>L1_Format</group>
      <groupName>格式问题</groupName>
      <ability>L2_HalfPunc</ability>
      <abilityName>全半角检查</abilityName>
      <candidateList>
        <item>）</item>
      </candidateList>
      <explain>文本全半角错误。</explain>
      <paraID>148ECEC0</paraID>
      <start>45</start>
      <end>46</end>
      <status>unmodified</status>
      <modifiedWord/>
      <trackRevisions>false</trackRevisions>
    </reviewItem>
    <reviewItem>
      <errorID>3d1a6ab6-f547-450f-ad15-0b16f85c7ea5</errorID>
      <errorWord>30-40%</errorWord>
      <group>L1_Knowledge</group>
      <groupName>知识性问题</groupName>
      <ability>L2_Knowledge</ability>
      <abilityName>其他知识</abilityName>
      <candidateList>
        <item>30%—40%</item>
      </candidateList>
      <explain>1. “30-40%”中的单位“%”仅出现在后一个数字上，容易引起歧义；根据《现代汉语标点符号数字用法规范手册》，数字表示范围两边需要使用统一的格式。2. 根据标点国标 4.13 中的规则，数字、时间或地域连接符应使用（视觉上更长的）“—”或“～”。</explain>
      <paraID>148ECEC0</paraID>
      <start>52</start>
      <end>58</end>
      <status>unmodified</status>
      <modifiedWord/>
      <trackRevisions>false</trackRevisions>
    </reviewItem>
    <reviewItem>
      <errorID>7ddb6188-c4a2-4e09-9cac-0259710c0feb</errorID>
      <errorWord>)</errorWord>
      <group>L1_Format</group>
      <groupName>格式问题</groupName>
      <ability>L2_HalfPunc</ability>
      <abilityName>全半角检查</abilityName>
      <candidateList>
        <item>）</item>
      </candidateList>
      <explain>文本全半角错误。</explain>
      <paraID>148ECEC0</paraID>
      <start>58</start>
      <end>59</end>
      <status>unmodified</status>
      <modifiedWord/>
      <trackRevisions>false</trackRevisions>
    </reviewItem>
    <reviewItem>
      <errorID>c3c73cb7-6140-4e16-a82a-2b85856abb39</errorID>
      <errorWord>45-47%</errorWord>
      <group>L1_Knowledge</group>
      <groupName>知识性问题</groupName>
      <ability>L2_Knowledge</ability>
      <abilityName>其他知识</abilityName>
      <candidateList>
        <item>45%—47%</item>
      </candidateList>
      <explain>1. “45-47%”中的单位“%”仅出现在后一个数字上，容易引起歧义；根据《现代汉语标点符号数字用法规范手册》，数字表示范围两边需要使用统一的格式。2. 根据标点国标 4.13 中的规则，数字、时间或地域连接符应使用（视觉上更长的）“—”或“～”。</explain>
      <paraID>2D763898</paraID>
      <start>8</start>
      <end>14</end>
      <status>unmodified</status>
      <modifiedWord/>
      <trackRevisions>false</trackRevisions>
    </reviewItem>
    <reviewItem>
      <errorID>dd9e222a-d4b1-45f3-baeb-53c5d44329a4</errorID>
      <errorWord>)</errorWord>
      <group>L1_Format</group>
      <groupName>格式问题</groupName>
      <ability>L2_HalfPunc</ability>
      <abilityName>全半角检查</abilityName>
      <candidateList>
        <item>）</item>
      </candidateList>
      <explain>文本全半角错误。</explain>
      <paraID>2D763898</paraID>
      <start>14</start>
      <end>15</end>
      <status>unmodified</status>
      <modifiedWord/>
      <trackRevisions>false</trackRevisions>
    </reviewItem>
    <reviewItem>
      <errorID>0b113ded-96d3-4504-afcd-5b3d4f81c0f3</errorID>
      <errorWord>53-55%</errorWord>
      <group>L1_Knowledge</group>
      <groupName>知识性问题</groupName>
      <ability>L2_Knowledge</ability>
      <abilityName>其他知识</abilityName>
      <candidateList>
        <item>53%—55%</item>
      </candidateList>
      <explain>1. “53-55%”中的单位“%”仅出现在后一个数字上，容易引起歧义；根据《现代汉语标点符号数字用法规范手册》，数字表示范围两边需要使用统一的格式。2. 根据标点国标 4.13 中的规则，数字、时间或地域连接符应使用（视觉上更长的）“—”或“～”。</explain>
      <paraID>2D763898</paraID>
      <start>18</start>
      <end>24</end>
      <status>unmodified</status>
      <modifiedWord/>
      <trackRevisions>false</trackRevisions>
    </reviewItem>
    <reviewItem>
      <errorID>c347bd15-4eaa-49f4-9855-9c920e102f46</errorID>
      <errorWord>)</errorWord>
      <group>L1_Format</group>
      <groupName>格式问题</groupName>
      <ability>L2_HalfPunc</ability>
      <abilityName>全半角检查</abilityName>
      <candidateList>
        <item>）</item>
      </candidateList>
      <explain>文本全半角错误。</explain>
      <paraID>2D763898</paraID>
      <start>24</start>
      <end>25</end>
      <status>unmodified</status>
      <modifiedWord/>
      <trackRevisions>false</trackRevisions>
    </reviewItem>
    <reviewItem>
      <errorID>575a64ee-2905-4b3a-aecc-4d84c5186c67</errorID>
      <errorWord>)</errorWord>
      <group>L1_Format</group>
      <groupName>格式问题</groupName>
      <ability>L2_HalfPunc</ability>
      <abilityName>全半角检查</abilityName>
      <candidateList>
        <item>）</item>
      </candidateList>
      <explain>文本全半角错误。</explain>
      <paraID>1C5C94D4</paraID>
      <start>29</start>
      <end>30</end>
      <status>unmodified</status>
      <modifiedWord/>
      <trackRevisions>false</trackRevisions>
    </reviewItem>
    <reviewItem>
      <errorID>ad8988ed-edf4-4d08-8aa0-da1df1d90414</errorID>
      <errorWord>（</errorWord>
      <group>L1_Format</group>
      <groupName>格式问题</groupName>
      <ability>L2_HalfPunc</ability>
      <abilityName>全半角检查</abilityName>
      <candidateList>
        <item>(</item>
      </candidateList>
      <explain>文本全半角错误。</explain>
      <paraID>60921F84</paraID>
      <start>5</start>
      <end>6</end>
      <status>unmodified</status>
      <modifiedWord/>
      <trackRevisions>false</trackRevisions>
    </reviewItem>
    <reviewItem>
      <errorID>7c196daa-0a9d-4797-8b87-73950856a2fa</errorID>
      <errorWord>）</errorWord>
      <group>L1_Format</group>
      <groupName>格式问题</groupName>
      <ability>L2_HalfPunc</ability>
      <abilityName>全半角检查</abilityName>
      <candidateList>
        <item>)</item>
      </candidateList>
      <explain>文本全半角错误。</explain>
      <paraID>60921F84</paraID>
      <start>14</start>
      <end>15</end>
      <status>unmodified</status>
      <modifiedWord/>
      <trackRevisions>false</trackRevisions>
    </reviewItem>
    <reviewItem>
      <errorID>7e807351-abec-451a-bdcc-586a0fd745a9</errorID>
      <errorWord>准</errorWord>
      <group>L1_Word</group>
      <groupName>字词问题</groupName>
      <ability>L2_Typo</ability>
      <abilityName>字词错误</abilityName>
      <candidateList>
        <item>准和</item>
      </candidateList>
      <explain/>
      <paraID>7DDB9152</paraID>
      <start>38</start>
      <end>39</end>
      <status>unmodified</status>
      <modifiedWord/>
      <trackRevisions>false</trackRevisions>
    </reviewItem>
    <reviewItem>
      <errorID>638820b8-8b7e-4477-9348-3744f195d06b</errorID>
      <errorWord>烧嘴</errorWord>
      <group>L1_Word</group>
      <groupName>字词问题</groupName>
      <ability>L2_Typo</ability>
      <abilityName>字词错误</abilityName>
      <candidateList>
        <item>喷嘴</item>
      </candidateList>
      <explain/>
      <paraID>7DDB9152</paraID>
      <start>124</start>
      <end>126</end>
      <status>unmodified</status>
      <modifiedWord/>
      <trackRevisions>false</trackRevisions>
    </reviewItem>
    <reviewItem>
      <errorID>bdd4b0e6-1ea2-46ac-8a66-aa5bf1b17cbb</errorID>
      <errorWord>进入到</errorWord>
      <group>L1_Word</group>
      <groupName>字词问题</groupName>
      <ability>L2_Typo</ability>
      <abilityName>字词错误</abilityName>
      <candidateList>
        <item>进入</item>
      </candidateList>
      <explain>〈动〉支进到某个范围或某个时期里：～学校｜～新阶段◇～角色。</explain>
      <paraID>3901C285</paraID>
      <start>39</start>
      <end>42</end>
      <status>unmodified</status>
      <modifiedWord/>
      <trackRevisions>false</trackRevisions>
    </reviewItem>
    <reviewItem>
      <errorID>60cbfee5-8f00-4565-a223-eee4239b5b2c</errorID>
      <errorWord>装置</errorWord>
      <group>L1_Word</group>
      <groupName>字词问题</groupName>
      <ability>L2_Typo</ability>
      <abilityName>字词错误</abilityName>
      <candidateList>
        <item>装载</item>
      </candidateList>
      <explain/>
      <paraID> 8470C56</paraID>
      <start>47</start>
      <end>49</end>
      <status>unmodified</status>
      <modifiedWord/>
      <trackRevisions>false</trackRevisions>
    </reviewItem>
    <reviewItem>
      <errorID>0b09c1a6-b2d1-4af8-8dcb-0cc9d2ab9009</errorID>
      <errorWord>装置的</errorWord>
      <group>L1_Word</group>
      <groupName>字词问题</groupName>
      <ability>L2_Typo</ability>
      <abilityName>字词错误</abilityName>
      <candidateList>
        <item>装置</item>
      </candidateList>
      <explain>❶〈动〉安装：降温设备已经～好了。❷〈名〉机器、仪器或其他设备中，构造较复杂并具有某种独立功用的部件：自动化～。</explain>
      <paraID>459BEE8E</paraID>
      <start>11</start>
      <end>14</end>
      <status>unmodified</status>
      <modifiedWord/>
      <trackRevisions>false</trackRevisions>
    </reviewItem>
    <reviewItem>
      <errorID>8e6aa9ec-13ce-4b9f-ae5a-076a45a1d9f8</errorID>
      <errorWord>不</errorWord>
      <group>L1_Word</group>
      <groupName>字词问题</groupName>
      <ability>L2_Typo</ability>
      <abilityName>字词错误</abilityName>
      <candidateList>
        <item>不完</item>
      </candidateList>
      <explain/>
      <paraID>5680A0BD</paraID>
      <start>22</start>
      <end>23</end>
      <status>unmodified</status>
      <modifiedWord/>
      <trackRevisions>false</trackRevisions>
    </reviewItem>
    <reviewItem>
      <errorID>341ce731-3d56-4f31-aa4e-c6a9e1c57715</errorID>
      <errorWord>产生</errorWord>
      <group>L1_Word</group>
      <groupName>字词问题</groupName>
      <ability>L2_Typo</ability>
      <abilityName>字词错误</abilityName>
      <candidateList>
        <item>发生</item>
      </candidateList>
      <explain>〈动〉❶原来没有的事出现了；产生：～变化｜～事故｜～关系。❷卵子受精后逐渐生长。</explain>
      <paraID>5680A0BD</paraID>
      <start>38</start>
      <end>40</end>
      <status>unmodified</status>
      <modifiedWord/>
      <trackRevisions>false</trackRevisions>
    </reviewItem>
    <reviewItem>
      <errorID>58f8a9ee-c3ad-444c-a347-c31004d6774b</errorID>
      <errorWord>的的</errorWord>
      <group>L1_Word</group>
      <groupName>字词问题</groupName>
      <ability>L2_Typo</ability>
      <abilityName>字词错误</abilityName>
      <candidateList>
        <item>的</item>
      </candidateList>
      <explain>“的”常用于连接修饰语与名词性中心语，表示属性、所属或描述。</explain>
      <paraID> 8D4C354</paraID>
      <start>77</start>
      <end>79</end>
      <status>unmodified</status>
      <modifiedWord/>
      <trackRevisions>false</trackRevisions>
    </reviewItem>
    <reviewItem>
      <errorID>a9c13c2c-37da-4c3f-ad97-ea35ecfff154</errorID>
      <errorWord>污水厂</errorWord>
      <group>L1_Word</group>
      <groupName>字词问题</groupName>
      <ability>L2_Typo</ability>
      <abilityName>字词错误</abilityName>
      <candidateList>
        <item>污水处理厂</item>
      </candidateList>
      <explain/>
      <paraID>2A51E073</paraID>
      <start>115</start>
      <end>118</end>
      <status>unmodified</status>
      <modifiedWord/>
      <trackRevisions>false</trackRevisions>
    </reviewItem>
    <reviewItem>
      <errorID>b0f5f4cf-1594-4fd8-8063-7d6219a0f0ef</errorID>
      <errorWord>提高</errorWord>
      <group>L1_Grammar</group>
      <groupName>语法问题</groupName>
      <ability>L2_Grammar</ability>
      <abilityName>语法错误</abilityName>
      <candidateList>
        <item>增强</item>
      </candidateList>
      <explain>“提高～意识”搭配不当，建议修改为“增强～意识”。</explain>
      <paraID> 1D9AE6E</paraID>
      <start>85</start>
      <end>87</end>
      <status>unmodified</status>
      <modifiedWord/>
      <trackRevisions>false</trackRevisions>
    </reviewItem>
    <reviewItem>
      <errorID>12483ba5-2861-4e6c-8d12-9b64b111f635</errorID>
      <errorWord>设</errorWord>
      <group>L1_Word</group>
      <groupName>字词问题</groupName>
      <ability>L2_Typo</ability>
      <abilityName>字词错误</abilityName>
      <candidateList>
        <item>设置</item>
      </candidateList>
      <explain>〈动〉❶设立：这座剧院是为儿童～的。❷安放；安装：～障碍。</explain>
      <paraID>227D30DE</paraID>
      <start>35</start>
      <end>36</end>
      <status>unmodified</status>
      <modifiedWord/>
      <trackRevisions>false</trackRevisions>
    </reviewItem>
    <reviewItem>
      <errorID>3f502ebd-740c-4059-894e-8f63804739df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658C1B23</paraID>
      <start>98</start>
      <end>99</end>
      <status>unmodified</status>
      <modifiedWord/>
      <trackRevisions>false</trackRevisions>
    </reviewItem>
    <reviewItem>
      <errorID>08f70e7e-b502-42db-a5cd-0ec0afe984ad</errorID>
      <errorWord>其它人工</errorWord>
      <group>L1_Word</group>
      <groupName>字词问题</groupName>
      <ability>L2_Alias</ability>
      <abilityName>也作/曾用词</abilityName>
      <candidateList>
        <item>其他人工</item>
      </candidateList>
      <explain>词汇[其它人工]为不规范表述或旧称，其规范书面表述为[其他人工]。</explain>
      <paraID>658C1B23</paraID>
      <start>126</start>
      <end>130</end>
      <status>unmodified</status>
      <modifiedWord/>
      <trackRevisions>false</trackRevisions>
    </reviewItem>
    <reviewItem>
      <errorID>98405343-fe63-41a7-873c-bfced6115a91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658C1B23</paraID>
      <start>140</start>
      <end>141</end>
      <status>unmodified</status>
      <modifiedWord/>
      <trackRevisions>false</trackRevisions>
    </reviewItem>
    <reviewItem>
      <errorID>571d6e0e-b11a-4693-9a9d-d7a80dace8e1</errorID>
      <errorWord>人员对</errorWord>
      <group>L1_Word</group>
      <groupName>字词问题</groupName>
      <ability>L2_Typo</ability>
      <abilityName>字词错误</abilityName>
      <candidateList>
        <item>人员</item>
      </candidateList>
      <explain>〈名〉担任某种职务的人：机关工作～｜值班～｜～配备。</explain>
      <paraID>3528CD98</paraID>
      <start>120</start>
      <end>123</end>
      <status>unmodified</status>
      <modifiedWord/>
      <trackRevisions>false</trackRevisions>
    </reviewItem>
    <reviewItem>
      <errorID>df81a036-7b9a-40af-8988-998f1c6f7708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6E9CD023</paraID>
      <start>128</start>
      <end>129</end>
      <status>unmodified</status>
      <modifiedWord/>
      <trackRevisions>false</trackRevisions>
    </reviewItem>
    <reviewItem>
      <errorID>162da48d-1057-4517-8275-61005f04c318</errorID>
      <errorWord>，</errorWord>
      <group>L1_Word</group>
      <groupName>字词问题</groupName>
      <ability>L2_Typo</ability>
      <abilityName>字词错误</abilityName>
      <candidateList>
        <item>，必</item>
      </candidateList>
      <explain/>
      <paraID> A9F9EFD</paraID>
      <start>25</start>
      <end>26</end>
      <status>unmodified</status>
      <modifiedWord/>
      <trackRevisions>false</trackRevisions>
    </reviewItem>
    <reviewItem>
      <errorID>00cf4573-ebfb-4098-8e47-89c1b95e4313</errorID>
      <errorWord>法律、法规</errorWord>
      <group>L1_Word</group>
      <groupName>字词问题</groupName>
      <ability>L2_Typo</ability>
      <abilityName>字词错误</abilityName>
      <candidateList>
        <item>法律法规</item>
      </candidateList>
      <explain/>
      <paraID>79513C14</paraID>
      <start>50</start>
      <end>55</end>
      <status>unmodified</status>
      <modifiedWord/>
      <trackRevisions>false</trackRevisions>
    </reviewItem>
    <reviewItem>
      <errorID>331a5cea-c035-4edb-916c-0f6c84135778</errorID>
      <errorWord>[1996]140号</errorWord>
      <group>L1_Knowledge</group>
      <groupName>知识性问题</groupName>
      <ability>L2_Knowledge</ability>
      <abilityName>其他知识</abilityName>
      <candidateList>
        <item>〔1996〕140号</item>
      </candidateList>
      <explain>发文字号格式错误。</explain>
      <paraID>555A91DA</paraID>
      <start>32</start>
      <end>42</end>
      <status>unmodified</status>
      <modifiedWord/>
      <trackRevisions>false</trackRevisions>
    </reviewItem>
    <reviewItem>
      <errorID>b6923082-1633-4ee8-9547-04c54a95f550</errorID>
      <errorWord>&lt;</errorWord>
      <group>L1_Format</group>
      <groupName>格式问题</groupName>
      <ability>L2_HalfPunc</ability>
      <abilityName>全半角检查</abilityName>
      <candidateList>
        <item>〈</item>
      </candidateList>
      <explain>文本全半角错误。</explain>
      <paraID>3720906D</paraID>
      <start>25</start>
      <end>26</end>
      <status>unmodified</status>
      <modifiedWord/>
      <trackRevisions>false</trackRevisions>
    </reviewItem>
    <reviewItem>
      <errorID>8cc3f872-e2e1-4608-921d-b98de1b66251</errorID>
      <errorWord>&gt;的通知》</errorWord>
      <group>L1_Punc</group>
      <groupName>标点问题</groupName>
      <ability>L2_Punc</ability>
      <abilityName>标点符号检查</abilityName>
      <candidateList>
        <item>〉的通知》</item>
      </candidateList>
      <explain/>
      <paraID>3720906D</paraID>
      <start>52</start>
      <end>57</end>
      <status>unmodified</status>
      <modifiedWord/>
      <trackRevisions>false</trackRevisions>
    </reviewItem>
    <reviewItem>
      <errorID>2a590c92-f715-457f-a8f7-00828dacfd28</errorID>
      <errorWord>，</errorWord>
      <group>L1_Word</group>
      <groupName>字词问题</groupName>
      <ability>L2_Typo</ability>
      <abilityName>字词错误</abilityName>
      <candidateList>
        <item>，对</item>
      </candidateList>
      <explain/>
      <paraID> 7D7CD79</paraID>
      <start>87</start>
      <end>88</end>
      <status>unmodified</status>
      <modifiedWord/>
      <trackRevisions>false</trackRevisions>
    </reviewItem>
    <reviewItem>
      <errorID>365ea8da-1c3c-449b-92d0-979c107752d7</errorID>
      <errorWord>：</errorWord>
      <group>L1_Format</group>
      <groupName>格式问题</groupName>
      <ability>L2_HalfPunc</ability>
      <abilityName>全半角检查</abilityName>
      <candidateList>
        <item>:</item>
      </candidateList>
      <explain>文本全半角错误。</explain>
      <paraID> D269469</paraID>
      <start>23</start>
      <end>24</end>
      <status>unmodified</status>
      <modifiedWord/>
      <trackRevisions>false</trackRevisions>
    </reviewItem>
    <reviewItem>
      <errorID>0a9ee742-e315-4794-9204-c4970c2752a2</errorID>
      <errorWord>：</errorWord>
      <group>L1_Format</group>
      <groupName>格式问题</groupName>
      <ability>L2_HalfPunc</ability>
      <abilityName>全半角检查</abilityName>
      <candidateList>
        <item>:</item>
      </candidateList>
      <explain>文本全半角错误。</explain>
      <paraID> D269469</paraID>
      <start>29</start>
      <end>30</end>
      <status>unmodified</status>
      <modifiedWord/>
      <trackRevisions>false</trackRevisions>
    </reviewItem>
    <reviewItem>
      <errorID>28f0163b-0926-482c-a5f2-db897aafeeeb</errorID>
      <errorWord>00）、</errorWord>
      <group>L1_Punc</group>
      <groupName>标点问题</groupName>
      <ability>L2_Punc</ability>
      <abilityName>标点符号检查</abilityName>
      <candidateList>
        <item>00）</item>
      </candidateList>
      <explain>根据国标GB/T 15834-2011《标点符号用法》中的4.5.3.3节，带括号的汉字数字或阿拉伯数字表次序时，后面通常不加顿号。如“（一）指导思想”“（二）行动指南”。</explain>
      <paraID> D269469</paraID>
      <start>30</start>
      <end>34</end>
      <status>unmodified</status>
      <modifiedWord/>
      <trackRevisions>false</trackRevisions>
    </reviewItem>
    <reviewItem>
      <errorID>326861b4-653e-4ffc-9ecb-667bac78200f</errorID>
      <errorWord>：</errorWord>
      <group>L1_Format</group>
      <groupName>格式问题</groupName>
      <ability>L2_HalfPunc</ability>
      <abilityName>全半角检查</abilityName>
      <candidateList>
        <item>:</item>
      </candidateList>
      <explain>文本全半角错误。</explain>
      <paraID> D269469</paraID>
      <start>39</start>
      <end>40</end>
      <status>unmodified</status>
      <modifiedWord/>
      <trackRevisions>false</trackRevisions>
    </reviewItem>
    <reviewItem>
      <errorID>2fc6f5e2-a9da-475e-8e12-d321084c7615</errorID>
      <errorWord>~</errorWord>
      <group>L1_Format</group>
      <groupName>格式问题</groupName>
      <ability>L2_HalfPunc</ability>
      <abilityName>全半角检查</abilityName>
      <candidateList>
        <item>～</item>
      </candidateList>
      <explain>文本全半角错误。</explain>
      <paraID> D269469</paraID>
      <start>42</start>
      <end>43</end>
      <status>unmodified</status>
      <modifiedWord/>
      <trackRevisions>false</trackRevisions>
    </reviewItem>
    <reviewItem>
      <errorID>bbea63c2-257b-4df4-8fc0-ed7e417a5a43</errorID>
      <errorWord>：</errorWord>
      <group>L1_Format</group>
      <groupName>格式问题</groupName>
      <ability>L2_HalfPunc</ability>
      <abilityName>全半角检查</abilityName>
      <candidateList>
        <item>:</item>
      </candidateList>
      <explain>文本全半角错误。</explain>
      <paraID> D269469</paraID>
      <start>46</start>
      <end>47</end>
      <status>unmodified</status>
      <modifiedWord/>
      <trackRevisions>false</trackRevisions>
    </reviewItem>
    <reviewItem>
      <errorID>6debf1c1-c720-4ca3-a716-1664532c3baa</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3A2DA237</paraID>
      <start>10</start>
      <end>11</end>
      <status>unmodified</status>
      <modifiedWord/>
      <trackRevisions>false</trackRevisions>
    </reviewItem>
    <reviewItem>
      <errorID>0486044e-0226-40d9-97d0-726e8cbb40f4</errorID>
      <errorWord>程</errorWord>
      <group>L1_Word</group>
      <groupName>字词问题</groupName>
      <ability>L2_Typo</ability>
      <abilityName>字词错误</abilityName>
      <candidateList>
        <item>程中</item>
      </candidateList>
      <explain/>
      <paraID>28EC2AE0</paraID>
      <start>95</start>
      <end>96</end>
      <status>unmodified</status>
      <modifiedWord/>
      <trackRevisions>false</trackRevisions>
    </reviewItem>
    <reviewItem>
      <errorID>ef845d44-2575-4e7d-822f-628c0f0d6aee</errorID>
      <errorWord>紫外光</errorWord>
      <group>L1_Word</group>
      <groupName>字词问题</groupName>
      <ability>L2_Typo</ability>
      <abilityName>字词错误</abilityName>
      <candidateList>
        <item>紫外线</item>
      </candidateList>
      <explain/>
      <paraID>608369EF</paraID>
      <start>30</start>
      <end>33</end>
      <status>unmodified</status>
      <modifiedWord/>
      <trackRevisions>false</trackRevisions>
    </reviewItem>
    <reviewItem>
      <errorID>a45f221a-6371-48b5-ab36-87783d039f3c</errorID>
      <errorWord>废气并</errorWord>
      <group>L1_Word</group>
      <groupName>字词问题</groupName>
      <ability>L2_Typo</ability>
      <abilityName>字词错误</abilityName>
      <candidateList>
        <item>废气</item>
      </candidateList>
      <explain/>
      <paraID>394F87C6</paraID>
      <start>5</start>
      <end>8</end>
      <status>unmodified</status>
      <modifiedWord/>
      <trackRevisions>false</trackRevisions>
    </reviewItem>
    <reviewItem>
      <errorID>8c03949f-f57c-4f99-9ad8-511c8b9061eb</errorID>
      <errorWord>,</errorWord>
      <group>L1_Format</group>
      <groupName>格式问题</groupName>
      <ability>L2_HalfPunc</ability>
      <abilityName>全半角检查</abilityName>
      <candidateList>
        <item>，</item>
      </candidateList>
      <explain>文本全半角错误。</explain>
      <paraID>62DB240C</paraID>
      <start>24</start>
      <end>25</end>
      <status>unmodified</status>
      <modifiedWord/>
      <trackRevisions>false</trackRevisions>
    </reviewItem>
    <reviewItem>
      <errorID>3a533a65-7abd-4988-9542-5484b4c13db3</errorID>
      <errorWord>)</errorWord>
      <group>L1_Format</group>
      <groupName>格式问题</groupName>
      <ability>L2_HalfPunc</ability>
      <abilityName>全半角检查</abilityName>
      <candidateList>
        <item>）</item>
      </candidateList>
      <explain>文本全半角错误。</explain>
      <paraID>62DB240C</paraID>
      <start>76</start>
      <end>77</end>
      <status>unmodified</status>
      <modifiedWord/>
      <trackRevisions>false</trackRevisions>
    </reviewItem>
    <reviewItem>
      <errorID>c5b0c946-16ae-48a0-908d-b22e0c412053</errorID>
      <errorWord>)</errorWord>
      <group>L1_Format</group>
      <groupName>格式问题</groupName>
      <ability>L2_HalfPunc</ability>
      <abilityName>全半角检查</abilityName>
      <candidateList>
        <item>）</item>
      </candidateList>
      <explain>文本全半角错误。</explain>
      <paraID>546A308E</paraID>
      <start>11</start>
      <end>12</end>
      <status>unmodified</status>
      <modifiedWord/>
      <trackRevisions>false</trackRevisions>
    </reviewItem>
    <reviewItem>
      <errorID>b4554188-818a-4733-87c7-1166536c2cda</errorID>
      <errorWord>检测仪</errorWord>
      <group>L1_Word</group>
      <groupName>字词问题</groupName>
      <ability>L2_Typo</ability>
      <abilityName>字词错误</abilityName>
      <candidateList>
        <item>监测仪</item>
      </candidateList>
      <explain/>
      <paraID>110814AA</paraID>
      <start>21</start>
      <end>24</end>
      <status>unmodified</status>
      <modifiedWord/>
      <trackRevisions>false</trackRevisions>
    </reviewItem>
    <reviewItem>
      <errorID>4e4dbaa0-0f29-4934-b7a0-93f862c204a4</errorID>
      <errorWord>95%~98%</errorWord>
      <group>L1_Knowledge</group>
      <groupName>知识性问题</groupName>
      <ability>L2_Knowledge</ability>
      <abilityName>其他知识</abilityName>
      <candidateList>
        <item>95%～98%</item>
      </candidateList>
      <explain>1. “95%~98%”中的单位“%”仅出现在后一个数字上，容易引起歧义；根据《现代汉语标点符号数字用法规范手册》，数字表示范围两边需要使用统一的格式。2. 根据标点国标 4.13 中的规则，数字、时间或地域连接符应使用（视觉上更长的）“—”或“～”。</explain>
      <paraID>6C12A58B</paraID>
      <start>23</start>
      <end>30</end>
      <status>unmodified</status>
      <modifiedWord/>
      <trackRevisions>false</trackRevisions>
    </reviewItem>
    <reviewItem>
      <errorID>c0bfcc53-8ffa-4a09-b209-720d0d7b8c96</errorID>
      <errorWord>减轻</errorWord>
      <group>L1_Grammar</group>
      <groupName>语法问题</groupName>
      <ability>L2_Grammar</ability>
      <abilityName>语法错误</abilityName>
      <candidateList>
        <item>减少</item>
      </candidateList>
      <explain>“减轻～排放”搭配不当，建议修改为“减少～排放”。</explain>
      <paraID>697CF601</paraID>
      <start>123</start>
      <end>125</end>
      <status>unmodified</status>
      <modifiedWord/>
      <trackRevisions>false</trackRevisions>
    </reviewItem>
    <reviewItem>
      <errorID>f6389033-1a80-4763-923a-b5f4cf9a8d5b</errorID>
      <errorWord>污染物可</errorWord>
      <group>L1_Word</group>
      <groupName>字词问题</groupName>
      <ability>L2_Typo</ability>
      <abilityName>字词错误</abilityName>
      <candidateList>
        <item>污染物</item>
      </candidateList>
      <explain/>
      <paraID>2A573F82</paraID>
      <start>41</start>
      <end>45</end>
      <status>unmodified</status>
      <modifiedWord/>
      <trackRevisions>false</trackRevisions>
    </reviewItem>
    <reviewItem>
      <errorID>371b0d07-e1be-473f-b139-fbabdadf8cec</errorID>
      <errorWord>排水管区</errorWord>
      <group>L1_Knowledge</group>
      <groupName>知识性问题</groupName>
      <ability>L2_Term</ability>
      <abilityName>专业术语</abilityName>
      <candidateList>
        <item>排水管渠</item>
      </candidateList>
      <explain/>
      <paraID>3BD79D30</paraID>
      <start>16</start>
      <end>20</end>
      <status>unmodified</status>
      <modifiedWord/>
      <trackRevisions>false</trackRevisions>
    </reviewItem>
    <reviewItem>
      <errorID>34d92393-a3a3-4622-987d-07cf946a83e1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36B27F77</paraID>
      <start>35</start>
      <end>36</end>
      <status>unmodified</status>
      <modifiedWord/>
      <trackRevisions>false</trackRevisions>
    </reviewItem>
    <reviewItem>
      <errorID>98b9ea94-cbfc-43f6-8a64-dce4f6995e77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51308539</paraID>
      <start>26</start>
      <end>27</end>
      <status>unmodified</status>
      <modifiedWord/>
      <trackRevisions>false</trackRevisions>
    </reviewItem>
    <reviewItem>
      <errorID>6507d3a6-f336-4380-99c8-723b01385ab0</errorID>
      <errorWord>噪声屏障</errorWord>
      <group>L1_Knowledge</group>
      <groupName>知识性问题</groupName>
      <ability>L2_Term</ability>
      <abilityName>专业术语</abilityName>
      <candidateList>
        <item>隔声屏障</item>
      </candidateList>
      <explain/>
      <paraID>17DEA0BD</paraID>
      <start>26</start>
      <end>30</end>
      <status>unmodified</status>
      <modifiedWord/>
      <trackRevisions>false</trackRevisions>
    </reviewItem>
    <reviewItem>
      <errorID>a28c3e2c-7183-4544-8d83-14be788953d9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3F4EF329</paraID>
      <start>136</start>
      <end>137</end>
      <status>unmodified</status>
      <modifiedWord/>
      <trackRevisions>false</trackRevisions>
    </reviewItem>
    <reviewItem>
      <errorID>5f14608f-1db6-42ef-aea8-744052626da4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3F4EF329</paraID>
      <start>178</start>
      <end>179</end>
      <status>unmodified</status>
      <modifiedWord/>
      <trackRevisions>false</trackRevisions>
    </reviewItem>
    <reviewItem>
      <errorID>b9b2f3d9-5ed6-485c-bf9b-063f62abf7bc</errorID>
      <errorWord>)</errorWord>
      <group>L1_Format</group>
      <groupName>格式问题</groupName>
      <ability>L2_HalfPunc</ability>
      <abilityName>全半角检查</abilityName>
      <candidateList>
        <item>）</item>
      </candidateList>
      <explain>文本全半角错误。</explain>
      <paraID>58DE08A3</paraID>
      <start>59</start>
      <end>60</end>
      <status>unmodified</status>
      <modifiedWord/>
      <trackRevisions>false</trackRevisions>
    </reviewItem>
    <reviewItem>
      <errorID>fd090718-b6c8-4763-96fd-2329affe7149</errorID>
      <errorWord>-</errorWord>
      <group>L1_Format</group>
      <groupName>格式问题</groupName>
      <ability>L2_HalfPunc</ability>
      <abilityName>全半角检查</abilityName>
      <candidateList>
        <item>－</item>
      </candidateList>
      <explain>文本全半角错误。</explain>
      <paraID>183193AD</paraID>
      <start>29</start>
      <end>30</end>
      <status>unmodified</status>
      <modifiedWord/>
      <trackRevisions>false</trackRevisions>
    </reviewItem>
    <reviewItem>
      <errorID>fea6d1b5-10f7-4241-9ab2-b94d9dc3395c</errorID>
      <errorWord>-</errorWord>
      <group>L1_Format</group>
      <groupName>格式问题</groupName>
      <ability>L2_HalfPunc</ability>
      <abilityName>全半角检查</abilityName>
      <candidateList>
        <item>－</item>
      </candidateList>
      <explain>文本全半角错误。</explain>
      <paraID>5CB3444E</paraID>
      <start>16</start>
      <end>17</end>
      <status>unmodified</status>
      <modifiedWord/>
      <trackRevisions>false</trackRevisions>
    </reviewItem>
    <reviewItem>
      <errorID>dd07c45e-eba0-4064-a862-e94ebb676e57</errorID>
      <errorWord>-</errorWord>
      <group>L1_Format</group>
      <groupName>格式问题</groupName>
      <ability>L2_HalfPunc</ability>
      <abilityName>全半角检查</abilityName>
      <candidateList>
        <item>－</item>
      </candidateList>
      <explain>文本全半角错误。</explain>
      <paraID>472F6AA7</paraID>
      <start>34</start>
      <end>35</end>
      <status>unmodified</status>
      <modifiedWord/>
      <trackRevisions>false</trackRevisions>
    </reviewItem>
    <reviewItem>
      <errorID>486c8e2e-12e0-488b-8b23-fd026517bb12</errorID>
      <errorWord>-</errorWord>
      <group>L1_Format</group>
      <groupName>格式问题</groupName>
      <ability>L2_HalfPunc</ability>
      <abilityName>全半角检查</abilityName>
      <candidateList>
        <item>－</item>
      </candidateList>
      <explain>文本全半角错误。</explain>
      <paraID>61309353</paraID>
      <start>39</start>
      <end>40</end>
      <status>unmodified</status>
      <modifiedWord/>
      <trackRevisions>false</trackRevisions>
    </reviewItem>
    <reviewItem>
      <errorID>29501887-6c89-4322-9f43-f2fd445ad82f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45355ABB</paraID>
      <start>30</start>
      <end>31</end>
      <status>unmodified</status>
      <modifiedWord/>
      <trackRevisions>false</trackRevisions>
    </reviewItem>
    <reviewItem>
      <errorID>51f19f60-873c-406c-8feb-990dd59b088f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45355ABB</paraID>
      <start>71</start>
      <end>72</end>
      <status>unmodified</status>
      <modifiedWord/>
      <trackRevisions>false</trackRevisions>
    </reviewItem>
    <reviewItem>
      <errorID>c191d75f-02a5-465c-ad8c-10db8c35ab3f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45355ABB</paraID>
      <start>100</start>
      <end>101</end>
      <status>unmodified</status>
      <modifiedWord/>
      <trackRevisions>false</trackRevisions>
    </reviewItem>
    <reviewItem>
      <errorID>42cf1ffe-1c6e-4ea8-9cf4-8a486f9262aa</errorID>
      <errorWord>响</errorWord>
      <group>L1_Word</group>
      <groupName>字词问题</groupName>
      <ability>L2_Typo</ability>
      <abilityName>字词错误</abilityName>
      <candidateList>
        <item>响和</item>
      </candidateList>
      <explain/>
      <paraID>3E643B7F</paraID>
      <start>6</start>
      <end>7</end>
      <status>unmodified</status>
      <modifiedWord/>
      <trackRevisions>false</trackRevisions>
    </reviewItem>
    <reviewItem>
      <errorID>6d35bc53-dfb4-42a1-af0e-faf0566ab8e7</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7C2EFB2C</paraID>
      <start>31</start>
      <end>32</end>
      <status>unmodified</status>
      <modifiedWord/>
      <trackRevisions>false</trackRevisions>
    </reviewItem>
    <reviewItem>
      <errorID>ae7eb516-da3f-4e89-966d-a31c884939e2</errorID>
      <errorWord>加强</errorWord>
      <group>L1_Grammar</group>
      <groupName>语法问题</groupName>
      <ability>L2_Grammar</ability>
      <abilityName>语法错误</abilityName>
      <candidateList>
        <item>加大</item>
      </candidateList>
      <explain>“加强～力度”搭配不当，建议修改为“加大～力度”。</explain>
      <paraID> F0C5E3F</paraID>
      <start>2</start>
      <end>4</end>
      <status>unmodified</status>
      <modifiedWord/>
      <trackRevisions>false</trackRevisions>
    </reviewItem>
    <reviewItem>
      <errorID>1c2d3b3e-eeb3-4a22-9138-ec441ce13942</errorID>
      <errorWord>法律、法规</errorWord>
      <group>L1_Word</group>
      <groupName>字词问题</groupName>
      <ability>L2_Typo</ability>
      <abilityName>字词错误</abilityName>
      <candidateList>
        <item>法律法规</item>
      </candidateList>
      <explain/>
      <paraID> F0C5E3F</paraID>
      <start>69</start>
      <end>74</end>
      <status>unmodified</status>
      <modifiedWord/>
      <trackRevisions>false</trackRevisions>
    </reviewItem>
    <reviewItem>
      <errorID>3a20d180-5456-41cc-825b-964f7bed9cbd</errorID>
      <errorWord>和各</errorWord>
      <group>L1_Word</group>
      <groupName>字词问题</groupName>
      <ability>L2_Typo</ability>
      <abilityName>字词错误</abilityName>
      <candidateList>
        <item>和</item>
      </candidateList>
      <explain>〈量〉用于洗东西换水的次数或一剂药煎的次数：衣裳已经洗了三～｜二～药。</explain>
      <paraID>7E2BCEE6</paraID>
      <start>22</start>
      <end>24</end>
      <status>unmodified</status>
      <modifiedWord/>
      <trackRevisions>false</trackRevisions>
    </reviewItem>
    <reviewItem>
      <errorID>679d4bb5-924c-45bb-a8c0-7c029316f7e2</errorID>
      <errorWord>项目管理</errorWord>
      <group>L1_Word</group>
      <groupName>字词问题</groupName>
      <ability>L2_Typo</ability>
      <abilityName>字词错误</abilityName>
      <candidateList>
        <item>项管理</item>
      </candidateList>
      <explain/>
      <paraID>7E2BCEE6</paraID>
      <start>24</start>
      <end>28</end>
      <status>unmodified</status>
      <modifiedWord/>
      <trackRevisions>false</trackRevisions>
    </reviewItem>
    <reviewItem>
      <errorID>4c69d0f5-6c4c-46ec-b399-e2cb1fa9dcc0</errorID>
      <errorWord>时应</errorWord>
      <group>L1_Word</group>
      <groupName>字词问题</groupName>
      <ability>L2_Typo</ability>
      <abilityName>字词错误</abilityName>
      <candidateList>
        <item>时</item>
      </candidateList>
      <explain>（時）shí❶〈名〉指比较长的一段时间：古～｜宋～｜盛极一～。❷〈名〉规定的时候：按～｜准～｜八点出发，过～不候。❸季节：四～｜农～｜应～。❹当前；现在：～下｜～新｜～事。❺时俗；时尚：入～｜合～。❻时辰：卯～｜辰～。❼〈量〉计时的单位，小时（点）：上午八～。❽时机：失～｜待～而动。❾〈副〉时常：～～｜～有出现。</explain>
      <paraID>7EA7D4A5</paraID>
      <start>48</start>
      <end>50</end>
      <status>unmodified</status>
      <modifiedWord/>
      <trackRevisions>false</trackRevisions>
    </reviewItem>
    <reviewItem>
      <errorID>384dcd20-7462-47e1-a2aa-1596ef067614</errorID>
      <errorWord>细目</errorWord>
      <group>L1_Word</group>
      <groupName>字词问题</groupName>
      <ability>L2_Typo</ability>
      <abilityName>字词错误</abilityName>
      <candidateList>
        <item>细密</item>
      </candidateList>
      <explain>存在发音相近字词的误用。</explain>
      <paraID>6088297D</paraID>
      <start>32</start>
      <end>34</end>
      <status>unmodified</status>
      <modifiedWord/>
      <trackRevisions>false</trackRevisions>
    </reviewItem>
    <reviewItem>
      <errorID>17e73545-35e6-4027-a949-22a4c9aa2ceb</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6088297D</paraID>
      <start>100</start>
      <end>101</end>
      <status>unmodified</status>
      <modifiedWord/>
      <trackRevisions>false</trackRevisions>
    </reviewItem>
    <reviewItem>
      <errorID>da6e7f55-832e-4df8-82c6-eb2bc30eb4a9</errorID>
      <errorWord>)</errorWord>
      <group>L1_Format</group>
      <groupName>格式问题</groupName>
      <ability>L2_HalfPunc</ability>
      <abilityName>全半角检查</abilityName>
      <candidateList>
        <item>）</item>
      </candidateList>
      <explain>文本全半角错误。</explain>
      <paraID>18457FE5</paraID>
      <start>59</start>
      <end>60</end>
      <status>unmodified</status>
      <modifiedWord/>
      <trackRevisions>false</trackRevisions>
    </reviewItem>
    <reviewItem>
      <errorID>e660333c-ffe4-458e-ad41-a1b476a31344</errorID>
      <errorWord>)</errorWord>
      <group>L1_Format</group>
      <groupName>格式问题</groupName>
      <ability>L2_HalfPunc</ability>
      <abilityName>全半角检查</abilityName>
      <candidateList>
        <item>）</item>
      </candidateList>
      <explain>文本全半角错误。</explain>
      <paraID>18457FE5</paraID>
      <start>69</start>
      <end>70</end>
      <status>unmodified</status>
      <modifiedWord/>
      <trackRevisions>false</trackRevisions>
    </reviewItem>
    <reviewItem>
      <errorID>59e9d54c-f0ce-4c67-b473-68abb1dc0ba4</errorID>
      <errorWord>要求</errorWord>
      <group>L1_Word</group>
      <groupName>字词问题</groupName>
      <ability>L2_Typo</ability>
      <abilityName>字词错误</abilityName>
      <candidateList>
        <item>要</item>
      </candidateList>
      <explain>〈连〉❶如果：明天～下雨，我就不去了。❷要么：～就去打球，～就去溜冰，别再犹豫了。</explain>
      <paraID>18457FE5</paraID>
      <start>85</start>
      <end>87</end>
      <status>unmodified</status>
      <modifiedWord/>
      <trackRevisions>false</trackRevisions>
    </reviewItem>
    <reviewItem>
      <errorID>c8cc88ba-2abe-44e0-a765-056282b0ccbe</errorID>
      <errorWord>等的</errorWord>
      <group>L1_Word</group>
      <groupName>字词问题</groupName>
      <ability>L2_Typo</ability>
      <abilityName>字词错误</abilityName>
      <candidateList>
        <item>等</item>
      </candidateList>
      <explain>〈助〉❶〈书〉用在人称代词或指人的名词后面，表示复数：我～｜彼～。❷表示列举未尽（可以叠用）：北京、天津～地｜纸张文具～～。❸列举后煞尾：长江、黄河、黑龙江、珠江～四大河流。</explain>
      <paraID>6091198B</paraID>
      <start>27</start>
      <end>29</end>
      <status>unmodified</status>
      <modifiedWord/>
      <trackRevisions>false</trackRevisions>
    </reviewItem>
    <reviewItem>
      <errorID>6d1e0e3a-042d-4b64-bbb5-e935051cf255</errorID>
      <errorWord>其它</errorWord>
      <group>L1_Word</group>
      <groupName>字词问题</groupName>
      <ability>L2_Alias</ability>
      <abilityName>也作/曾用词</abilityName>
      <candidateList>
        <item>其他</item>
      </candidateList>
      <explain>词汇[其它]为不规范表述或旧称，其规范书面表述为[其他]。</explain>
      <paraID> 457E7A1</paraID>
      <start>2</start>
      <end>4</end>
      <status>unmodified</status>
      <modifiedWord/>
      <trackRevisions>false</trackRevisions>
    </reviewItem>
    <reviewItem>
      <errorID>3cee5530-04ca-4ce7-b753-fdd63d05b056</errorID>
      <errorWord>废气污染治理</errorWord>
      <group>L1_Knowledge</group>
      <groupName>知识性问题</groupName>
      <ability>L2_Term</ability>
      <abilityName>专业术语</abilityName>
      <candidateList>
        <item>大气污染治理</item>
      </candidateList>
      <explain/>
      <paraID>2BEAC2B0</paraID>
      <start>5</start>
      <end>11</end>
      <status>unmodified</status>
      <modifiedWord/>
      <trackRevisions>false</trackRevisions>
    </reviewItem>
    <reviewItem>
      <errorID>e2e2b99a-47bb-466f-8acb-c47f5b6a3da1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38C79933</paraID>
      <start>14</start>
      <end>17</end>
      <status>unmodified</status>
      <modifiedWord/>
      <trackRevisions>false</trackRevisions>
    </reviewItem>
    <reviewItem>
      <errorID>c8f4d678-286a-4a58-8b4f-80034f9745bd</errorID>
      <errorWord>针对</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613943E4</paraID>
      <start>35</start>
      <end>37</end>
      <status>unmodified</status>
      <modifiedWord/>
      <trackRevisions>false</trackRevisions>
    </reviewItem>
    <reviewItem>
      <errorID>cb881251-a9c7-41bf-a5e5-18f0e80fac3c</errorID>
      <errorWord>-</errorWord>
      <group>L1_Format</group>
      <groupName>格式问题</groupName>
      <ability>L2_HalfPunc</ability>
      <abilityName>全半角检查</abilityName>
      <candidateList>
        <item>－</item>
      </candidateList>
      <explain>文本全半角错误。</explain>
      <paraID>5C7A6DA2</paraID>
      <start>243</start>
      <end>244</end>
      <status>unmodified</status>
      <modifiedWord/>
      <trackRevisions>false</trackRevisions>
    </reviewItem>
    <reviewItem>
      <errorID>31acdd8a-67bc-4e6b-b496-1a7ca4db7494</errorID>
      <errorWord>部</errorWord>
      <group>L1_Word</group>
      <groupName>字词问题</groupName>
      <ability>L2_Typo</ability>
      <abilityName>字词错误</abilityName>
      <candidateList>
        <item/>
      </candidateList>
      <explain/>
      <paraID>5C7A6DA2</paraID>
      <start>354</start>
      <end>355</end>
      <status>unmodified</status>
      <modifiedWord/>
      <trackRevisions>false</trackRevisions>
    </reviewItem>
    <reviewItem>
      <errorID>c0f44f5a-509a-40ca-ad67-e81256671d2c</errorID>
      <errorWord>（</errorWord>
      <group>L1_Format</group>
      <groupName>格式问题</groupName>
      <ability>L2_HalfPunc</ability>
      <abilityName>全半角检查</abilityName>
      <candidateList>
        <item>(</item>
      </candidateList>
      <explain>文本全半角错误。</explain>
      <paraID>7A317D36</paraID>
      <start>3</start>
      <end>4</end>
      <status>unmodified</status>
      <modifiedWord/>
      <trackRevisions>false</trackRevisions>
    </reviewItem>
    <reviewItem>
      <errorID>1e310bbf-7961-43ae-a773-925c886f210e</errorID>
      <errorWord>）</errorWord>
      <group>L1_Format</group>
      <groupName>格式问题</groupName>
      <ability>L2_HalfPunc</ability>
      <abilityName>全半角检查</abilityName>
      <candidateList>
        <item>)</item>
      </candidateList>
      <explain>文本全半角错误。</explain>
      <paraID>7A317D36</paraID>
      <start>7</start>
      <end>8</end>
      <status>unmodified</status>
      <modifiedWord/>
      <trackRevisions>false</trackRevisions>
    </reviewItem>
    <reviewItem>
      <errorID>4f8cadb9-3526-4e8f-bb29-9a4e41f14726</errorID>
      <errorWord>（</errorWord>
      <group>L1_Format</group>
      <groupName>格式问题</groupName>
      <ability>L2_HalfPunc</ability>
      <abilityName>全半角检查</abilityName>
      <candidateList>
        <item>(</item>
      </candidateList>
      <explain>文本全半角错误。</explain>
      <paraID>614DD4BA</paraID>
      <start>3</start>
      <end>4</end>
      <status>unmodified</status>
      <modifiedWord/>
      <trackRevisions>false</trackRevisions>
    </reviewItem>
    <reviewItem>
      <errorID>7a780493-81e9-4e53-af21-16e7d6fe0027</errorID>
      <errorWord>）</errorWord>
      <group>L1_Format</group>
      <groupName>格式问题</groupName>
      <ability>L2_HalfPunc</ability>
      <abilityName>全半角检查</abilityName>
      <candidateList>
        <item>)</item>
      </candidateList>
      <explain>文本全半角错误。</explain>
      <paraID>614DD4BA</paraID>
      <start>7</start>
      <end>8</end>
      <status>unmodified</status>
      <modifiedWord/>
      <trackRevisions>false</trackRevisions>
    </reviewItem>
    <reviewItem>
      <errorID>80bf4ec5-927a-4536-b542-d97fd3bd3436</errorID>
      <errorWord>（</errorWord>
      <group>L1_Format</group>
      <groupName>格式问题</groupName>
      <ability>L2_HalfPunc</ability>
      <abilityName>全半角检查</abilityName>
      <candidateList>
        <item>(</item>
      </candidateList>
      <explain>文本全半角错误。</explain>
      <paraID>7D0F734E</paraID>
      <start>4</start>
      <end>5</end>
      <status>unmodified</status>
      <modifiedWord/>
      <trackRevisions>false</trackRevisions>
    </reviewItem>
    <reviewItem>
      <errorID>fe5753ed-534c-4b05-8402-83144c222f63</errorID>
      <errorWord>）</errorWord>
      <group>L1_Format</group>
      <groupName>格式问题</groupName>
      <ability>L2_HalfPunc</ability>
      <abilityName>全半角检查</abilityName>
      <candidateList>
        <item>)</item>
      </candidateList>
      <explain>文本全半角错误。</explain>
      <paraID>7D0F734E</paraID>
      <start>8</start>
      <end>9</end>
      <status>unmodified</status>
      <modifiedWord/>
      <trackRevisions>false</trackRevisions>
    </reviewItem>
    <reviewItem>
      <errorID>47a747dc-35c9-445a-991c-2bca3c136fef</errorID>
      <errorWord>-</errorWord>
      <group>L1_Format</group>
      <groupName>格式问题</groupName>
      <ability>L2_HalfPunc</ability>
      <abilityName>全半角检查</abilityName>
      <candidateList>
        <item>－</item>
      </candidateList>
      <explain>文本全半角错误。</explain>
      <paraID> 9D7E557</paraID>
      <start>197</start>
      <end>198</end>
      <status>unmodified</status>
      <modifiedWord/>
      <trackRevisions>false</trackRevisions>
    </reviewItem>
    <reviewItem>
      <errorID>53dff137-2562-4a7f-9313-57b24c9b45c6</errorID>
      <errorWord>)</errorWord>
      <group>L1_Format</group>
      <groupName>格式问题</groupName>
      <ability>L2_HalfPunc</ability>
      <abilityName>全半角检查</abilityName>
      <candidateList>
        <item>）</item>
      </candidateList>
      <explain>文本全半角错误。</explain>
      <paraID>117449C3</paraID>
      <start>59</start>
      <end>60</end>
      <status>unmodified</status>
      <modifiedWord/>
      <trackRevisions>false</trackRevisions>
    </reviewItem>
    <reviewItem>
      <errorID>66afea7e-3b89-446f-b2f7-0a7ee0332596</errorID>
      <errorWord>)</errorWord>
      <group>L1_Format</group>
      <groupName>格式问题</groupName>
      <ability>L2_HalfPunc</ability>
      <abilityName>全半角检查</abilityName>
      <candidateList>
        <item>）</item>
      </candidateList>
      <explain>文本全半角错误。</explain>
      <paraID>79F71BD8</paraID>
      <start>24</start>
      <end>25</end>
      <status>unmodified</status>
      <modifiedWord/>
      <trackRevisions>false</trackRevisions>
    </reviewItem>
    <reviewItem>
      <errorID>3c1a65a2-a88c-4378-84b6-e4f930054635</errorID>
      <errorWord>-</errorWord>
      <group>L1_Format</group>
      <groupName>格式问题</groupName>
      <ability>L2_HalfPunc</ability>
      <abilityName>全半角检查</abilityName>
      <candidateList>
        <item>－</item>
      </candidateList>
      <explain>文本全半角错误。</explain>
      <paraID>6550186B</paraID>
      <start>29</start>
      <end>30</end>
      <status>unmodified</status>
      <modifiedWord/>
      <trackRevisions>false</trackRevisions>
    </reviewItem>
    <reviewItem>
      <errorID>0515d85d-fa57-47e7-8427-821570055afd</errorID>
      <errorWord>-</errorWord>
      <group>L1_Format</group>
      <groupName>格式问题</groupName>
      <ability>L2_HalfPunc</ability>
      <abilityName>全半角检查</abilityName>
      <candidateList>
        <item>－</item>
      </candidateList>
      <explain>文本全半角错误。</explain>
      <paraID>5A45647B</paraID>
      <start>23</start>
      <end>24</end>
      <status>unmodified</status>
      <modifiedWord/>
      <trackRevisions>false</trackRevisions>
    </reviewItem>
    <reviewItem>
      <errorID>a84da8db-ad1b-4beb-86fa-a18e36149c88</errorID>
      <errorWord>-</errorWord>
      <group>L1_Format</group>
      <groupName>格式问题</groupName>
      <ability>L2_HalfPunc</ability>
      <abilityName>全半角检查</abilityName>
      <candidateList>
        <item>－</item>
      </candidateList>
      <explain>文本全半角错误。</explain>
      <paraID>105AB183</paraID>
      <start>16</start>
      <end>17</end>
      <status>unmodified</status>
      <modifiedWord/>
      <trackRevisions>false</trackRevisions>
    </reviewItem>
    <reviewItem>
      <errorID>210fcfd8-57c0-465c-b8e4-17d8232d26f2</errorID>
      <errorWord>-</errorWord>
      <group>L1_Format</group>
      <groupName>格式问题</groupName>
      <ability>L2_HalfPunc</ability>
      <abilityName>全半角检查</abilityName>
      <candidateList>
        <item>－</item>
      </candidateList>
      <explain>文本全半角错误。</explain>
      <paraID>5F3BDC1F</paraID>
      <start>21</start>
      <end>22</end>
      <status>unmodified</status>
      <modifiedWord/>
      <trackRevisions>false</trackRevisions>
    </reviewItem>
    <reviewItem>
      <errorID>c24f1189-8d9d-4332-8739-095ca77028e7</errorID>
      <errorWord>-</errorWord>
      <group>L1_Format</group>
      <groupName>格式问题</groupName>
      <ability>L2_HalfPunc</ability>
      <abilityName>全半角检查</abilityName>
      <candidateList>
        <item>－</item>
      </candidateList>
      <explain>文本全半角错误。</explain>
      <paraID>5F3BDC1F</paraID>
      <start>24</start>
      <end>25</end>
      <status>unmodified</status>
      <modifiedWord/>
      <trackRevisions>false</trackRevisions>
    </reviewItem>
    <reviewItem>
      <errorID>c4e3053e-5977-4148-8145-37e2d278e316</errorID>
      <errorWord>[2017]84号</errorWord>
      <group>L1_Knowledge</group>
      <groupName>知识性问题</groupName>
      <ability>L2_Knowledge</ability>
      <abilityName>其他知识</abilityName>
      <candidateList>
        <item>〔2017〕84号</item>
      </candidateList>
      <explain>发文字号格式错误。</explain>
      <paraID>71CAA67A</paraID>
      <start>36</start>
      <end>45</end>
      <status>unmodified</status>
      <modifiedWord/>
      <trackRevisions>false</trackRevisions>
    </reviewItem>
    <reviewItem>
      <errorID>3c8fc43c-b173-41ad-b0b7-4129801a829f</errorID>
      <errorWord>[2018]80号</errorWord>
      <group>L1_Knowledge</group>
      <groupName>知识性问题</groupName>
      <ability>L2_Knowledge</ability>
      <abilityName>其他知识</abilityName>
      <candidateList>
        <item>〔2018〕80号</item>
      </candidateList>
      <explain>发文字号格式错误。</explain>
      <paraID>352D66BB</paraID>
      <start>49</start>
      <end>58</end>
      <status>unmodified</status>
      <modifiedWord/>
      <trackRevisions>false</trackRevisions>
    </reviewItem>
    <reviewItem>
      <errorID>a6175edd-3fb2-48c9-a032-1b1e76a4cdfe</errorID>
      <errorWord>[2017]84号</errorWord>
      <group>L1_Knowledge</group>
      <groupName>知识性问题</groupName>
      <ability>L2_Knowledge</ability>
      <abilityName>其他知识</abilityName>
      <candidateList>
        <item>〔2017〕84号</item>
      </candidateList>
      <explain>发文字号格式错误。</explain>
      <paraID>5E64CA9A</paraID>
      <start>36</start>
      <end>45</end>
      <status>unmodified</status>
      <modifiedWord/>
      <trackRevisions>false</trackRevisions>
    </reviewItem>
    <reviewItem>
      <errorID>88789174-0801-4f2a-8044-5cf89745f2d1</errorID>
      <errorWord>喷砂</errorWord>
      <group>L1_Word</group>
      <groupName>字词问题</groupName>
      <ability>L2_Typo</ability>
      <abilityName>字词错误</abilityName>
      <candidateList>
        <item>喷洒</item>
      </candidateList>
      <explain>〈动〉喷射散落（多用于液体）：～农药。</explain>
      <paraID> 10C2196</paraID>
      <start>8</start>
      <end>10</end>
      <status>unmodified</status>
      <modifiedWord/>
      <trackRevisions>false</trackRevisions>
    </reviewItem>
    <reviewItem>
      <errorID>ac60e950-06df-4754-b325-55467e254c10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66CE85EE</paraID>
      <start>0</start>
      <end>2</end>
      <status>unmodified</status>
      <modifiedWord/>
      <trackRevisions>false</trackRevisions>
    </reviewItem>
    <reviewItem>
      <errorID>3c10baef-894b-4731-bdc8-129605ab0dfe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575B258C</paraID>
      <start>0</start>
      <end>2</end>
      <status>unmodified</status>
      <modifiedWord/>
      <trackRevisions>false</trackRevisions>
    </reviewItem>
    <reviewItem>
      <errorID>beb3e371-1e8a-41dd-a4f2-aa24dbc89840</errorID>
      <errorWord>2-3年</errorWord>
      <group>L1_Word</group>
      <groupName>字词问题</groupName>
      <ability>L2_Typo</ability>
      <abilityName>字词错误</abilityName>
      <candidateList>
        <item>2～3年</item>
      </candidateList>
      <explain/>
      <paraID>575B258C</paraID>
      <start>7</start>
      <end>11</end>
      <status>unmodified</status>
      <modifiedWord/>
      <trackRevisions>false</trackRevisions>
    </reviewItem>
    <reviewItem>
      <errorID>f922b94f-a51d-4cc2-aec4-de292fd7f603</errorID>
      <errorWord>)</errorWord>
      <group>L1_Format</group>
      <groupName>格式问题</groupName>
      <ability>L2_HalfPunc</ability>
      <abilityName>全半角检查</abilityName>
      <candidateList>
        <item>）</item>
      </candidateList>
      <explain>文本全半角错误。</explain>
      <paraID>41B3C256</paraID>
      <start>95</start>
      <end>96</end>
      <status>unmodified</status>
      <modifiedWord/>
      <trackRevisions>false</trackRevisions>
    </reviewItem>
    <reviewItem>
      <errorID>38d7a4e7-202b-40d4-9080-68b4c1205cc4</errorID>
      <errorWord>)</errorWord>
      <group>L1_Format</group>
      <groupName>格式问题</groupName>
      <ability>L2_HalfPunc</ability>
      <abilityName>全半角检查</abilityName>
      <candidateList>
        <item>）</item>
      </candidateList>
      <explain>文本全半角错误。</explain>
      <paraID>41B3C256</paraID>
      <start>144</start>
      <end>145</end>
      <status>unmodified</status>
      <modifiedWord/>
      <trackRevisions>false</trackRevisions>
    </reviewItem>
    <reviewItem>
      <errorID>7581f7fc-2e4d-405f-b189-f022bc23b94e</errorID>
      <errorWord>)</errorWord>
      <group>L1_Format</group>
      <groupName>格式问题</groupName>
      <ability>L2_HalfPunc</ability>
      <abilityName>全半角检查</abilityName>
      <candidateList>
        <item>）</item>
      </candidateList>
      <explain>文本全半角错误。</explain>
      <paraID>11A36FEC</paraID>
      <start>79</start>
      <end>80</end>
      <status>unmodified</status>
      <modifiedWord/>
      <trackRevisions>false</trackRevisions>
    </reviewItem>
    <reviewItem>
      <errorID>fe690d73-583c-4e38-a861-9892789d47f3</errorID>
      <errorWord>III类</errorWord>
      <group>L1_Knowledge</group>
      <groupName>知识性问题</groupName>
      <ability>L2_Knowledge</ability>
      <abilityName>其他知识</abilityName>
      <candidateList>
        <item>Ⅲ类</item>
      </candidateList>
      <explain/>
      <paraID>5F5188B6</paraID>
      <start>44</start>
      <end>48</end>
      <status>unmodified</status>
      <modifiedWord/>
      <trackRevisions>false</trackRevisions>
    </reviewItem>
    <reviewItem>
      <errorID>57055af2-55c8-4384-9678-119549898a77</errorID>
      <errorWord>III类</errorWord>
      <group>L1_Knowledge</group>
      <groupName>知识性问题</groupName>
      <ability>L2_Knowledge</ability>
      <abilityName>其他知识</abilityName>
      <candidateList>
        <item>Ⅲ类</item>
      </candidateList>
      <explain/>
      <paraID>5F5188B6</paraID>
      <start>202</start>
      <end>206</end>
      <status>unmodified</status>
      <modifiedWord/>
      <trackRevisions>false</trackRevisions>
    </reviewItem>
    <reviewItem>
      <errorID>b2a13b61-f4d9-487f-84c4-a0202790172e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5F5188B6</paraID>
      <start>237</start>
      <end>238</end>
      <status>unmodified</status>
      <modifiedWord/>
      <trackRevisions>false</trackRevisions>
    </reviewItem>
    <reviewItem>
      <errorID>fc4dc927-029f-4f67-af32-756adffad738</errorID>
      <errorWord>)</errorWord>
      <group>L1_Format</group>
      <groupName>格式问题</groupName>
      <ability>L2_HalfPunc</ability>
      <abilityName>全半角检查</abilityName>
      <candidateList>
        <item>）</item>
      </candidateList>
      <explain>文本全半角错误。</explain>
      <paraID>58388A88</paraID>
      <start>175</start>
      <end>176</end>
      <status>unmodified</status>
      <modifiedWord/>
      <trackRevisions>false</trackRevisions>
    </reviewItem>
    <reviewItem>
      <errorID>544bdd89-7f84-480a-828e-996150761951</errorID>
      <errorWord>-</errorWord>
      <group>L1_Format</group>
      <groupName>格式问题</groupName>
      <ability>L2_HalfPunc</ability>
      <abilityName>全半角检查</abilityName>
      <candidateList>
        <item>－</item>
      </candidateList>
      <explain>文本全半角错误。</explain>
      <paraID>58388A88</paraID>
      <start>276</start>
      <end>277</end>
      <status>unmodified</status>
      <modifiedWord/>
      <trackRevisions>false</trackRevisions>
    </reviewItem>
    <reviewItem>
      <errorID>340ec079-af28-480f-a2d3-525bb3046ba7</errorID>
      <errorWord>-</errorWord>
      <group>L1_Format</group>
      <groupName>格式问题</groupName>
      <ability>L2_HalfPunc</ability>
      <abilityName>全半角检查</abilityName>
      <candidateList>
        <item>－</item>
      </candidateList>
      <explain>文本全半角错误。</explain>
      <paraID>58388A88</paraID>
      <start>279</start>
      <end>280</end>
      <status>unmodified</status>
      <modifiedWord/>
      <trackRevisions>false</trackRevisions>
    </reviewItem>
    <reviewItem>
      <errorID>fd627a31-95e8-47a2-8f8d-9886d98a4d08</errorID>
      <errorWord>-</errorWord>
      <group>L1_Format</group>
      <groupName>格式问题</groupName>
      <ability>L2_HalfPunc</ability>
      <abilityName>全半角检查</abilityName>
      <candidateList>
        <item>－</item>
      </candidateList>
      <explain>文本全半角错误。</explain>
      <paraID>58388A88</paraID>
      <start>435</start>
      <end>436</end>
      <status>unmodified</status>
      <modifiedWord/>
      <trackRevisions>false</trackRevisions>
    </reviewItem>
    <reviewItem>
      <errorID>035799ca-97fe-4315-af73-6ebd870ca922</errorID>
      <errorWord>-</errorWord>
      <group>L1_Format</group>
      <groupName>格式问题</groupName>
      <ability>L2_HalfPunc</ability>
      <abilityName>全半角检查</abilityName>
      <candidateList>
        <item>－</item>
      </candidateList>
      <explain>文本全半角错误。</explain>
      <paraID>58388A88</paraID>
      <start>553</start>
      <end>554</end>
      <status>unmodified</status>
      <modifiedWord/>
      <trackRevisions>false</trackRevisions>
    </reviewItem>
    <reviewItem>
      <errorID>5e59a303-51e1-43c2-8c88-2e485ce19b81</errorID>
      <errorWord>-</errorWord>
      <group>L1_Format</group>
      <groupName>格式问题</groupName>
      <ability>L2_HalfPunc</ability>
      <abilityName>全半角检查</abilityName>
      <candidateList>
        <item>－</item>
      </candidateList>
      <explain>文本全半角错误。</explain>
      <paraID>58388A88</paraID>
      <start>616</start>
      <end>617</end>
      <status>unmodified</status>
      <modifiedWord/>
      <trackRevisions>false</trackRevisions>
    </reviewItem>
    <reviewItem>
      <errorID>73796dfd-28af-486b-a551-11da3e46de49</errorID>
      <errorWord>“</errorWord>
      <group>L1_Punc</group>
      <groupName>标点问题</groupName>
      <ability>L2_Punc</ability>
      <abilityName>标点符号检查</abilityName>
      <candidateList>
        <item>‘</item>
      </candidateList>
      <explain>当引号中还需要使用引号时，外面一层用双引号，里面一层用单引号。</explain>
      <paraID>19001983</paraID>
      <start>127</start>
      <end>128</end>
      <status>unmodified</status>
      <modifiedWord/>
      <trackRevisions>false</trackRevisions>
    </reviewItem>
    <reviewItem>
      <errorID>0300e3b0-51c7-4cc8-aa76-923c0ebfa69e</errorID>
      <errorWord>“</errorWord>
      <group>L1_Punc</group>
      <groupName>标点问题</groupName>
      <ability>L2_Punc</ability>
      <abilityName>标点符号检查</abilityName>
      <candidateList>
        <item>‘</item>
      </candidateList>
      <explain>当引号中还需要使用引号时，外面一层用双引号，里面一层用单引号。</explain>
      <paraID>19001983</paraID>
      <start>155</start>
      <end>156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b179df-4808-4c04-a302-ed4160bbdd3d}">
  <ds:schemaRefs/>
</ds:datastoreItem>
</file>

<file path=docProps/app.xml><?xml version="1.0" encoding="utf-8"?>
<Properties xmlns="http://schemas.openxmlformats.org/officeDocument/2006/extended-properties" xmlns:vt="http://schemas.openxmlformats.org/officeDocument/2006/docPropsVTypes">
  <Pages>171</Pages>
  <Words>639</Words>
  <Characters>818</Characters>
  <Lines>1</Lines>
  <Paragraphs>1</Paragraphs>
  <TotalTime>18</TotalTime>
  <ScaleCrop>false</ScaleCrop>
  <LinksUpToDate>false</LinksUpToDate>
  <CharactersWithSpaces>873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2025-11-25T02:50:00Z</dcterms:created>
  <dc:creator>Lenovo</dc:creator>
  <cp:lastModifiedBy>小麦啾</cp:lastModifiedBy>
  <cp:lastPrinted>2026-08-07T04:55:00Z</cp:lastPrinted>
  <dcterms:modified xsi:type="dcterms:W3CDTF">2026-10-19T04:42:22Z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eyJoZGlkIjoiM2Q5NDlmNDc3N2ZkYzk3ZGJmOTUwNTM0Mzc5MTVlNDMiLCJ1c2VySWQiOiIzMjQ5NjUzODcifQ==</vt:lpwstr>
  </property>
  <property fmtid="{D5CDD505-2E9C-101B-9397-08002B2CF9AE}" pid="4" name="ICV">
    <vt:lpwstr>A38712F58B7E4D5A9046D8DFD76A24CF_13</vt:lpwstr>
  </property>
</Properties>
</file>